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黑体"/>
          <w:b w:val="0"/>
          <w:bCs w:val="0"/>
          <w:color w:val="000000"/>
          <w:spacing w:val="0"/>
          <w:sz w:val="32"/>
          <w:szCs w:val="32"/>
          <w:lang w:val="en-US" w:eastAsia="zh-CN"/>
        </w:rPr>
      </w:pPr>
      <w:r>
        <w:rPr>
          <w:rFonts w:hint="eastAsia" w:ascii="Times New Roman" w:hAnsi="Times New Roman" w:eastAsia="黑体" w:cs="黑体"/>
          <w:b w:val="0"/>
          <w:bCs w:val="0"/>
          <w:color w:val="000000"/>
          <w:spacing w:val="0"/>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小标宋简体" w:cs="方正小标宋简体"/>
          <w:b w:val="0"/>
          <w:bCs w:val="0"/>
          <w:color w:val="auto"/>
          <w:kern w:val="0"/>
          <w:sz w:val="44"/>
          <w:szCs w:val="44"/>
        </w:rPr>
      </w:pPr>
      <w:r>
        <w:rPr>
          <w:rFonts w:hint="eastAsia" w:ascii="Times New Roman" w:hAnsi="Times New Roman" w:eastAsia="方正小标宋简体" w:cs="方正小标宋简体"/>
          <w:b w:val="0"/>
          <w:bCs w:val="0"/>
          <w:color w:val="auto"/>
          <w:kern w:val="0"/>
          <w:sz w:val="44"/>
          <w:szCs w:val="44"/>
          <w:lang w:val="en-US" w:eastAsia="zh-CN"/>
        </w:rPr>
        <w:t>基本情况介绍</w:t>
      </w:r>
    </w:p>
    <w:p>
      <w:pPr>
        <w:pStyle w:val="5"/>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default" w:eastAsia="宋体"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67" w:firstLineChars="200"/>
        <w:textAlignment w:val="auto"/>
        <w:rPr>
          <w:rFonts w:ascii="Times New Roman" w:hAnsi="Times New Roman" w:eastAsia="仿宋_GB2312"/>
          <w:b w:val="0"/>
          <w:bCs w:val="0"/>
          <w:snapToGrid w:val="0"/>
          <w:color w:val="auto"/>
          <w:spacing w:val="6"/>
          <w:kern w:val="0"/>
          <w:sz w:val="32"/>
          <w:szCs w:val="32"/>
        </w:rPr>
      </w:pPr>
      <w:r>
        <w:rPr>
          <w:rFonts w:hint="eastAsia" w:ascii="Times New Roman" w:hAnsi="Times New Roman" w:eastAsia="仿宋_GB2312"/>
          <w:b/>
          <w:bCs/>
          <w:snapToGrid w:val="0"/>
          <w:color w:val="auto"/>
          <w:spacing w:val="6"/>
          <w:kern w:val="0"/>
          <w:sz w:val="32"/>
          <w:szCs w:val="32"/>
        </w:rPr>
        <w:t>遂宁高新区</w:t>
      </w:r>
      <w:r>
        <w:rPr>
          <w:rFonts w:hint="eastAsia" w:ascii="Times New Roman" w:hAnsi="Times New Roman" w:eastAsia="仿宋_GB2312"/>
          <w:b w:val="0"/>
          <w:bCs w:val="0"/>
          <w:snapToGrid w:val="0"/>
          <w:color w:val="auto"/>
          <w:spacing w:val="6"/>
          <w:kern w:val="0"/>
          <w:sz w:val="32"/>
          <w:szCs w:val="32"/>
        </w:rPr>
        <w:t>于</w:t>
      </w:r>
      <w:r>
        <w:rPr>
          <w:rFonts w:ascii="Times New Roman" w:hAnsi="Times New Roman" w:eastAsia="仿宋_GB2312"/>
          <w:b w:val="0"/>
          <w:bCs w:val="0"/>
          <w:snapToGrid w:val="0"/>
          <w:color w:val="auto"/>
          <w:spacing w:val="6"/>
          <w:kern w:val="0"/>
          <w:sz w:val="32"/>
          <w:szCs w:val="32"/>
        </w:rPr>
        <w:t>2019年3月</w:t>
      </w:r>
      <w:r>
        <w:rPr>
          <w:rFonts w:hint="eastAsia" w:ascii="Times New Roman" w:hAnsi="Times New Roman" w:eastAsia="仿宋_GB2312"/>
          <w:b w:val="0"/>
          <w:bCs w:val="0"/>
          <w:snapToGrid w:val="0"/>
          <w:color w:val="auto"/>
          <w:spacing w:val="6"/>
          <w:kern w:val="0"/>
          <w:sz w:val="32"/>
          <w:szCs w:val="32"/>
        </w:rPr>
        <w:t>18日正式挂牌成立，是遂宁市委、市政府落实省委建设成渝发展主轴绿色经济强市的战略选择，落实全市“一核三片、四区协同”“双联双拓、全域开放”部署的重大举措，</w:t>
      </w:r>
      <w:r>
        <w:rPr>
          <w:rFonts w:ascii="Times New Roman" w:hAnsi="Times New Roman" w:eastAsia="仿宋_GB2312"/>
          <w:b w:val="0"/>
          <w:bCs w:val="0"/>
          <w:snapToGrid w:val="0"/>
          <w:color w:val="auto"/>
          <w:spacing w:val="6"/>
          <w:kern w:val="0"/>
          <w:sz w:val="32"/>
          <w:szCs w:val="32"/>
        </w:rPr>
        <w:t>采</w:t>
      </w:r>
      <w:r>
        <w:rPr>
          <w:rFonts w:hint="eastAsia" w:ascii="Times New Roman" w:hAnsi="Times New Roman" w:eastAsia="仿宋_GB2312"/>
          <w:b w:val="0"/>
          <w:bCs w:val="0"/>
          <w:snapToGrid w:val="0"/>
          <w:color w:val="auto"/>
          <w:spacing w:val="6"/>
          <w:kern w:val="0"/>
          <w:sz w:val="32"/>
          <w:szCs w:val="32"/>
        </w:rPr>
        <w:t>取“一区多园”建设</w:t>
      </w:r>
      <w:r>
        <w:rPr>
          <w:rFonts w:ascii="Times New Roman" w:hAnsi="Times New Roman" w:eastAsia="仿宋_GB2312"/>
          <w:b w:val="0"/>
          <w:bCs w:val="0"/>
          <w:snapToGrid w:val="0"/>
          <w:color w:val="auto"/>
          <w:spacing w:val="6"/>
          <w:kern w:val="0"/>
          <w:sz w:val="32"/>
          <w:szCs w:val="32"/>
        </w:rPr>
        <w:t>模式，总面积535平方公里，其中直管区面积150平方公里</w:t>
      </w:r>
      <w:r>
        <w:rPr>
          <w:rFonts w:hint="eastAsia" w:ascii="Times New Roman" w:hAnsi="Times New Roman" w:eastAsia="仿宋_GB2312"/>
          <w:b w:val="0"/>
          <w:bCs w:val="0"/>
          <w:snapToGrid w:val="0"/>
          <w:color w:val="auto"/>
          <w:spacing w:val="6"/>
          <w:kern w:val="0"/>
          <w:sz w:val="32"/>
          <w:szCs w:val="32"/>
        </w:rPr>
        <w:t>、</w:t>
      </w:r>
      <w:r>
        <w:rPr>
          <w:rFonts w:ascii="Times New Roman" w:hAnsi="Times New Roman" w:eastAsia="仿宋_GB2312"/>
          <w:b w:val="0"/>
          <w:bCs w:val="0"/>
          <w:color w:val="auto"/>
          <w:kern w:val="0"/>
          <w:sz w:val="32"/>
          <w:szCs w:val="32"/>
        </w:rPr>
        <w:t>户籍人口</w:t>
      </w:r>
      <w:r>
        <w:rPr>
          <w:rFonts w:hint="eastAsia" w:ascii="Times New Roman" w:hAnsi="Times New Roman" w:eastAsia="仿宋_GB2312"/>
          <w:b w:val="0"/>
          <w:bCs w:val="0"/>
          <w:color w:val="auto"/>
          <w:kern w:val="0"/>
          <w:sz w:val="32"/>
          <w:szCs w:val="32"/>
        </w:rPr>
        <w:t>8.4</w:t>
      </w:r>
      <w:r>
        <w:rPr>
          <w:rFonts w:ascii="Times New Roman" w:hAnsi="Times New Roman" w:eastAsia="仿宋_GB2312"/>
          <w:b w:val="0"/>
          <w:bCs w:val="0"/>
          <w:color w:val="auto"/>
          <w:kern w:val="0"/>
          <w:sz w:val="32"/>
          <w:szCs w:val="32"/>
        </w:rPr>
        <w:t>万余人</w:t>
      </w:r>
      <w:r>
        <w:rPr>
          <w:rFonts w:ascii="Times New Roman" w:hAnsi="Times New Roman" w:eastAsia="仿宋_GB2312"/>
          <w:b w:val="0"/>
          <w:bCs w:val="0"/>
          <w:snapToGrid w:val="0"/>
          <w:color w:val="auto"/>
          <w:spacing w:val="6"/>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720"/>
        <w:textAlignment w:val="auto"/>
        <w:rPr>
          <w:rFonts w:hint="eastAsia" w:ascii="Times New Roman" w:hAnsi="Times New Roman" w:eastAsia="仿宋_GB2312"/>
          <w:b w:val="0"/>
          <w:bCs w:val="0"/>
          <w:snapToGrid w:val="0"/>
          <w:color w:val="auto"/>
          <w:spacing w:val="6"/>
          <w:kern w:val="0"/>
          <w:sz w:val="32"/>
          <w:szCs w:val="32"/>
        </w:rPr>
      </w:pPr>
      <w:r>
        <w:rPr>
          <w:rFonts w:hint="eastAsia" w:ascii="Times New Roman" w:hAnsi="Times New Roman" w:eastAsia="仿宋_GB2312"/>
          <w:b w:val="0"/>
          <w:bCs w:val="0"/>
          <w:snapToGrid w:val="0"/>
          <w:color w:val="auto"/>
          <w:spacing w:val="6"/>
          <w:kern w:val="0"/>
          <w:sz w:val="32"/>
          <w:szCs w:val="32"/>
        </w:rPr>
        <w:t>遂宁高新区立足“国际物流港、高新智造园、蔓藤生态城”目标愿景，大力实施“533”发展战略，即以新理念、新机制、新动能为引领，以高起点规划、高标准建设、高技术产业、高水平治理、高素质队伍为路径，加快建成高质量发展引领区、联动成渝示范区、创新创业集聚区。大力发展现代产业体系，加快构建以电子信息、机械装备、先进材料、食品生物为主导产业，以商贸物流、现代农业为特色产业，以临空经济、数字经济为新兴产业的“4+2+2”产业体系，成功引进上达电子、中烟宽窄、中国电子、供销冷链等亿元以上项目41个、协议投资366.81亿元，预计投产后年产值500亿元以上。大力推动改革创新，率先实现信息化办公全覆盖，建成</w:t>
      </w:r>
      <w:r>
        <w:rPr>
          <w:rFonts w:hint="eastAsia" w:ascii="Times New Roman" w:hAnsi="Times New Roman" w:eastAsia="仿宋_GB2312"/>
          <w:b w:val="0"/>
          <w:bCs w:val="0"/>
          <w:snapToGrid w:val="0"/>
          <w:color w:val="auto"/>
          <w:spacing w:val="6"/>
          <w:kern w:val="0"/>
          <w:sz w:val="32"/>
          <w:szCs w:val="32"/>
          <w:lang w:val="en-US" w:eastAsia="zh-CN"/>
        </w:rPr>
        <w:t>国家</w:t>
      </w:r>
      <w:r>
        <w:rPr>
          <w:rFonts w:hint="eastAsia" w:ascii="Times New Roman" w:hAnsi="Times New Roman" w:eastAsia="仿宋_GB2312"/>
          <w:b w:val="0"/>
          <w:bCs w:val="0"/>
          <w:snapToGrid w:val="0"/>
          <w:color w:val="auto"/>
          <w:spacing w:val="6"/>
          <w:kern w:val="0"/>
          <w:sz w:val="32"/>
          <w:szCs w:val="32"/>
        </w:rPr>
        <w:t>级孵化器</w:t>
      </w:r>
      <w:r>
        <w:rPr>
          <w:rFonts w:hint="eastAsia" w:ascii="Times New Roman" w:hAnsi="Times New Roman" w:eastAsia="仿宋_GB2312"/>
          <w:b w:val="0"/>
          <w:bCs w:val="0"/>
          <w:snapToGrid w:val="0"/>
          <w:color w:val="auto"/>
          <w:spacing w:val="6"/>
          <w:kern w:val="0"/>
          <w:sz w:val="32"/>
          <w:szCs w:val="32"/>
          <w:lang w:val="en-US" w:eastAsia="zh-CN"/>
        </w:rPr>
        <w:t>1</w:t>
      </w:r>
      <w:r>
        <w:rPr>
          <w:rFonts w:hint="eastAsia" w:ascii="Times New Roman" w:hAnsi="Times New Roman" w:eastAsia="仿宋_GB2312"/>
          <w:b w:val="0"/>
          <w:bCs w:val="0"/>
          <w:snapToGrid w:val="0"/>
          <w:color w:val="auto"/>
          <w:spacing w:val="6"/>
          <w:kern w:val="0"/>
          <w:sz w:val="32"/>
          <w:szCs w:val="32"/>
        </w:rPr>
        <w:t>个、国家级众创空间2个、省级众创空间2</w:t>
      </w:r>
      <w:r>
        <w:rPr>
          <w:rFonts w:hint="eastAsia" w:ascii="Times New Roman" w:hAnsi="Times New Roman" w:eastAsia="仿宋_GB2312"/>
          <w:b w:val="0"/>
          <w:bCs w:val="0"/>
          <w:snapToGrid w:val="0"/>
          <w:color w:val="auto"/>
          <w:spacing w:val="6"/>
          <w:kern w:val="0"/>
          <w:sz w:val="32"/>
          <w:szCs w:val="32"/>
          <w:lang w:val="en-US" w:eastAsia="zh-CN"/>
        </w:rPr>
        <w:t>个</w:t>
      </w:r>
      <w:r>
        <w:rPr>
          <w:rFonts w:hint="eastAsia" w:ascii="Times New Roman" w:hAnsi="Times New Roman" w:eastAsia="仿宋_GB2312"/>
          <w:b w:val="0"/>
          <w:bCs w:val="0"/>
          <w:snapToGrid w:val="0"/>
          <w:color w:val="auto"/>
          <w:spacing w:val="6"/>
          <w:kern w:val="0"/>
          <w:sz w:val="32"/>
          <w:szCs w:val="32"/>
          <w:lang w:eastAsia="zh-CN"/>
        </w:rPr>
        <w:t>、</w:t>
      </w:r>
      <w:r>
        <w:rPr>
          <w:rFonts w:hint="eastAsia" w:ascii="Times New Roman" w:hAnsi="Times New Roman" w:eastAsia="仿宋_GB2312"/>
          <w:b w:val="0"/>
          <w:bCs w:val="0"/>
          <w:snapToGrid w:val="0"/>
          <w:color w:val="auto"/>
          <w:spacing w:val="6"/>
          <w:kern w:val="0"/>
          <w:sz w:val="32"/>
          <w:szCs w:val="32"/>
          <w:lang w:val="en-US" w:eastAsia="zh-CN"/>
        </w:rPr>
        <w:t>省级孵化器2个</w:t>
      </w:r>
      <w:r>
        <w:rPr>
          <w:rFonts w:hint="eastAsia" w:ascii="Times New Roman" w:hAnsi="Times New Roman" w:eastAsia="仿宋_GB2312"/>
          <w:b w:val="0"/>
          <w:bCs w:val="0"/>
          <w:snapToGrid w:val="0"/>
          <w:color w:val="auto"/>
          <w:spacing w:val="6"/>
          <w:kern w:val="0"/>
          <w:sz w:val="32"/>
          <w:szCs w:val="32"/>
        </w:rPr>
        <w:t>，在孵企业100余家；全力创建国家高新区。先后获得全国</w:t>
      </w:r>
      <w:r>
        <w:rPr>
          <w:rFonts w:ascii="Times New Roman" w:hAnsi="Times New Roman" w:eastAsia="仿宋_GB2312"/>
          <w:b w:val="0"/>
          <w:bCs w:val="0"/>
          <w:snapToGrid w:val="0"/>
          <w:color w:val="auto"/>
          <w:spacing w:val="6"/>
          <w:kern w:val="0"/>
          <w:sz w:val="32"/>
          <w:szCs w:val="32"/>
        </w:rPr>
        <w:t>首批国家示范物流园区等</w:t>
      </w:r>
      <w:r>
        <w:rPr>
          <w:rFonts w:hint="eastAsia" w:ascii="Times New Roman" w:hAnsi="Times New Roman" w:eastAsia="仿宋_GB2312"/>
          <w:b w:val="0"/>
          <w:bCs w:val="0"/>
          <w:snapToGrid w:val="0"/>
          <w:color w:val="auto"/>
          <w:spacing w:val="6"/>
          <w:kern w:val="0"/>
          <w:sz w:val="32"/>
          <w:szCs w:val="32"/>
          <w:lang w:val="en-US" w:eastAsia="zh-CN"/>
        </w:rPr>
        <w:t>8</w:t>
      </w:r>
      <w:r>
        <w:rPr>
          <w:rFonts w:ascii="Times New Roman" w:hAnsi="Times New Roman" w:eastAsia="仿宋_GB2312"/>
          <w:b w:val="0"/>
          <w:bCs w:val="0"/>
          <w:snapToGrid w:val="0"/>
          <w:color w:val="auto"/>
          <w:spacing w:val="6"/>
          <w:kern w:val="0"/>
          <w:sz w:val="32"/>
          <w:szCs w:val="32"/>
        </w:rPr>
        <w:t>张国家级名片和四川省电子商务示范基地等</w:t>
      </w:r>
      <w:r>
        <w:rPr>
          <w:rFonts w:hint="eastAsia" w:ascii="Times New Roman" w:hAnsi="Times New Roman" w:eastAsia="仿宋_GB2312"/>
          <w:b w:val="0"/>
          <w:bCs w:val="0"/>
          <w:snapToGrid w:val="0"/>
          <w:color w:val="auto"/>
          <w:spacing w:val="6"/>
          <w:kern w:val="0"/>
          <w:sz w:val="32"/>
          <w:szCs w:val="32"/>
          <w:lang w:val="en-US" w:eastAsia="zh-CN"/>
        </w:rPr>
        <w:t>9</w:t>
      </w:r>
      <w:r>
        <w:rPr>
          <w:rFonts w:ascii="Times New Roman" w:hAnsi="Times New Roman" w:eastAsia="仿宋_GB2312"/>
          <w:b w:val="0"/>
          <w:bCs w:val="0"/>
          <w:snapToGrid w:val="0"/>
          <w:color w:val="auto"/>
          <w:spacing w:val="6"/>
          <w:kern w:val="0"/>
          <w:sz w:val="32"/>
          <w:szCs w:val="32"/>
        </w:rPr>
        <w:t>个省级品牌</w:t>
      </w:r>
      <w:r>
        <w:rPr>
          <w:rFonts w:hint="eastAsia" w:ascii="Times New Roman" w:hAnsi="Times New Roman" w:eastAsia="仿宋_GB2312"/>
          <w:b w:val="0"/>
          <w:bCs w:val="0"/>
          <w:snapToGrid w:val="0"/>
          <w:color w:val="auto"/>
          <w:spacing w:val="6"/>
          <w:kern w:val="0"/>
          <w:sz w:val="32"/>
          <w:szCs w:val="32"/>
        </w:rPr>
        <w:t>，成功创建为陆港型国家物流枢纽。</w:t>
      </w:r>
    </w:p>
    <w:p>
      <w:pPr>
        <w:keepNext w:val="0"/>
        <w:keepLines w:val="0"/>
        <w:pageBreakBefore w:val="0"/>
        <w:widowControl w:val="0"/>
        <w:kinsoku/>
        <w:wordWrap/>
        <w:overflowPunct/>
        <w:topLinePunct w:val="0"/>
        <w:autoSpaceDE/>
        <w:autoSpaceDN/>
        <w:bidi w:val="0"/>
        <w:adjustRightInd w:val="0"/>
        <w:snapToGrid w:val="0"/>
        <w:spacing w:line="336" w:lineRule="auto"/>
        <w:ind w:firstLine="720"/>
        <w:textAlignment w:val="auto"/>
        <w:rPr>
          <w:rFonts w:hint="eastAsia" w:ascii="Times New Roman" w:hAnsi="Times New Roman" w:eastAsia="仿宋_GB2312"/>
          <w:b w:val="0"/>
          <w:bCs w:val="0"/>
          <w:snapToGrid w:val="0"/>
          <w:color w:val="auto"/>
          <w:spacing w:val="6"/>
          <w:kern w:val="0"/>
          <w:sz w:val="32"/>
          <w:szCs w:val="32"/>
        </w:rPr>
      </w:pPr>
      <w:r>
        <w:rPr>
          <w:rFonts w:hint="eastAsia" w:ascii="Times New Roman" w:hAnsi="Times New Roman" w:eastAsia="仿宋_GB2312"/>
          <w:b/>
          <w:bCs/>
          <w:snapToGrid w:val="0"/>
          <w:color w:val="auto"/>
          <w:spacing w:val="6"/>
          <w:kern w:val="0"/>
          <w:sz w:val="32"/>
          <w:szCs w:val="32"/>
        </w:rPr>
        <w:t>遂宁天一投资集团有限公司</w:t>
      </w:r>
      <w:r>
        <w:rPr>
          <w:rFonts w:hint="eastAsia" w:ascii="Times New Roman" w:hAnsi="Times New Roman" w:eastAsia="仿宋_GB2312"/>
          <w:b w:val="0"/>
          <w:bCs w:val="0"/>
          <w:snapToGrid w:val="0"/>
          <w:color w:val="auto"/>
          <w:spacing w:val="6"/>
          <w:kern w:val="0"/>
          <w:sz w:val="32"/>
          <w:szCs w:val="32"/>
        </w:rPr>
        <w:t>主要负责高新区科技金融（金融服务等）、国有资产经营管理、产业投资等业务，在高新区管委会的授权范围内行使出资人、债权人的职能。公司按照统筹与市场运作相结合的原则，遵循市场规律，以资产为基础、投资为纽带，整合资源运营，实现市场化、实体化发展，构建有产业支撑、经营稳定、产融结合的适应经济新常态的经济实体，充分发挥公司在高新区重大项目资产投资建设和产业发展中的引领和带动作用。</w:t>
      </w:r>
    </w:p>
    <w:p>
      <w:pPr>
        <w:keepNext w:val="0"/>
        <w:keepLines w:val="0"/>
        <w:pageBreakBefore w:val="0"/>
        <w:widowControl w:val="0"/>
        <w:kinsoku/>
        <w:wordWrap/>
        <w:overflowPunct/>
        <w:topLinePunct w:val="0"/>
        <w:autoSpaceDE/>
        <w:autoSpaceDN/>
        <w:bidi w:val="0"/>
        <w:adjustRightInd w:val="0"/>
        <w:snapToGrid w:val="0"/>
        <w:spacing w:line="336" w:lineRule="auto"/>
        <w:ind w:firstLine="720"/>
        <w:textAlignment w:val="auto"/>
        <w:rPr>
          <w:rFonts w:hint="eastAsia" w:ascii="Times New Roman" w:hAnsi="Times New Roman" w:eastAsia="仿宋_GB2312"/>
          <w:b w:val="0"/>
          <w:bCs w:val="0"/>
          <w:snapToGrid w:val="0"/>
          <w:color w:val="auto"/>
          <w:spacing w:val="6"/>
          <w:kern w:val="0"/>
          <w:sz w:val="32"/>
          <w:szCs w:val="32"/>
        </w:rPr>
      </w:pPr>
      <w:r>
        <w:rPr>
          <w:rFonts w:hint="eastAsia" w:ascii="Times New Roman" w:hAnsi="Times New Roman" w:eastAsia="仿宋_GB2312"/>
          <w:b/>
          <w:bCs/>
          <w:snapToGrid w:val="0"/>
          <w:color w:val="auto"/>
          <w:spacing w:val="6"/>
          <w:kern w:val="0"/>
          <w:sz w:val="32"/>
          <w:szCs w:val="32"/>
        </w:rPr>
        <w:t>四川涪江学</w:t>
      </w:r>
      <w:r>
        <w:rPr>
          <w:rFonts w:hint="eastAsia" w:ascii="Times New Roman" w:hAnsi="Times New Roman" w:eastAsia="仿宋_GB2312"/>
          <w:b/>
          <w:bCs/>
          <w:snapToGrid w:val="0"/>
          <w:color w:val="auto"/>
          <w:spacing w:val="6"/>
          <w:kern w:val="0"/>
          <w:sz w:val="32"/>
          <w:szCs w:val="32"/>
          <w:lang w:val="en-US" w:eastAsia="zh-CN"/>
        </w:rPr>
        <w:t>源</w:t>
      </w:r>
      <w:r>
        <w:rPr>
          <w:rFonts w:hint="eastAsia" w:ascii="Times New Roman" w:hAnsi="Times New Roman" w:eastAsia="仿宋_GB2312"/>
          <w:b/>
          <w:bCs/>
          <w:snapToGrid w:val="0"/>
          <w:color w:val="auto"/>
          <w:spacing w:val="6"/>
          <w:kern w:val="0"/>
          <w:sz w:val="32"/>
          <w:szCs w:val="32"/>
        </w:rPr>
        <w:t>教育科技有限公司</w:t>
      </w:r>
      <w:r>
        <w:rPr>
          <w:rFonts w:hint="eastAsia" w:ascii="Times New Roman" w:hAnsi="Times New Roman" w:eastAsia="仿宋_GB2312"/>
          <w:b w:val="0"/>
          <w:bCs w:val="0"/>
          <w:snapToGrid w:val="0"/>
          <w:color w:val="auto"/>
          <w:spacing w:val="6"/>
          <w:kern w:val="0"/>
          <w:sz w:val="32"/>
          <w:szCs w:val="32"/>
        </w:rPr>
        <w:t>是四川天盈实业有限责任公司全资子公司，公司主要开展教育咨询服务；融资咨询服务；广告设计、代理；广告制作；旅游开发项目策划咨询；业务培训；组织文化艺术交流活动；会议及展览服务；承接总公司工程建设业务等业务。目前公司主要负责高新区教育咨询、业务培训、会议及展览服务等业务。</w:t>
      </w:r>
    </w:p>
    <w:p>
      <w:pPr>
        <w:keepNext w:val="0"/>
        <w:keepLines w:val="0"/>
        <w:pageBreakBefore w:val="0"/>
        <w:widowControl w:val="0"/>
        <w:kinsoku/>
        <w:wordWrap/>
        <w:overflowPunct/>
        <w:topLinePunct w:val="0"/>
        <w:autoSpaceDE/>
        <w:autoSpaceDN/>
        <w:bidi w:val="0"/>
        <w:adjustRightInd w:val="0"/>
        <w:snapToGrid w:val="0"/>
        <w:spacing w:line="336" w:lineRule="auto"/>
        <w:ind w:firstLine="720"/>
        <w:textAlignment w:val="auto"/>
      </w:pPr>
      <w:r>
        <w:rPr>
          <w:rFonts w:hint="eastAsia" w:ascii="Times New Roman" w:hAnsi="Times New Roman" w:eastAsia="仿宋_GB2312"/>
          <w:b/>
          <w:bCs/>
          <w:snapToGrid w:val="0"/>
          <w:color w:val="auto"/>
          <w:spacing w:val="6"/>
          <w:kern w:val="0"/>
          <w:sz w:val="32"/>
          <w:szCs w:val="32"/>
        </w:rPr>
        <w:t>遂宁天擎工程项目管理有限公司</w:t>
      </w:r>
      <w:r>
        <w:rPr>
          <w:rFonts w:hint="eastAsia" w:ascii="Times New Roman" w:hAnsi="Times New Roman" w:eastAsia="仿宋_GB2312"/>
          <w:b w:val="0"/>
          <w:bCs w:val="0"/>
          <w:snapToGrid w:val="0"/>
          <w:color w:val="auto"/>
          <w:spacing w:val="6"/>
          <w:kern w:val="0"/>
          <w:sz w:val="32"/>
          <w:szCs w:val="32"/>
        </w:rPr>
        <w:t>于2020年4月26日成立，注册资金1200万元，是国有平台公司——四川天盈实业有限责任公司下属全资子公司，位于四川省遂宁市船山区中国西部现代物流港玫瑰大道252号三楼。经营范围包括一般项目：工程管理服务；房地产咨询；土地整治服务；规划设计管理；土地调查评估服务（除依法须经批准的项目外，凭营业执照依法自主开展经营活动）。许可项目：建设工程设计；建设工程监理；工程造价咨询业务；国土空间规划编制；测绘服务（依法须经批准的项目，经相关部门批准后方可开展经营活动，具体经营项目以相关部门批准文件或许可证件为准）。</w:t>
      </w:r>
      <w:bookmarkStart w:id="0" w:name="_GoBack"/>
      <w:bookmarkEnd w:id="0"/>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script"/>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90297"/>
    <w:rsid w:val="3299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ascii="Times New Roman" w:hAnsi="Times New Roman" w:eastAsia="方正仿宋简体"/>
      <w:sz w:val="32"/>
    </w:rPr>
  </w:style>
  <w:style w:type="paragraph" w:customStyle="1" w:styleId="5">
    <w:name w:val="节标题"/>
    <w:basedOn w:val="1"/>
    <w:next w:val="1"/>
    <w:qFormat/>
    <w:uiPriority w:val="0"/>
    <w:pPr>
      <w:spacing w:line="289" w:lineRule="atLeast"/>
      <w:jc w:val="center"/>
      <w:textAlignment w:val="baseline"/>
    </w:pPr>
    <w:rPr>
      <w:rFonts w:ascii="Times New Roman" w:hAnsi="Times New Roman" w:eastAsia="宋体"/>
      <w:color w:val="00000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2021-07-02T01:51:00Z</dcterms:created>
  <dc:creator>Admin</dc:creator>
  <cp:lastModifiedBy>Admin</cp:lastModifiedBy>
  <dcterms:modified xsi:type="dcterms:W3CDTF">2021-07-02T01:51:43Z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