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auto"/>
          <w:szCs w:val="32"/>
          <w:highlight w:val="none"/>
          <w:lang w:eastAsia="zh-CN"/>
        </w:rPr>
      </w:pPr>
      <w:r>
        <w:rPr>
          <w:rFonts w:hint="default" w:ascii="Times New Roman" w:hAnsi="Times New Roman" w:eastAsia="黑体" w:cs="Times New Roman"/>
          <w:color w:val="auto"/>
          <w:szCs w:val="32"/>
          <w:highlight w:val="none"/>
        </w:rPr>
        <w:t>附件</w:t>
      </w:r>
      <w:r>
        <w:rPr>
          <w:rFonts w:hint="default" w:ascii="Times New Roman" w:hAnsi="Times New Roman" w:eastAsia="黑体" w:cs="Times New Roman"/>
          <w:color w:val="auto"/>
          <w:szCs w:val="32"/>
          <w:highlight w:val="none"/>
          <w:lang w:val="en-US" w:eastAsia="zh-CN"/>
        </w:rPr>
        <w:t>2</w:t>
      </w:r>
    </w:p>
    <w:p>
      <w:pPr>
        <w:spacing w:line="600" w:lineRule="exact"/>
        <w:jc w:val="center"/>
        <w:rPr>
          <w:rFonts w:hint="default" w:ascii="Times New Roman" w:hAnsi="Times New Roman" w:eastAsia="方正小标宋简体" w:cs="Times New Roman"/>
          <w:color w:val="auto"/>
          <w:sz w:val="44"/>
          <w:szCs w:val="44"/>
          <w:highlight w:val="none"/>
        </w:rPr>
      </w:pPr>
    </w:p>
    <w:p>
      <w:pPr>
        <w:spacing w:line="600" w:lineRule="exact"/>
        <w:jc w:val="center"/>
        <w:rPr>
          <w:rFonts w:hint="default" w:ascii="Times New Roman" w:hAnsi="Times New Roman" w:eastAsia="方正小标宋简体" w:cs="Times New Roman"/>
          <w:color w:val="auto"/>
          <w:sz w:val="44"/>
          <w:szCs w:val="44"/>
          <w:highlight w:val="none"/>
        </w:rPr>
      </w:pPr>
    </w:p>
    <w:p>
      <w:pPr>
        <w:spacing w:line="600" w:lineRule="exact"/>
        <w:jc w:val="center"/>
        <w:rPr>
          <w:rFonts w:hint="default" w:ascii="Times New Roman" w:hAnsi="Times New Roman" w:eastAsia="方正小标宋简体" w:cs="Times New Roman"/>
          <w:color w:val="auto"/>
          <w:sz w:val="44"/>
          <w:szCs w:val="44"/>
          <w:highlight w:val="none"/>
        </w:rPr>
      </w:pPr>
    </w:p>
    <w:p>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lang w:val="en-US" w:eastAsia="zh-CN"/>
        </w:rPr>
        <w:t>遂宁</w:t>
      </w:r>
      <w:r>
        <w:rPr>
          <w:rFonts w:hint="default" w:ascii="Times New Roman" w:hAnsi="Times New Roman" w:eastAsia="方正小标宋简体" w:cs="Times New Roman"/>
          <w:color w:val="auto"/>
          <w:sz w:val="52"/>
          <w:szCs w:val="52"/>
          <w:highlight w:val="none"/>
          <w:lang w:eastAsia="zh-CN"/>
        </w:rPr>
        <w:t>高新</w:t>
      </w:r>
      <w:r>
        <w:rPr>
          <w:rFonts w:hint="default" w:ascii="Times New Roman" w:hAnsi="Times New Roman" w:eastAsia="方正小标宋简体" w:cs="Times New Roman"/>
          <w:color w:val="auto"/>
          <w:sz w:val="52"/>
          <w:szCs w:val="52"/>
          <w:highlight w:val="none"/>
          <w:lang w:val="en-US" w:eastAsia="zh-CN"/>
        </w:rPr>
        <w:t>区西宁街道</w:t>
      </w:r>
    </w:p>
    <w:p>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20</w:t>
      </w:r>
      <w:r>
        <w:rPr>
          <w:rFonts w:hint="default" w:ascii="Times New Roman" w:hAnsi="Times New Roman" w:eastAsia="方正小标宋简体" w:cs="Times New Roman"/>
          <w:color w:val="auto"/>
          <w:sz w:val="52"/>
          <w:szCs w:val="52"/>
          <w:highlight w:val="none"/>
          <w:lang w:val="en-US" w:eastAsia="zh-CN"/>
        </w:rPr>
        <w:t>23</w:t>
      </w:r>
      <w:r>
        <w:rPr>
          <w:rFonts w:hint="default" w:ascii="Times New Roman" w:hAnsi="Times New Roman" w:eastAsia="方正小标宋简体" w:cs="Times New Roman"/>
          <w:color w:val="auto"/>
          <w:sz w:val="52"/>
          <w:szCs w:val="52"/>
          <w:highlight w:val="none"/>
        </w:rPr>
        <w:t>年部门预算</w:t>
      </w:r>
    </w:p>
    <w:p>
      <w:pPr>
        <w:spacing w:line="600" w:lineRule="exact"/>
        <w:jc w:val="center"/>
        <w:rPr>
          <w:rFonts w:hint="default" w:ascii="Times New Roman" w:hAnsi="Times New Roman" w:cs="Times New Roman"/>
          <w:color w:val="auto"/>
          <w:szCs w:val="44"/>
          <w:highlight w:val="none"/>
        </w:rPr>
      </w:pPr>
    </w:p>
    <w:p>
      <w:pPr>
        <w:spacing w:line="600" w:lineRule="exact"/>
        <w:jc w:val="center"/>
        <w:rPr>
          <w:rFonts w:hint="default" w:ascii="Times New Roman" w:hAnsi="Times New Roman" w:cs="Times New Roman"/>
          <w:color w:val="auto"/>
          <w:szCs w:val="44"/>
          <w:highlight w:val="none"/>
        </w:rPr>
      </w:pPr>
    </w:p>
    <w:p>
      <w:pPr>
        <w:spacing w:line="600" w:lineRule="exact"/>
        <w:jc w:val="center"/>
        <w:rPr>
          <w:rFonts w:hint="default" w:ascii="Times New Roman" w:hAnsi="Times New Roman" w:cs="Times New Roman"/>
          <w:color w:val="auto"/>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44"/>
          <w:szCs w:val="44"/>
          <w:highlight w:val="none"/>
        </w:rPr>
      </w:pPr>
      <w:r>
        <w:rPr>
          <w:rFonts w:hint="default" w:ascii="Times New Roman" w:hAnsi="Times New Roman" w:cs="Times New Roman"/>
          <w:color w:val="auto"/>
          <w:szCs w:val="44"/>
          <w:highlight w:val="none"/>
        </w:rPr>
        <w:br w:type="page"/>
      </w:r>
      <w:r>
        <w:rPr>
          <w:rFonts w:hint="default" w:ascii="Times New Roman" w:hAnsi="Times New Roman" w:eastAsia="黑体" w:cs="Times New Roman"/>
          <w:b w:val="0"/>
          <w:bCs w:val="0"/>
          <w:color w:val="auto"/>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color w:val="auto"/>
          <w:szCs w:val="4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highlight w:val="none"/>
        </w:rPr>
      </w:pPr>
      <w:r>
        <w:rPr>
          <w:rFonts w:hint="default" w:ascii="Times New Roman" w:hAnsi="Times New Roman" w:eastAsia="黑体" w:cs="Times New Roman"/>
          <w:b w:val="0"/>
          <w:bCs w:val="0"/>
          <w:color w:val="auto"/>
          <w:szCs w:val="44"/>
          <w:highlight w:val="none"/>
        </w:rPr>
        <w:t>第一部分  20</w:t>
      </w:r>
      <w:r>
        <w:rPr>
          <w:rFonts w:hint="default" w:ascii="Times New Roman" w:hAnsi="Times New Roman" w:eastAsia="黑体" w:cs="Times New Roman"/>
          <w:b w:val="0"/>
          <w:bCs w:val="0"/>
          <w:color w:val="auto"/>
          <w:szCs w:val="44"/>
          <w:highlight w:val="none"/>
          <w:lang w:val="en-US" w:eastAsia="zh-CN"/>
        </w:rPr>
        <w:t>23</w:t>
      </w:r>
      <w:r>
        <w:rPr>
          <w:rFonts w:hint="default" w:ascii="Times New Roman" w:hAnsi="Times New Roman" w:eastAsia="黑体" w:cs="Times New Roman"/>
          <w:b w:val="0"/>
          <w:bCs w:val="0"/>
          <w:color w:val="auto"/>
          <w:szCs w:val="44"/>
          <w:highlight w:val="none"/>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二、部门预算单位构成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三、收支预算情况说明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left="1264" w:leftChars="200" w:hanging="632" w:hanging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十二、名词解释</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highlight w:val="none"/>
        </w:rPr>
      </w:pPr>
      <w:r>
        <w:rPr>
          <w:rFonts w:hint="default" w:ascii="Times New Roman" w:hAnsi="Times New Roman" w:eastAsia="黑体" w:cs="Times New Roman"/>
          <w:b w:val="0"/>
          <w:bCs w:val="0"/>
          <w:color w:val="auto"/>
          <w:szCs w:val="44"/>
          <w:highlight w:val="none"/>
        </w:rPr>
        <w:t>第二部分  20</w:t>
      </w:r>
      <w:r>
        <w:rPr>
          <w:rFonts w:hint="default" w:ascii="Times New Roman" w:hAnsi="Times New Roman" w:eastAsia="黑体" w:cs="Times New Roman"/>
          <w:b w:val="0"/>
          <w:bCs w:val="0"/>
          <w:color w:val="auto"/>
          <w:szCs w:val="44"/>
          <w:highlight w:val="none"/>
          <w:lang w:val="en-US" w:eastAsia="zh-CN"/>
        </w:rPr>
        <w:t>23</w:t>
      </w:r>
      <w:r>
        <w:rPr>
          <w:rFonts w:hint="default" w:ascii="Times New Roman" w:hAnsi="Times New Roman" w:eastAsia="黑体" w:cs="Times New Roman"/>
          <w:b w:val="0"/>
          <w:bCs w:val="0"/>
          <w:color w:val="auto"/>
          <w:szCs w:val="44"/>
          <w:highlight w:val="none"/>
        </w:rPr>
        <w:t>年部门预算报表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表2. 财政拨款收支预算总表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表2-1. 财政拨款支出预算表（政府经济分类科目）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表3-2. 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表3-3. 一般公共预算“三公”经费支出预算表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表4. 政府性基金支出预算表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highlight w:val="none"/>
        </w:rPr>
      </w:pPr>
      <w:r>
        <w:rPr>
          <w:rFonts w:hint="default" w:ascii="Times New Roman" w:hAnsi="Times New Roman" w:eastAsia="黑体" w:cs="Times New Roman"/>
          <w:b w:val="0"/>
          <w:bCs w:val="0"/>
          <w:color w:val="auto"/>
          <w:szCs w:val="44"/>
          <w:highlight w:val="none"/>
        </w:rPr>
        <w:t>第三部分  20</w:t>
      </w:r>
      <w:r>
        <w:rPr>
          <w:rFonts w:hint="default" w:ascii="Times New Roman" w:hAnsi="Times New Roman" w:eastAsia="黑体" w:cs="Times New Roman"/>
          <w:b w:val="0"/>
          <w:bCs w:val="0"/>
          <w:color w:val="auto"/>
          <w:szCs w:val="44"/>
          <w:highlight w:val="none"/>
          <w:lang w:val="en-US" w:eastAsia="zh-CN"/>
        </w:rPr>
        <w:t>23</w:t>
      </w:r>
      <w:r>
        <w:rPr>
          <w:rFonts w:hint="default" w:ascii="Times New Roman" w:hAnsi="Times New Roman" w:eastAsia="黑体" w:cs="Times New Roman"/>
          <w:b w:val="0"/>
          <w:bCs w:val="0"/>
          <w:color w:val="auto"/>
          <w:szCs w:val="44"/>
          <w:highlight w:val="none"/>
        </w:rPr>
        <w:t>年部门预算项目绩效目标表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highlight w:val="none"/>
        </w:rPr>
      </w:pPr>
      <w:r>
        <w:rPr>
          <w:rFonts w:hint="default" w:ascii="Times New Roman" w:hAnsi="Times New Roman" w:cs="Times New Roman"/>
          <w:b w:val="0"/>
          <w:bCs w:val="0"/>
          <w:color w:val="auto"/>
          <w:szCs w:val="44"/>
          <w:highlight w:val="none"/>
        </w:rPr>
        <w:t>表1. 部门预算项目支出绩效目标表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szCs w:val="4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cs="Times New Roman"/>
          <w:b w:val="0"/>
          <w:bCs w:val="0"/>
          <w:color w:val="auto"/>
          <w:szCs w:val="44"/>
          <w:highlight w:val="none"/>
        </w:rPr>
        <w:br w:type="page"/>
      </w:r>
      <w:r>
        <w:rPr>
          <w:rFonts w:hint="default" w:ascii="Times New Roman" w:hAnsi="Times New Roman" w:eastAsia="方正小标宋简体" w:cs="Times New Roman"/>
          <w:b w:val="0"/>
          <w:bCs w:val="0"/>
          <w:color w:val="auto"/>
          <w:sz w:val="44"/>
          <w:szCs w:val="44"/>
          <w:highlight w:val="none"/>
          <w:u w:val="none"/>
          <w:lang w:val="en-US" w:eastAsia="zh-CN"/>
        </w:rPr>
        <w:t>遂</w:t>
      </w:r>
      <w:r>
        <w:rPr>
          <w:rFonts w:hint="default" w:ascii="Times New Roman" w:hAnsi="Times New Roman" w:eastAsia="方正小标宋简体" w:cs="Times New Roman"/>
          <w:b w:val="0"/>
          <w:bCs w:val="0"/>
          <w:color w:val="auto"/>
          <w:sz w:val="44"/>
          <w:szCs w:val="44"/>
          <w:highlight w:val="none"/>
          <w:u w:val="none"/>
          <w:lang w:eastAsia="zh-CN"/>
        </w:rPr>
        <w:t>宁高新</w:t>
      </w:r>
      <w:r>
        <w:rPr>
          <w:rFonts w:hint="default" w:ascii="Times New Roman" w:hAnsi="Times New Roman" w:eastAsia="方正小标宋简体" w:cs="Times New Roman"/>
          <w:b w:val="0"/>
          <w:bCs w:val="0"/>
          <w:color w:val="auto"/>
          <w:sz w:val="44"/>
          <w:szCs w:val="44"/>
          <w:highlight w:val="none"/>
          <w:u w:val="none"/>
          <w:lang w:val="en-US" w:eastAsia="zh-CN"/>
        </w:rPr>
        <w:t>区西宁街道办事处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color w:val="auto"/>
          <w:highlight w:val="none"/>
        </w:rPr>
      </w:pPr>
      <w:r>
        <w:rPr>
          <w:rFonts w:hint="default" w:ascii="Times New Roman" w:hAnsi="Times New Roman" w:eastAsia="方正小标宋简体" w:cs="Times New Roman"/>
          <w:b w:val="0"/>
          <w:bCs w:val="0"/>
          <w:color w:val="auto"/>
          <w:sz w:val="44"/>
          <w:szCs w:val="44"/>
          <w:highlight w:val="none"/>
        </w:rPr>
        <w:t>20</w:t>
      </w:r>
      <w:r>
        <w:rPr>
          <w:rFonts w:hint="default" w:ascii="Times New Roman" w:hAnsi="Times New Roman" w:eastAsia="方正小标宋简体" w:cs="Times New Roman"/>
          <w:b w:val="0"/>
          <w:bCs w:val="0"/>
          <w:color w:val="auto"/>
          <w:sz w:val="44"/>
          <w:szCs w:val="44"/>
          <w:highlight w:val="none"/>
          <w:lang w:val="en-US" w:eastAsia="zh-CN"/>
        </w:rPr>
        <w:t>23</w:t>
      </w:r>
      <w:r>
        <w:rPr>
          <w:rFonts w:hint="default" w:ascii="Times New Roman" w:hAnsi="Times New Roman" w:eastAsia="方正小标宋简体" w:cs="Times New Roman"/>
          <w:b w:val="0"/>
          <w:bCs w:val="0"/>
          <w:color w:val="auto"/>
          <w:sz w:val="44"/>
          <w:szCs w:val="44"/>
          <w:highlight w:val="none"/>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一、基本职能及主要工作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default" w:ascii="Times New Roman" w:hAnsi="Times New Roman" w:eastAsia="sans-serif" w:cs="Times New Roman"/>
          <w:b w:val="0"/>
          <w:bCs w:val="0"/>
          <w:color w:val="auto"/>
          <w:highlight w:val="none"/>
        </w:rPr>
      </w:pPr>
      <w:r>
        <w:rPr>
          <w:rStyle w:val="12"/>
          <w:rFonts w:hint="default" w:ascii="Times New Roman" w:hAnsi="Times New Roman" w:eastAsia="楷体_GB2312" w:cs="Times New Roman"/>
          <w:b w:val="0"/>
          <w:bCs w:val="0"/>
          <w:color w:val="auto"/>
          <w:sz w:val="32"/>
          <w:szCs w:val="32"/>
          <w:highlight w:val="none"/>
        </w:rPr>
        <w:t>（一）</w:t>
      </w:r>
      <w:r>
        <w:rPr>
          <w:rStyle w:val="12"/>
          <w:rFonts w:hint="default" w:ascii="Times New Roman" w:hAnsi="Times New Roman" w:eastAsia="楷体_GB2312" w:cs="Times New Roman"/>
          <w:b w:val="0"/>
          <w:bCs w:val="0"/>
          <w:color w:val="auto"/>
          <w:sz w:val="30"/>
          <w:szCs w:val="30"/>
          <w:highlight w:val="none"/>
          <w:lang w:val="en-US" w:eastAsia="zh-CN"/>
        </w:rPr>
        <w:t>西宁街道</w:t>
      </w:r>
      <w:r>
        <w:rPr>
          <w:rStyle w:val="12"/>
          <w:rFonts w:hint="default" w:ascii="Times New Roman" w:hAnsi="Times New Roman" w:eastAsia="楷体_GB2312" w:cs="Times New Roman"/>
          <w:b w:val="0"/>
          <w:bCs w:val="0"/>
          <w:color w:val="auto"/>
          <w:sz w:val="30"/>
          <w:szCs w:val="30"/>
          <w:highlight w:val="none"/>
        </w:rPr>
        <w:t>职能简介</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1.</w:t>
      </w:r>
      <w:r>
        <w:rPr>
          <w:rFonts w:hint="default" w:ascii="Times New Roman" w:hAnsi="Times New Roman" w:eastAsia="仿宋_GB2312" w:cs="Times New Roman"/>
          <w:b w:val="0"/>
          <w:bCs w:val="0"/>
          <w:color w:val="auto"/>
          <w:sz w:val="32"/>
          <w:szCs w:val="32"/>
          <w:highlight w:val="none"/>
          <w:shd w:val="clear" w:color="auto" w:fill="FFFFFF"/>
          <w:lang w:bidi="ar"/>
        </w:rPr>
        <w:t>加强党的建设。落实基层党建工作责任制，统筹街道和社区区域化党建，实现党的组织和工作全覆盖。加强意识形态阵地及队伍建设。落实管党治党责任，不断提高党的建设质量，推动全面从严治党向基层延伸。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2.</w:t>
      </w:r>
      <w:r>
        <w:rPr>
          <w:rFonts w:hint="default" w:ascii="Times New Roman" w:hAnsi="Times New Roman" w:eastAsia="仿宋_GB2312" w:cs="Times New Roman"/>
          <w:b w:val="0"/>
          <w:bCs w:val="0"/>
          <w:color w:val="auto"/>
          <w:sz w:val="32"/>
          <w:szCs w:val="32"/>
          <w:highlight w:val="none"/>
          <w:shd w:val="clear" w:color="auto" w:fill="FFFFFF"/>
          <w:lang w:bidi="ar"/>
        </w:rPr>
        <w:t>统筹区域发展。参与拟订市区两级关于辖区发展的重大决策和建设规划并统筹落实，负责促进辖区经济建设、项目发展工作，承担优化发展环境、采集企业信息、服务辖区企业、促进项目发展等工作。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3.</w:t>
      </w:r>
      <w:r>
        <w:rPr>
          <w:rFonts w:hint="default" w:ascii="Times New Roman" w:hAnsi="Times New Roman" w:eastAsia="仿宋_GB2312" w:cs="Times New Roman"/>
          <w:b w:val="0"/>
          <w:bCs w:val="0"/>
          <w:color w:val="auto"/>
          <w:sz w:val="32"/>
          <w:szCs w:val="32"/>
          <w:highlight w:val="none"/>
          <w:shd w:val="clear" w:color="auto" w:fill="FFFFFF"/>
          <w:lang w:bidi="ar"/>
        </w:rPr>
        <w:t>组织公共服务。组织实施与居民生活密切相关的各项公共服务事项，落实人力资源社会保障、民政、教育、科技、文化、体育、卫生健康、退役军人事务、居民小区物业管理等领域相关法规政策。</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4.</w:t>
      </w:r>
      <w:r>
        <w:rPr>
          <w:rFonts w:hint="default" w:ascii="Times New Roman" w:hAnsi="Times New Roman" w:eastAsia="仿宋_GB2312" w:cs="Times New Roman"/>
          <w:b w:val="0"/>
          <w:bCs w:val="0"/>
          <w:color w:val="auto"/>
          <w:sz w:val="32"/>
          <w:szCs w:val="32"/>
          <w:highlight w:val="none"/>
          <w:shd w:val="clear" w:color="auto" w:fill="FFFFFF"/>
          <w:lang w:bidi="ar"/>
        </w:rPr>
        <w:t>实施公共管理。负责辖区内生态环境保护、城市管理、控违拆违、征地拆迁等综合性管理工作，承担组织领导和综合协调职能。</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5.</w:t>
      </w:r>
      <w:r>
        <w:rPr>
          <w:rFonts w:hint="default" w:ascii="Times New Roman" w:hAnsi="Times New Roman" w:eastAsia="仿宋_GB2312" w:cs="Times New Roman"/>
          <w:b w:val="0"/>
          <w:bCs w:val="0"/>
          <w:color w:val="auto"/>
          <w:sz w:val="32"/>
          <w:szCs w:val="32"/>
          <w:highlight w:val="none"/>
          <w:shd w:val="clear" w:color="auto" w:fill="FFFFFF"/>
          <w:lang w:bidi="ar"/>
        </w:rPr>
        <w:t>维护公共安全。承担辖区内社会治安综合治理、平安建设、应急管理等有关工作，接待群众来信来访，反映社情民意，化解矛盾纠纷等。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6.</w:t>
      </w:r>
      <w:r>
        <w:rPr>
          <w:rFonts w:hint="default" w:ascii="Times New Roman" w:hAnsi="Times New Roman" w:eastAsia="仿宋_GB2312" w:cs="Times New Roman"/>
          <w:b w:val="0"/>
          <w:bCs w:val="0"/>
          <w:color w:val="auto"/>
          <w:sz w:val="32"/>
          <w:szCs w:val="32"/>
          <w:highlight w:val="none"/>
          <w:shd w:val="clear" w:color="auto" w:fill="FFFFFF"/>
          <w:lang w:bidi="ar"/>
        </w:rPr>
        <w:t>监督执法管理。对辖区内各类行政执法工作进行统筹协调，组织开展群众监督和社会监督。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7.</w:t>
      </w:r>
      <w:r>
        <w:rPr>
          <w:rFonts w:hint="default" w:ascii="Times New Roman" w:hAnsi="Times New Roman" w:eastAsia="仿宋_GB2312" w:cs="Times New Roman"/>
          <w:b w:val="0"/>
          <w:bCs w:val="0"/>
          <w:color w:val="auto"/>
          <w:sz w:val="32"/>
          <w:szCs w:val="32"/>
          <w:highlight w:val="none"/>
          <w:shd w:val="clear" w:color="auto" w:fill="FFFFFF"/>
          <w:lang w:bidi="ar"/>
        </w:rPr>
        <w:t>动员社会参与。动员辖区内各类单位、社会组织、社区居民等社会力量参与社会治理，为街道发展服务。</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bidi="ar"/>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8.</w:t>
      </w:r>
      <w:r>
        <w:rPr>
          <w:rFonts w:hint="default" w:ascii="Times New Roman" w:hAnsi="Times New Roman" w:eastAsia="仿宋_GB2312" w:cs="Times New Roman"/>
          <w:b w:val="0"/>
          <w:bCs w:val="0"/>
          <w:color w:val="auto"/>
          <w:sz w:val="32"/>
          <w:szCs w:val="32"/>
          <w:highlight w:val="none"/>
          <w:shd w:val="clear" w:color="auto" w:fill="FFFFFF"/>
          <w:lang w:bidi="ar"/>
        </w:rPr>
        <w:t>保障居民自治。指导社区居民委员会建设，健全居民自治平台，组织辖区单位和居民参与社区建设、管理。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_GB2312" w:cs="Times New Roman"/>
          <w:b w:val="0"/>
          <w:bCs w:val="0"/>
          <w:color w:val="auto"/>
          <w:sz w:val="31"/>
          <w:szCs w:val="31"/>
          <w:highlight w:val="none"/>
          <w:u w:val="none"/>
        </w:rPr>
      </w:pPr>
      <w:r>
        <w:rPr>
          <w:rFonts w:hint="default" w:ascii="Times New Roman" w:hAnsi="Times New Roman" w:eastAsia="仿宋_GB2312" w:cs="Times New Roman"/>
          <w:b w:val="0"/>
          <w:bCs w:val="0"/>
          <w:color w:val="auto"/>
          <w:sz w:val="32"/>
          <w:szCs w:val="32"/>
          <w:highlight w:val="none"/>
          <w:shd w:val="clear" w:color="auto" w:fill="FFFFFF"/>
          <w:lang w:val="en-US" w:eastAsia="zh-CN" w:bidi="ar"/>
        </w:rPr>
        <w:t>9.</w:t>
      </w:r>
      <w:r>
        <w:rPr>
          <w:rFonts w:hint="default" w:ascii="Times New Roman" w:hAnsi="Times New Roman" w:eastAsia="仿宋_GB2312" w:cs="Times New Roman"/>
          <w:b w:val="0"/>
          <w:bCs w:val="0"/>
          <w:color w:val="auto"/>
          <w:sz w:val="32"/>
          <w:szCs w:val="32"/>
          <w:highlight w:val="none"/>
          <w:shd w:val="clear" w:color="auto" w:fill="FFFFFF"/>
          <w:lang w:bidi="ar"/>
        </w:rPr>
        <w:t>完成上级党委、政府交办的其他事项。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（二）20</w:t>
      </w:r>
      <w:r>
        <w:rPr>
          <w:rFonts w:hint="default" w:ascii="Times New Roman" w:hAnsi="Times New Roman" w:eastAsia="楷体_GB2312" w:cs="Times New Roman"/>
          <w:b w:val="0"/>
          <w:bCs w:val="0"/>
          <w:color w:val="auto"/>
          <w:highlight w:val="none"/>
          <w:lang w:val="en-US" w:eastAsia="zh-CN"/>
        </w:rPr>
        <w:t>23</w:t>
      </w:r>
      <w:r>
        <w:rPr>
          <w:rFonts w:hint="default" w:ascii="Times New Roman" w:hAnsi="Times New Roman" w:eastAsia="楷体_GB2312" w:cs="Times New Roman"/>
          <w:b w:val="0"/>
          <w:bCs w:val="0"/>
          <w:color w:val="auto"/>
          <w:highlight w:val="none"/>
        </w:rPr>
        <w:t>年重点工作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1.提升思想政治建设。切实增强“四个意识”、坚定“四个自信”、做到“两个维护”，不断增强政治判断力、政治领悟力和政治执行力，强化党员教育、着力干部队伍建设，提升干部作风。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2.着力党风廉政建设。开展警示教育，梳理廉政风险隐患点，制定事务运行规程图和风险管理树状图，集中观看廉政教育片，积极倡导以正面先进为榜样、以反面典型为警醒。</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3.全力攻坚征地拆迁，确保绵遂内铁路建设的顺利推进，强化五大片区开发、82个园区项目征拆和群众工作保障，并启动和完成已报征村和社区的失地农民养老保险办理工作。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4.落实首问责任制，强化政务服务，坚持把人民群众利益放在至高位置，“为群众服务、为企业服务”，全面推进“最多跑一次”和“民事代办”，规范便民服务中心管理，明确便民服务中心职责。</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5.统筹相关部门启动并完成华翔城临时农贸市场建设、争取资金完成11公里老旧燃气管网改造、引进农业龙头企业至舒家河片区土地，做好农文旅融合发展文章。</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6.做好安全稳定工作。继续落实常态化森林防灭火，加强开展河流、水库、塘堰等水域安全隐患排查工作，畅通群众诉求渠道，狠抓食品安全日常监管等工作，千方百计保障群众生命和财产安全。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7.坚持程序规范，确保公平公正，成立选房小组，多次召开专题会研究实施方案和选房流程，扎实推进桃花山三期安置工作，确保群众住有所居。</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8.耕地保护全面实施“田长制”，切实落实“将饭碗端在自己手上”，提升撂荒地整治和耕地“进出平衡”，全年共整治耕地400亩。</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shd w:val="clear" w:color="auto" w:fill="FFFFFF"/>
          <w:lang w:val="en-US" w:eastAsia="zh-CN" w:bidi="ar"/>
        </w:rPr>
      </w:pPr>
      <w:r>
        <w:rPr>
          <w:rFonts w:hint="default" w:ascii="Times New Roman" w:hAnsi="Times New Roman" w:cs="Times New Roman"/>
          <w:b w:val="0"/>
          <w:bCs w:val="0"/>
          <w:color w:val="auto"/>
          <w:sz w:val="32"/>
          <w:szCs w:val="32"/>
          <w:highlight w:val="none"/>
          <w:shd w:val="clear" w:color="auto" w:fill="FFFFFF"/>
          <w:lang w:val="en-US" w:eastAsia="zh-CN" w:bidi="ar"/>
        </w:rPr>
        <w:t>9．坚持党建引领，创新模式强化基层治理。以建立治理示范区为目标，以大党建格局推动社区治理，探索“一核多元、共建共治”的社会治理模式，着力把做实小区党建作为推进城市基层治理的突破口和重难点，健全小区党建的组织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24"/>
          <w:highlight w:val="none"/>
          <w:lang w:val="en-US" w:eastAsia="zh-CN" w:bidi="ar-SA"/>
        </w:rPr>
        <w:t>二</w:t>
      </w:r>
      <w:r>
        <w:rPr>
          <w:rFonts w:hint="default" w:ascii="Times New Roman" w:hAnsi="Times New Roman" w:eastAsia="黑体" w:cs="Times New Roman"/>
          <w:b w:val="0"/>
          <w:bCs w:val="0"/>
          <w:color w:val="auto"/>
          <w:kern w:val="2"/>
          <w:sz w:val="32"/>
          <w:szCs w:val="32"/>
          <w:highlight w:val="none"/>
          <w:lang w:val="en-US" w:eastAsia="zh-CN" w:bidi="ar"/>
        </w:rPr>
        <w:t>、部门预算单位构成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90" w:firstLineChars="250"/>
        <w:jc w:val="both"/>
        <w:textAlignment w:val="auto"/>
        <w:rPr>
          <w:rFonts w:hint="default" w:ascii="Times New Roman" w:hAnsi="Times New Roman" w:eastAsia="仿宋" w:cs="Times New Roman"/>
          <w:b w:val="0"/>
          <w:bCs w:val="0"/>
          <w:color w:val="auto"/>
          <w:kern w:val="0"/>
          <w:sz w:val="32"/>
          <w:szCs w:val="32"/>
          <w:highlight w:val="none"/>
        </w:rPr>
      </w:pPr>
      <w:r>
        <w:rPr>
          <w:rFonts w:hint="default" w:ascii="Times New Roman" w:hAnsi="Times New Roman" w:eastAsia="仿宋" w:cs="Times New Roman"/>
          <w:b w:val="0"/>
          <w:bCs w:val="0"/>
          <w:color w:val="auto"/>
          <w:kern w:val="2"/>
          <w:sz w:val="32"/>
          <w:szCs w:val="32"/>
          <w:highlight w:val="none"/>
          <w:lang w:val="en-US" w:eastAsia="zh-CN" w:bidi="ar"/>
        </w:rPr>
        <w:t>西宁街道下属二级单位0个，其中行政单位0个，参照公务员法管理的事业单位0个，其他事业单位0个。</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三、收支预算情况说明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按照综合预算的原则，</w:t>
      </w: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所有收入和支出均纳入部门预算管理。收入包括：一般公共预算拨款收入2241.21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、政府性基金预算拨款收入281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上年结转67.15</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；支出包括：一般公共服务支出1044.74</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、社会保障和就业支出163.17</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、卫生健康支出141.53</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、城乡社区支出281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、农林水支出356.37</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、住房保障支出602.54</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u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年收支总预算</w:t>
      </w:r>
      <w:r>
        <w:rPr>
          <w:rFonts w:hint="default" w:ascii="Times New Roman" w:hAnsi="Times New Roman" w:eastAsia="楷体_GB2312" w:cs="Times New Roman"/>
          <w:b w:val="0"/>
          <w:bCs w:val="0"/>
          <w:color w:val="auto"/>
          <w:highlight w:val="none"/>
        </w:rPr>
        <w:t>2589.36</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较20</w:t>
      </w:r>
      <w:r>
        <w:rPr>
          <w:rFonts w:hint="default" w:ascii="Times New Roman" w:hAnsi="Times New Roman" w:cs="Times New Roman"/>
          <w:b w:val="0"/>
          <w:bCs w:val="0"/>
          <w:color w:val="auto"/>
          <w:highlight w:val="none"/>
          <w:lang w:val="en-US" w:eastAsia="zh-CN"/>
        </w:rPr>
        <w:t>22</w:t>
      </w:r>
      <w:r>
        <w:rPr>
          <w:rFonts w:hint="default" w:ascii="Times New Roman" w:hAnsi="Times New Roman" w:cs="Times New Roman"/>
          <w:b w:val="0"/>
          <w:bCs w:val="0"/>
          <w:color w:val="auto"/>
          <w:highlight w:val="none"/>
        </w:rPr>
        <w:t>年收支预算总数</w:t>
      </w:r>
      <w:r>
        <w:rPr>
          <w:rFonts w:hint="default" w:ascii="Times New Roman" w:hAnsi="Times New Roman" w:cs="Times New Roman"/>
          <w:b w:val="0"/>
          <w:bCs w:val="0"/>
          <w:color w:val="auto"/>
          <w:highlight w:val="none"/>
          <w:u w:val="none"/>
        </w:rPr>
        <w:t>增加</w:t>
      </w:r>
      <w:r>
        <w:rPr>
          <w:rFonts w:hint="default" w:ascii="Times New Roman" w:hAnsi="Times New Roman" w:cs="Times New Roman"/>
          <w:b w:val="0"/>
          <w:bCs w:val="0"/>
          <w:color w:val="auto"/>
          <w:highlight w:val="none"/>
          <w:u w:val="none"/>
          <w:lang w:val="en-US" w:eastAsia="zh-CN"/>
        </w:rPr>
        <w:t>826.58</w:t>
      </w:r>
      <w:r>
        <w:rPr>
          <w:rFonts w:hint="default" w:ascii="Times New Roman" w:hAnsi="Times New Roman" w:cs="Times New Roman"/>
          <w:b w:val="0"/>
          <w:bCs w:val="0"/>
          <w:color w:val="auto"/>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
        </w:rPr>
        <w:t>主要一般公共预算收支增加（村级公益事业“一事一议”财政奖补），基金预算收支增加（徐家堰村5组廖成杰孝卫不锈钢加工坊征拆补偿、福光庙村联升片区2社唐昌荣养殖专业合作社搬迁补偿、火把堰村8社土地租金产值费、金桂社区4社废品收购站搬迁补偿及养殖搬迁补偿）。</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（一）收入预算情况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u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年收入预算</w:t>
      </w:r>
      <w:r>
        <w:rPr>
          <w:rFonts w:hint="default" w:ascii="Times New Roman" w:hAnsi="Times New Roman" w:eastAsia="楷体_GB2312" w:cs="Times New Roman"/>
          <w:b w:val="0"/>
          <w:bCs w:val="0"/>
          <w:color w:val="auto"/>
          <w:highlight w:val="none"/>
          <w:lang w:val="en-US" w:eastAsia="zh-CN"/>
        </w:rPr>
        <w:t>2589.36</w:t>
      </w:r>
      <w:r>
        <w:rPr>
          <w:rFonts w:hint="default" w:ascii="Times New Roman" w:hAnsi="Times New Roman" w:cs="Times New Roman"/>
          <w:b w:val="0"/>
          <w:bCs w:val="0"/>
          <w:color w:val="auto"/>
          <w:highlight w:val="none"/>
        </w:rPr>
        <w:t>万元，其中：上年结转</w:t>
      </w:r>
      <w:r>
        <w:rPr>
          <w:rFonts w:hint="default" w:ascii="Times New Roman" w:hAnsi="Times New Roman" w:eastAsia="楷体_GB2312" w:cs="Times New Roman"/>
          <w:b w:val="0"/>
          <w:bCs w:val="0"/>
          <w:color w:val="auto"/>
          <w:highlight w:val="none"/>
        </w:rPr>
        <w:t>67.15</w:t>
      </w:r>
      <w:r>
        <w:rPr>
          <w:rFonts w:hint="default" w:ascii="Times New Roman" w:hAnsi="Times New Roman" w:cs="Times New Roman"/>
          <w:b w:val="0"/>
          <w:bCs w:val="0"/>
          <w:color w:val="auto"/>
          <w:highlight w:val="none"/>
        </w:rPr>
        <w:t>万元，占</w:t>
      </w:r>
      <w:r>
        <w:rPr>
          <w:rFonts w:hint="default" w:ascii="Times New Roman" w:hAnsi="Times New Roman" w:eastAsia="楷体_GB2312" w:cs="Times New Roman"/>
          <w:b w:val="0"/>
          <w:bCs w:val="0"/>
          <w:color w:val="auto"/>
          <w:highlight w:val="none"/>
          <w:lang w:val="en-US" w:eastAsia="zh-CN"/>
        </w:rPr>
        <w:t>2.59</w:t>
      </w:r>
      <w:r>
        <w:rPr>
          <w:rFonts w:hint="default" w:ascii="Times New Roman" w:hAnsi="Times New Roman" w:cs="Times New Roman"/>
          <w:b w:val="0"/>
          <w:bCs w:val="0"/>
          <w:color w:val="auto"/>
          <w:highlight w:val="none"/>
        </w:rPr>
        <w:t>%；一般公共预算拨款收入2241.21万元，占</w:t>
      </w:r>
      <w:r>
        <w:rPr>
          <w:rFonts w:hint="default" w:ascii="Times New Roman" w:hAnsi="Times New Roman" w:eastAsia="楷体_GB2312" w:cs="Times New Roman"/>
          <w:b w:val="0"/>
          <w:bCs w:val="0"/>
          <w:color w:val="auto"/>
          <w:highlight w:val="none"/>
          <w:lang w:val="en-US" w:eastAsia="zh-CN"/>
        </w:rPr>
        <w:t>86.55</w:t>
      </w:r>
      <w:r>
        <w:rPr>
          <w:rFonts w:hint="default" w:ascii="Times New Roman" w:hAnsi="Times New Roman" w:cs="Times New Roman"/>
          <w:b w:val="0"/>
          <w:bCs w:val="0"/>
          <w:color w:val="auto"/>
          <w:highlight w:val="none"/>
        </w:rPr>
        <w:t>%；政府性基金预算拨款收入281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占</w:t>
      </w:r>
      <w:r>
        <w:rPr>
          <w:rFonts w:hint="default" w:ascii="Times New Roman" w:hAnsi="Times New Roman" w:eastAsia="楷体_GB2312" w:cs="Times New Roman"/>
          <w:b w:val="0"/>
          <w:bCs w:val="0"/>
          <w:color w:val="auto"/>
          <w:highlight w:val="none"/>
          <w:lang w:val="en-US" w:eastAsia="zh-CN"/>
        </w:rPr>
        <w:t>10.86</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（二）支出预算情况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u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年支出预算</w:t>
      </w:r>
      <w:r>
        <w:rPr>
          <w:rFonts w:hint="default" w:ascii="Times New Roman" w:hAnsi="Times New Roman" w:eastAsia="楷体_GB2312" w:cs="Times New Roman"/>
          <w:b w:val="0"/>
          <w:bCs w:val="0"/>
          <w:color w:val="auto"/>
          <w:highlight w:val="none"/>
          <w:lang w:val="en-US" w:eastAsia="zh-CN"/>
        </w:rPr>
        <w:t>2589.36</w:t>
      </w:r>
      <w:r>
        <w:rPr>
          <w:rFonts w:hint="default" w:ascii="Times New Roman" w:hAnsi="Times New Roman" w:cs="Times New Roman"/>
          <w:b w:val="0"/>
          <w:bCs w:val="0"/>
          <w:color w:val="auto"/>
          <w:highlight w:val="none"/>
        </w:rPr>
        <w:t>万元，其中：基本支出</w:t>
      </w:r>
      <w:r>
        <w:rPr>
          <w:rFonts w:hint="default" w:ascii="Times New Roman" w:hAnsi="Times New Roman" w:eastAsia="楷体_GB2312" w:cs="Times New Roman"/>
          <w:b w:val="0"/>
          <w:bCs w:val="0"/>
          <w:color w:val="auto"/>
          <w:highlight w:val="none"/>
        </w:rPr>
        <w:t>1396.61</w:t>
      </w:r>
      <w:r>
        <w:rPr>
          <w:rFonts w:hint="default" w:ascii="Times New Roman" w:hAnsi="Times New Roman" w:cs="Times New Roman"/>
          <w:b w:val="0"/>
          <w:bCs w:val="0"/>
          <w:color w:val="auto"/>
          <w:highlight w:val="none"/>
        </w:rPr>
        <w:t>万元，占</w:t>
      </w:r>
      <w:r>
        <w:rPr>
          <w:rFonts w:hint="default" w:ascii="Times New Roman" w:hAnsi="Times New Roman" w:eastAsia="楷体_GB2312" w:cs="Times New Roman"/>
          <w:b w:val="0"/>
          <w:bCs w:val="0"/>
          <w:color w:val="auto"/>
          <w:highlight w:val="none"/>
          <w:lang w:val="en-US" w:eastAsia="zh-CN"/>
        </w:rPr>
        <w:t>53.94</w:t>
      </w:r>
      <w:r>
        <w:rPr>
          <w:rFonts w:hint="default" w:ascii="Times New Roman" w:hAnsi="Times New Roman" w:cs="Times New Roman"/>
          <w:b w:val="0"/>
          <w:bCs w:val="0"/>
          <w:color w:val="auto"/>
          <w:highlight w:val="none"/>
        </w:rPr>
        <w:t>%；项目支出</w:t>
      </w:r>
      <w:r>
        <w:rPr>
          <w:rFonts w:hint="default" w:ascii="Times New Roman" w:hAnsi="Times New Roman" w:eastAsia="楷体_GB2312" w:cs="Times New Roman"/>
          <w:b w:val="0"/>
          <w:bCs w:val="0"/>
          <w:color w:val="auto"/>
          <w:highlight w:val="none"/>
        </w:rPr>
        <w:t>1192.75</w:t>
      </w:r>
      <w:r>
        <w:rPr>
          <w:rFonts w:hint="default" w:ascii="Times New Roman" w:hAnsi="Times New Roman" w:cs="Times New Roman"/>
          <w:b w:val="0"/>
          <w:bCs w:val="0"/>
          <w:color w:val="auto"/>
          <w:highlight w:val="none"/>
        </w:rPr>
        <w:t>万元，占</w:t>
      </w:r>
      <w:r>
        <w:rPr>
          <w:rFonts w:hint="default" w:ascii="Times New Roman" w:hAnsi="Times New Roman" w:eastAsia="楷体_GB2312" w:cs="Times New Roman"/>
          <w:b w:val="0"/>
          <w:bCs w:val="0"/>
          <w:color w:val="auto"/>
          <w:highlight w:val="none"/>
          <w:lang w:val="en-US" w:eastAsia="zh-CN"/>
        </w:rPr>
        <w:t>46.06</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四、财政拨款收支预算情况说明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u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年收支总预算</w:t>
      </w:r>
      <w:r>
        <w:rPr>
          <w:rFonts w:hint="default" w:ascii="Times New Roman" w:hAnsi="Times New Roman" w:eastAsia="楷体_GB2312" w:cs="Times New Roman"/>
          <w:b w:val="0"/>
          <w:bCs w:val="0"/>
          <w:color w:val="auto"/>
          <w:highlight w:val="none"/>
          <w:lang w:val="en-US" w:eastAsia="zh-CN"/>
        </w:rPr>
        <w:t>2589.36</w:t>
      </w:r>
      <w:r>
        <w:rPr>
          <w:rFonts w:hint="default" w:ascii="Times New Roman" w:hAnsi="Times New Roman" w:cs="Times New Roman"/>
          <w:b w:val="0"/>
          <w:bCs w:val="0"/>
          <w:color w:val="auto"/>
          <w:highlight w:val="none"/>
        </w:rPr>
        <w:t>万元，较20</w:t>
      </w:r>
      <w:r>
        <w:rPr>
          <w:rFonts w:hint="default" w:ascii="Times New Roman" w:hAnsi="Times New Roman" w:cs="Times New Roman"/>
          <w:b w:val="0"/>
          <w:bCs w:val="0"/>
          <w:color w:val="auto"/>
          <w:highlight w:val="none"/>
          <w:lang w:val="en-US" w:eastAsia="zh-CN"/>
        </w:rPr>
        <w:t>22</w:t>
      </w:r>
      <w:r>
        <w:rPr>
          <w:rFonts w:hint="default" w:ascii="Times New Roman" w:hAnsi="Times New Roman" w:cs="Times New Roman"/>
          <w:b w:val="0"/>
          <w:bCs w:val="0"/>
          <w:color w:val="auto"/>
          <w:highlight w:val="none"/>
        </w:rPr>
        <w:t>年收支预算总数</w:t>
      </w:r>
      <w:r>
        <w:rPr>
          <w:rFonts w:hint="default" w:ascii="Times New Roman" w:hAnsi="Times New Roman" w:cs="Times New Roman"/>
          <w:b w:val="0"/>
          <w:bCs w:val="0"/>
          <w:color w:val="auto"/>
          <w:highlight w:val="none"/>
          <w:u w:val="none"/>
        </w:rPr>
        <w:t>增加</w:t>
      </w:r>
      <w:r>
        <w:rPr>
          <w:rFonts w:hint="default" w:ascii="Times New Roman" w:hAnsi="Times New Roman" w:cs="Times New Roman"/>
          <w:b w:val="0"/>
          <w:bCs w:val="0"/>
          <w:color w:val="auto"/>
          <w:highlight w:val="none"/>
          <w:u w:val="none"/>
          <w:lang w:val="en-US" w:eastAsia="zh-CN"/>
        </w:rPr>
        <w:t>826.58</w:t>
      </w:r>
      <w:r>
        <w:rPr>
          <w:rFonts w:hint="default" w:ascii="Times New Roman" w:hAnsi="Times New Roman" w:cs="Times New Roman"/>
          <w:b w:val="0"/>
          <w:bCs w:val="0"/>
          <w:color w:val="auto"/>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
        </w:rPr>
        <w:t>主要一般公共预算收支增加（村级公益事业“一事一议”财政奖补），基金预算收支增加（徐家堰村5组廖成杰孝卫不锈钢加工坊征拆补偿、福光庙村联升片区2社唐昌荣养殖专业合作社搬迁补偿、火把堰村8社土地租金产值费、金桂社区4社废品收购站搬迁补偿及养殖搬迁补偿）。</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收入包括：本年</w:t>
      </w:r>
      <w:r>
        <w:rPr>
          <w:rFonts w:hint="eastAsia" w:ascii="Times New Roman" w:hAnsi="Times New Roman" w:cs="Times New Roman"/>
          <w:b w:val="0"/>
          <w:bCs w:val="0"/>
          <w:color w:val="auto"/>
          <w:highlight w:val="none"/>
          <w:lang w:val="en-US" w:eastAsia="zh-CN"/>
        </w:rPr>
        <w:t>一</w:t>
      </w:r>
      <w:r>
        <w:rPr>
          <w:rFonts w:hint="default" w:ascii="Times New Roman" w:hAnsi="Times New Roman" w:cs="Times New Roman"/>
          <w:b w:val="0"/>
          <w:bCs w:val="0"/>
          <w:color w:val="auto"/>
          <w:highlight w:val="none"/>
        </w:rPr>
        <w:t>般公共预算拨款收入2241.21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、政府性基金预算拨款收入281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上年结转67.15</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；支出包括：一般公共服务支出1044.74</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、社会保障和就业支出163.17</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、卫生健康支出141.53</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、城乡社区支出281</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、农林水支出356.37</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lang w:eastAsia="zh-CN"/>
        </w:rPr>
        <w:t>、住房保障支出602.54</w:t>
      </w:r>
      <w:r>
        <w:rPr>
          <w:rFonts w:hint="default" w:ascii="Times New Roman" w:hAnsi="Times New Roman" w:cs="Times New Roman"/>
          <w:b w:val="0"/>
          <w:bCs w:val="0"/>
          <w:color w:val="auto"/>
          <w:highlight w:val="none"/>
          <w:lang w:val="en-US" w:eastAsia="zh-CN"/>
        </w:rPr>
        <w:t>万元</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u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年收支总预算</w:t>
      </w:r>
      <w:r>
        <w:rPr>
          <w:rFonts w:hint="default" w:ascii="Times New Roman" w:hAnsi="Times New Roman" w:eastAsia="楷体_GB2312" w:cs="Times New Roman"/>
          <w:b w:val="0"/>
          <w:bCs w:val="0"/>
          <w:color w:val="auto"/>
          <w:highlight w:val="none"/>
        </w:rPr>
        <w:t>2308.36</w:t>
      </w:r>
      <w:r>
        <w:rPr>
          <w:rFonts w:hint="default" w:ascii="Times New Roman" w:hAnsi="Times New Roman" w:cs="Times New Roman"/>
          <w:b w:val="0"/>
          <w:bCs w:val="0"/>
          <w:color w:val="auto"/>
          <w:highlight w:val="none"/>
        </w:rPr>
        <w:t>万元，较20</w:t>
      </w:r>
      <w:r>
        <w:rPr>
          <w:rFonts w:hint="default" w:ascii="Times New Roman" w:hAnsi="Times New Roman" w:cs="Times New Roman"/>
          <w:b w:val="0"/>
          <w:bCs w:val="0"/>
          <w:color w:val="auto"/>
          <w:highlight w:val="none"/>
          <w:lang w:val="en-US" w:eastAsia="zh-CN"/>
        </w:rPr>
        <w:t>22</w:t>
      </w:r>
      <w:r>
        <w:rPr>
          <w:rFonts w:hint="default" w:ascii="Times New Roman" w:hAnsi="Times New Roman" w:cs="Times New Roman"/>
          <w:b w:val="0"/>
          <w:bCs w:val="0"/>
          <w:color w:val="auto"/>
          <w:highlight w:val="none"/>
        </w:rPr>
        <w:t>年收支预算总数</w:t>
      </w:r>
      <w:r>
        <w:rPr>
          <w:rFonts w:hint="default" w:ascii="Times New Roman" w:hAnsi="Times New Roman" w:cs="Times New Roman"/>
          <w:b w:val="0"/>
          <w:bCs w:val="0"/>
          <w:color w:val="auto"/>
          <w:highlight w:val="none"/>
          <w:u w:val="none"/>
        </w:rPr>
        <w:t>增加</w:t>
      </w:r>
      <w:r>
        <w:rPr>
          <w:rFonts w:hint="default" w:ascii="Times New Roman" w:hAnsi="Times New Roman" w:cs="Times New Roman"/>
          <w:b w:val="0"/>
          <w:bCs w:val="0"/>
          <w:color w:val="auto"/>
          <w:highlight w:val="none"/>
          <w:u w:val="none"/>
          <w:lang w:val="en-US" w:eastAsia="zh-CN"/>
        </w:rPr>
        <w:t>545.58</w:t>
      </w:r>
      <w:r>
        <w:rPr>
          <w:rFonts w:hint="default" w:ascii="Times New Roman" w:hAnsi="Times New Roman" w:cs="Times New Roman"/>
          <w:b w:val="0"/>
          <w:bCs w:val="0"/>
          <w:color w:val="auto"/>
          <w:highlight w:val="none"/>
        </w:rPr>
        <w:t>万元，主要是一般公共服务支出</w:t>
      </w:r>
      <w:r>
        <w:rPr>
          <w:rFonts w:hint="default" w:ascii="Times New Roman" w:hAnsi="Times New Roman" w:cs="Times New Roman"/>
          <w:b w:val="0"/>
          <w:bCs w:val="0"/>
          <w:color w:val="auto"/>
          <w:highlight w:val="none"/>
          <w:lang w:val="en-US" w:eastAsia="zh-CN"/>
        </w:rPr>
        <w:t>人员及日常公用经费、项目支出增长</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一般公共服务支出</w:t>
      </w:r>
      <w:r>
        <w:rPr>
          <w:rFonts w:hint="default" w:ascii="Times New Roman" w:hAnsi="Times New Roman" w:cs="Times New Roman"/>
          <w:b w:val="0"/>
          <w:bCs w:val="0"/>
          <w:color w:val="auto"/>
          <w:highlight w:val="none"/>
          <w:lang w:val="en-US" w:eastAsia="zh-CN"/>
        </w:rPr>
        <w:t>1044.74</w:t>
      </w:r>
      <w:r>
        <w:rPr>
          <w:rFonts w:hint="default" w:ascii="Times New Roman" w:hAnsi="Times New Roman" w:cs="Times New Roman"/>
          <w:b w:val="0"/>
          <w:bCs w:val="0"/>
          <w:color w:val="auto"/>
          <w:highlight w:val="none"/>
        </w:rPr>
        <w:t>万元，占</w:t>
      </w:r>
      <w:r>
        <w:rPr>
          <w:rFonts w:hint="default" w:ascii="Times New Roman" w:hAnsi="Times New Roman" w:cs="Times New Roman"/>
          <w:b w:val="0"/>
          <w:bCs w:val="0"/>
          <w:color w:val="auto"/>
          <w:highlight w:val="none"/>
          <w:lang w:val="en-US" w:eastAsia="zh-CN"/>
        </w:rPr>
        <w:t>45.26</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163.17</w:t>
      </w:r>
      <w:r>
        <w:rPr>
          <w:rFonts w:hint="default" w:ascii="Times New Roman" w:hAnsi="Times New Roman" w:cs="Times New Roman"/>
          <w:b w:val="0"/>
          <w:bCs w:val="0"/>
          <w:color w:val="auto"/>
          <w:highlight w:val="none"/>
        </w:rPr>
        <w:t>万元，占</w:t>
      </w:r>
      <w:r>
        <w:rPr>
          <w:rFonts w:hint="default" w:ascii="Times New Roman" w:hAnsi="Times New Roman" w:eastAsia="楷体_GB2312" w:cs="Times New Roman"/>
          <w:b w:val="0"/>
          <w:bCs w:val="0"/>
          <w:color w:val="auto"/>
          <w:highlight w:val="none"/>
          <w:lang w:val="en-US" w:eastAsia="zh-CN"/>
        </w:rPr>
        <w:t>7.07</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卫生健康</w:t>
      </w:r>
      <w:r>
        <w:rPr>
          <w:rFonts w:hint="default" w:ascii="Times New Roman" w:hAnsi="Times New Roman" w:cs="Times New Roman"/>
          <w:b w:val="0"/>
          <w:bCs w:val="0"/>
          <w:color w:val="auto"/>
          <w:highlight w:val="none"/>
        </w:rPr>
        <w:t>支出</w:t>
      </w:r>
      <w:r>
        <w:rPr>
          <w:rFonts w:hint="default" w:ascii="Times New Roman" w:hAnsi="Times New Roman" w:cs="Times New Roman"/>
          <w:b w:val="0"/>
          <w:bCs w:val="0"/>
          <w:color w:val="auto"/>
          <w:highlight w:val="none"/>
          <w:lang w:val="en-US" w:eastAsia="zh-CN"/>
        </w:rPr>
        <w:t>141.54</w:t>
      </w:r>
      <w:r>
        <w:rPr>
          <w:rFonts w:hint="default" w:ascii="Times New Roman" w:hAnsi="Times New Roman" w:cs="Times New Roman"/>
          <w:b w:val="0"/>
          <w:bCs w:val="0"/>
          <w:color w:val="auto"/>
          <w:highlight w:val="none"/>
        </w:rPr>
        <w:t>万元，占</w:t>
      </w:r>
      <w:r>
        <w:rPr>
          <w:rFonts w:hint="default" w:ascii="Times New Roman" w:hAnsi="Times New Roman" w:cs="Times New Roman"/>
          <w:b w:val="0"/>
          <w:bCs w:val="0"/>
          <w:color w:val="auto"/>
          <w:highlight w:val="none"/>
          <w:lang w:val="en-US" w:eastAsia="zh-CN"/>
        </w:rPr>
        <w:t>6.13</w:t>
      </w:r>
      <w:r>
        <w:rPr>
          <w:rFonts w:hint="default" w:ascii="Times New Roman" w:hAnsi="Times New Roman" w:cs="Times New Roman"/>
          <w:b w:val="0"/>
          <w:bCs w:val="0"/>
          <w:color w:val="auto"/>
          <w:highlight w:val="none"/>
        </w:rPr>
        <w:t>%；农林水支出</w:t>
      </w:r>
      <w:r>
        <w:rPr>
          <w:rFonts w:hint="default" w:ascii="Times New Roman" w:hAnsi="Times New Roman" w:cs="Times New Roman"/>
          <w:b w:val="0"/>
          <w:bCs w:val="0"/>
          <w:color w:val="auto"/>
          <w:highlight w:val="none"/>
          <w:lang w:val="en-US" w:eastAsia="zh-CN"/>
        </w:rPr>
        <w:t>356.37</w:t>
      </w:r>
      <w:r>
        <w:rPr>
          <w:rFonts w:hint="default" w:ascii="Times New Roman" w:hAnsi="Times New Roman" w:cs="Times New Roman"/>
          <w:b w:val="0"/>
          <w:bCs w:val="0"/>
          <w:color w:val="auto"/>
          <w:highlight w:val="none"/>
        </w:rPr>
        <w:t>万元，占</w:t>
      </w:r>
      <w:r>
        <w:rPr>
          <w:rFonts w:hint="default" w:ascii="Times New Roman" w:hAnsi="Times New Roman" w:cs="Times New Roman"/>
          <w:b w:val="0"/>
          <w:bCs w:val="0"/>
          <w:color w:val="auto"/>
          <w:highlight w:val="none"/>
          <w:lang w:val="en-US" w:eastAsia="zh-CN"/>
        </w:rPr>
        <w:t>15.44</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住房保障支出</w:t>
      </w:r>
      <w:r>
        <w:rPr>
          <w:rFonts w:hint="default" w:ascii="Times New Roman" w:hAnsi="Times New Roman" w:cs="Times New Roman"/>
          <w:b w:val="0"/>
          <w:bCs w:val="0"/>
          <w:color w:val="auto"/>
          <w:highlight w:val="none"/>
          <w:lang w:val="en-US" w:eastAsia="zh-CN"/>
        </w:rPr>
        <w:t>602.54</w:t>
      </w:r>
      <w:r>
        <w:rPr>
          <w:rFonts w:hint="default" w:ascii="Times New Roman" w:hAnsi="Times New Roman" w:cs="Times New Roman"/>
          <w:b w:val="0"/>
          <w:bCs w:val="0"/>
          <w:color w:val="auto"/>
          <w:highlight w:val="none"/>
        </w:rPr>
        <w:t>万元，占</w:t>
      </w:r>
      <w:r>
        <w:rPr>
          <w:rFonts w:hint="default" w:ascii="Times New Roman" w:hAnsi="Times New Roman" w:cs="Times New Roman"/>
          <w:b w:val="0"/>
          <w:bCs w:val="0"/>
          <w:color w:val="auto"/>
          <w:highlight w:val="none"/>
          <w:lang w:val="en-US" w:eastAsia="zh-CN"/>
        </w:rPr>
        <w:t>26.1</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rPr>
        <w:t>1.一般公共服务（</w:t>
      </w:r>
      <w:r>
        <w:rPr>
          <w:rFonts w:hint="default" w:ascii="Times New Roman" w:hAnsi="Times New Roman" w:cs="Times New Roman"/>
          <w:b w:val="0"/>
          <w:bCs w:val="0"/>
          <w:color w:val="auto"/>
          <w:highlight w:val="none"/>
          <w:lang w:val="en-US" w:eastAsia="zh-CN"/>
        </w:rPr>
        <w:t>201</w:t>
      </w:r>
      <w:r>
        <w:rPr>
          <w:rFonts w:hint="default" w:ascii="Times New Roman" w:hAnsi="Times New Roman" w:cs="Times New Roman"/>
          <w:b w:val="0"/>
          <w:bCs w:val="0"/>
          <w:color w:val="auto"/>
          <w:highlight w:val="none"/>
        </w:rPr>
        <w:t>）政府办公厅（室）及相关机构事务（</w:t>
      </w:r>
      <w:r>
        <w:rPr>
          <w:rFonts w:hint="default" w:ascii="Times New Roman" w:hAnsi="Times New Roman" w:cs="Times New Roman"/>
          <w:b w:val="0"/>
          <w:bCs w:val="0"/>
          <w:color w:val="auto"/>
          <w:highlight w:val="none"/>
          <w:lang w:val="en-US" w:eastAsia="zh-CN"/>
        </w:rPr>
        <w:t>03</w:t>
      </w:r>
      <w:r>
        <w:rPr>
          <w:rFonts w:hint="default" w:ascii="Times New Roman" w:hAnsi="Times New Roman" w:cs="Times New Roman"/>
          <w:b w:val="0"/>
          <w:bCs w:val="0"/>
          <w:color w:val="auto"/>
          <w:highlight w:val="none"/>
        </w:rPr>
        <w:t>）行政运行（</w:t>
      </w:r>
      <w:r>
        <w:rPr>
          <w:rFonts w:hint="default" w:ascii="Times New Roman" w:hAnsi="Times New Roman" w:cs="Times New Roman"/>
          <w:b w:val="0"/>
          <w:bCs w:val="0"/>
          <w:color w:val="auto"/>
          <w:highlight w:val="none"/>
          <w:lang w:val="en-US" w:eastAsia="zh-CN"/>
        </w:rPr>
        <w:t>01</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年预算数为726.24万元，主要用于：</w:t>
      </w:r>
      <w:r>
        <w:rPr>
          <w:rFonts w:hint="default" w:ascii="Times New Roman" w:hAnsi="Times New Roman" w:cs="Times New Roman"/>
          <w:b w:val="0"/>
          <w:bCs w:val="0"/>
          <w:color w:val="auto"/>
          <w:highlight w:val="none"/>
          <w:lang w:val="en-US" w:eastAsia="zh-CN"/>
        </w:rPr>
        <w:t>机关日常运行经费、人员工资及福利支出等。</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2.一般公共服务（</w:t>
      </w:r>
      <w:r>
        <w:rPr>
          <w:rFonts w:hint="default" w:ascii="Times New Roman" w:hAnsi="Times New Roman" w:cs="Times New Roman"/>
          <w:b w:val="0"/>
          <w:bCs w:val="0"/>
          <w:color w:val="auto"/>
          <w:highlight w:val="none"/>
          <w:lang w:val="en-US" w:eastAsia="zh-CN"/>
        </w:rPr>
        <w:t>201</w:t>
      </w:r>
      <w:r>
        <w:rPr>
          <w:rFonts w:hint="default" w:ascii="Times New Roman" w:hAnsi="Times New Roman" w:cs="Times New Roman"/>
          <w:b w:val="0"/>
          <w:bCs w:val="0"/>
          <w:color w:val="auto"/>
          <w:highlight w:val="none"/>
        </w:rPr>
        <w:t>）政府办公厅（室）及相关机构事务（</w:t>
      </w:r>
      <w:r>
        <w:rPr>
          <w:rFonts w:hint="default" w:ascii="Times New Roman" w:hAnsi="Times New Roman" w:cs="Times New Roman"/>
          <w:b w:val="0"/>
          <w:bCs w:val="0"/>
          <w:color w:val="auto"/>
          <w:highlight w:val="none"/>
          <w:lang w:val="en-US" w:eastAsia="zh-CN"/>
        </w:rPr>
        <w:t>03</w:t>
      </w:r>
      <w:r>
        <w:rPr>
          <w:rFonts w:hint="default" w:ascii="Times New Roman" w:hAnsi="Times New Roman" w:cs="Times New Roman"/>
          <w:b w:val="0"/>
          <w:bCs w:val="0"/>
          <w:color w:val="auto"/>
          <w:highlight w:val="none"/>
        </w:rPr>
        <w:t>）一般行政管理事务（</w:t>
      </w:r>
      <w:r>
        <w:rPr>
          <w:rFonts w:hint="default" w:ascii="Times New Roman" w:hAnsi="Times New Roman" w:cs="Times New Roman"/>
          <w:b w:val="0"/>
          <w:bCs w:val="0"/>
          <w:color w:val="auto"/>
          <w:highlight w:val="none"/>
          <w:lang w:val="en-US" w:eastAsia="zh-CN"/>
        </w:rPr>
        <w:t>01</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年预算数为116.3万元，主要用于：。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rPr>
        <w:t>3.一般公共服务（</w:t>
      </w:r>
      <w:r>
        <w:rPr>
          <w:rFonts w:hint="default" w:ascii="Times New Roman" w:hAnsi="Times New Roman" w:cs="Times New Roman"/>
          <w:b w:val="0"/>
          <w:bCs w:val="0"/>
          <w:color w:val="auto"/>
          <w:highlight w:val="none"/>
          <w:lang w:val="en-US" w:eastAsia="zh-CN"/>
        </w:rPr>
        <w:t>201</w:t>
      </w:r>
      <w:r>
        <w:rPr>
          <w:rFonts w:hint="default" w:ascii="Times New Roman" w:hAnsi="Times New Roman" w:cs="Times New Roman"/>
          <w:b w:val="0"/>
          <w:bCs w:val="0"/>
          <w:color w:val="auto"/>
          <w:highlight w:val="none"/>
        </w:rPr>
        <w:t>）政府办公厅（室）及相关机构事务（</w:t>
      </w:r>
      <w:r>
        <w:rPr>
          <w:rFonts w:hint="default" w:ascii="Times New Roman" w:hAnsi="Times New Roman" w:cs="Times New Roman"/>
          <w:b w:val="0"/>
          <w:bCs w:val="0"/>
          <w:color w:val="auto"/>
          <w:highlight w:val="none"/>
          <w:lang w:val="en-US" w:eastAsia="zh-CN"/>
        </w:rPr>
        <w:t>03</w:t>
      </w:r>
      <w:r>
        <w:rPr>
          <w:rFonts w:hint="default" w:ascii="Times New Roman" w:hAnsi="Times New Roman" w:cs="Times New Roman"/>
          <w:b w:val="0"/>
          <w:bCs w:val="0"/>
          <w:color w:val="auto"/>
          <w:highlight w:val="none"/>
        </w:rPr>
        <w:t>）事业运行（</w:t>
      </w:r>
      <w:r>
        <w:rPr>
          <w:rFonts w:hint="default" w:ascii="Times New Roman" w:hAnsi="Times New Roman" w:cs="Times New Roman"/>
          <w:b w:val="0"/>
          <w:bCs w:val="0"/>
          <w:color w:val="auto"/>
          <w:highlight w:val="none"/>
          <w:lang w:val="en-US" w:eastAsia="zh-CN"/>
        </w:rPr>
        <w:t>50</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年预算数为193.2万元，主要用于：</w:t>
      </w:r>
      <w:r>
        <w:rPr>
          <w:rFonts w:hint="default" w:ascii="Times New Roman" w:hAnsi="Times New Roman" w:cs="Times New Roman"/>
          <w:b w:val="0"/>
          <w:bCs w:val="0"/>
          <w:color w:val="auto"/>
          <w:highlight w:val="none"/>
          <w:lang w:val="en-US" w:eastAsia="zh-CN"/>
        </w:rPr>
        <w:t>事业人员工资福利支出及日常公用经费支出。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.一般公共服务（</w:t>
      </w:r>
      <w:r>
        <w:rPr>
          <w:rFonts w:hint="default" w:ascii="Times New Roman" w:hAnsi="Times New Roman" w:cs="Times New Roman"/>
          <w:b w:val="0"/>
          <w:bCs w:val="0"/>
          <w:color w:val="auto"/>
          <w:highlight w:val="none"/>
          <w:lang w:val="en-US" w:eastAsia="zh-CN"/>
        </w:rPr>
        <w:t>201</w:t>
      </w:r>
      <w:r>
        <w:rPr>
          <w:rFonts w:hint="default" w:ascii="Times New Roman" w:hAnsi="Times New Roman" w:cs="Times New Roman"/>
          <w:b w:val="0"/>
          <w:bCs w:val="0"/>
          <w:color w:val="auto"/>
          <w:highlight w:val="none"/>
        </w:rPr>
        <w:t>）纪检监察事务（</w:t>
      </w: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rPr>
        <w:t>）其他纪检监察事务支出（</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万元，主要用于：纪检监察事务支出</w:t>
      </w:r>
      <w:r>
        <w:rPr>
          <w:rFonts w:hint="default" w:ascii="Times New Roman" w:hAnsi="Times New Roman" w:cs="Times New Roman"/>
          <w:b w:val="0"/>
          <w:bCs w:val="0"/>
          <w:color w:val="auto"/>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.一般公共服务（</w:t>
      </w:r>
      <w:r>
        <w:rPr>
          <w:rFonts w:hint="default" w:ascii="Times New Roman" w:hAnsi="Times New Roman" w:cs="Times New Roman"/>
          <w:b w:val="0"/>
          <w:bCs w:val="0"/>
          <w:color w:val="auto"/>
          <w:highlight w:val="none"/>
          <w:lang w:val="en-US" w:eastAsia="zh-CN"/>
        </w:rPr>
        <w:t>201</w:t>
      </w:r>
      <w:r>
        <w:rPr>
          <w:rFonts w:hint="default" w:ascii="Times New Roman" w:hAnsi="Times New Roman" w:cs="Times New Roman"/>
          <w:b w:val="0"/>
          <w:bCs w:val="0"/>
          <w:color w:val="auto"/>
          <w:highlight w:val="none"/>
        </w:rPr>
        <w:t>）商贸事务（</w:t>
      </w:r>
      <w:r>
        <w:rPr>
          <w:rFonts w:hint="default" w:ascii="Times New Roman" w:hAnsi="Times New Roman" w:cs="Times New Roman"/>
          <w:b w:val="0"/>
          <w:bCs w:val="0"/>
          <w:color w:val="auto"/>
          <w:highlight w:val="none"/>
          <w:lang w:val="en-US" w:eastAsia="zh-CN"/>
        </w:rPr>
        <w:t>13</w:t>
      </w:r>
      <w:r>
        <w:rPr>
          <w:rFonts w:hint="default" w:ascii="Times New Roman" w:hAnsi="Times New Roman" w:cs="Times New Roman"/>
          <w:b w:val="0"/>
          <w:bCs w:val="0"/>
          <w:color w:val="auto"/>
          <w:highlight w:val="none"/>
        </w:rPr>
        <w:t>）招商引资（</w:t>
      </w:r>
      <w:r>
        <w:rPr>
          <w:rFonts w:hint="default" w:ascii="Times New Roman" w:hAnsi="Times New Roman" w:cs="Times New Roman"/>
          <w:b w:val="0"/>
          <w:bCs w:val="0"/>
          <w:color w:val="auto"/>
          <w:highlight w:val="none"/>
          <w:lang w:val="en-US" w:eastAsia="zh-CN"/>
        </w:rPr>
        <w:t>08</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万元，主要用于：招商引资</w:t>
      </w:r>
      <w:r>
        <w:rPr>
          <w:rFonts w:hint="default" w:ascii="Times New Roman" w:hAnsi="Times New Roman" w:cs="Times New Roman"/>
          <w:b w:val="0"/>
          <w:bCs w:val="0"/>
          <w:color w:val="auto"/>
          <w:highlight w:val="none"/>
          <w:lang w:val="en-US" w:eastAsia="zh-CN"/>
        </w:rPr>
        <w:t>相关费支出。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208</w:t>
      </w:r>
      <w:r>
        <w:rPr>
          <w:rFonts w:hint="default" w:ascii="Times New Roman" w:hAnsi="Times New Roman" w:cs="Times New Roman"/>
          <w:b w:val="0"/>
          <w:bCs w:val="0"/>
          <w:color w:val="auto"/>
          <w:highlight w:val="none"/>
        </w:rPr>
        <w:t>）行政事业单位养老支出（</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）机关事业单位基本养老保险缴费支出（</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92.17</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在职人员</w:t>
      </w:r>
      <w:r>
        <w:rPr>
          <w:rFonts w:hint="default" w:ascii="Times New Roman" w:hAnsi="Times New Roman" w:cs="Times New Roman"/>
          <w:b w:val="0"/>
          <w:bCs w:val="0"/>
          <w:color w:val="auto"/>
          <w:highlight w:val="none"/>
        </w:rPr>
        <w:t>养老保险缴费支出</w:t>
      </w:r>
      <w:r>
        <w:rPr>
          <w:rFonts w:hint="default" w:ascii="Times New Roman" w:hAnsi="Times New Roman" w:cs="Times New Roman"/>
          <w:b w:val="0"/>
          <w:bCs w:val="0"/>
          <w:color w:val="auto"/>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7</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208</w:t>
      </w:r>
      <w:r>
        <w:rPr>
          <w:rFonts w:hint="default" w:ascii="Times New Roman" w:hAnsi="Times New Roman" w:cs="Times New Roman"/>
          <w:b w:val="0"/>
          <w:bCs w:val="0"/>
          <w:color w:val="auto"/>
          <w:highlight w:val="none"/>
        </w:rPr>
        <w:t>）行政事业单位养老支出（</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）机关事业单位职业年金缴费支出（</w:t>
      </w:r>
      <w:r>
        <w:rPr>
          <w:rFonts w:hint="default" w:ascii="Times New Roman" w:hAnsi="Times New Roman" w:cs="Times New Roman"/>
          <w:b w:val="0"/>
          <w:bCs w:val="0"/>
          <w:color w:val="auto"/>
          <w:highlight w:val="none"/>
          <w:lang w:val="en-US" w:eastAsia="zh-CN"/>
        </w:rPr>
        <w:t>06</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46.08</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职业年金缴费支出。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8</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208</w:t>
      </w:r>
      <w:r>
        <w:rPr>
          <w:rFonts w:hint="default" w:ascii="Times New Roman" w:hAnsi="Times New Roman" w:cs="Times New Roman"/>
          <w:b w:val="0"/>
          <w:bCs w:val="0"/>
          <w:color w:val="auto"/>
          <w:highlight w:val="none"/>
        </w:rPr>
        <w:t>）行政事业单位养老支出（</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）其他行政事业单位养老支出（</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0.14</w:t>
      </w:r>
      <w:r>
        <w:rPr>
          <w:rFonts w:hint="default" w:ascii="Times New Roman" w:hAnsi="Times New Roman" w:cs="Times New Roman"/>
          <w:b w:val="0"/>
          <w:bCs w:val="0"/>
          <w:color w:val="auto"/>
          <w:highlight w:val="none"/>
        </w:rPr>
        <w:t>万元，主要用于：其他行政事业单位养老支出</w:t>
      </w:r>
      <w:r>
        <w:rPr>
          <w:rFonts w:hint="default" w:ascii="Times New Roman" w:hAnsi="Times New Roman" w:cs="Times New Roman"/>
          <w:b w:val="0"/>
          <w:bCs w:val="0"/>
          <w:color w:val="auto"/>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9</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208</w:t>
      </w:r>
      <w:r>
        <w:rPr>
          <w:rFonts w:hint="default" w:ascii="Times New Roman" w:hAnsi="Times New Roman" w:cs="Times New Roman"/>
          <w:b w:val="0"/>
          <w:bCs w:val="0"/>
          <w:color w:val="auto"/>
          <w:highlight w:val="none"/>
        </w:rPr>
        <w:t>）社会福利（</w:t>
      </w: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）其养老服务（</w:t>
      </w:r>
      <w:r>
        <w:rPr>
          <w:rFonts w:hint="default" w:ascii="Times New Roman" w:hAnsi="Times New Roman" w:cs="Times New Roman"/>
          <w:b w:val="0"/>
          <w:bCs w:val="0"/>
          <w:color w:val="auto"/>
          <w:highlight w:val="none"/>
          <w:lang w:val="en-US" w:eastAsia="zh-CN"/>
        </w:rPr>
        <w:t>06</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22.25</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其他综合养老服务支出。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.社会保障和就业支出（</w:t>
      </w:r>
      <w:r>
        <w:rPr>
          <w:rFonts w:hint="default" w:ascii="Times New Roman" w:hAnsi="Times New Roman" w:cs="Times New Roman"/>
          <w:b w:val="0"/>
          <w:bCs w:val="0"/>
          <w:color w:val="auto"/>
          <w:highlight w:val="none"/>
          <w:lang w:val="en-US" w:eastAsia="zh-CN"/>
        </w:rPr>
        <w:t>208</w:t>
      </w:r>
      <w:r>
        <w:rPr>
          <w:rFonts w:hint="default" w:ascii="Times New Roman" w:hAnsi="Times New Roman" w:cs="Times New Roman"/>
          <w:b w:val="0"/>
          <w:bCs w:val="0"/>
          <w:color w:val="auto"/>
          <w:highlight w:val="none"/>
        </w:rPr>
        <w:t>）其他社会保障和就业支出（</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）其他社会保障和就业支出（</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2.53</w:t>
      </w:r>
      <w:r>
        <w:rPr>
          <w:rFonts w:hint="default" w:ascii="Times New Roman" w:hAnsi="Times New Roman" w:cs="Times New Roman"/>
          <w:b w:val="0"/>
          <w:bCs w:val="0"/>
          <w:color w:val="auto"/>
          <w:highlight w:val="none"/>
        </w:rPr>
        <w:t>万元，主要用于：其他社会保障和就业支出</w:t>
      </w:r>
      <w:r>
        <w:rPr>
          <w:rFonts w:hint="default" w:ascii="Times New Roman" w:hAnsi="Times New Roman" w:cs="Times New Roman"/>
          <w:b w:val="0"/>
          <w:bCs w:val="0"/>
          <w:color w:val="auto"/>
          <w:highlight w:val="none"/>
          <w:lang w:val="en-US" w:eastAsia="zh-CN"/>
        </w:rPr>
        <w:t>缴费支出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rPr>
        <w:t>.卫生健康支出（</w:t>
      </w:r>
      <w:r>
        <w:rPr>
          <w:rFonts w:hint="default" w:ascii="Times New Roman" w:hAnsi="Times New Roman" w:cs="Times New Roman"/>
          <w:b w:val="0"/>
          <w:bCs w:val="0"/>
          <w:color w:val="auto"/>
          <w:highlight w:val="none"/>
          <w:lang w:val="en-US" w:eastAsia="zh-CN"/>
        </w:rPr>
        <w:t>210</w:t>
      </w:r>
      <w:r>
        <w:rPr>
          <w:rFonts w:hint="default" w:ascii="Times New Roman" w:hAnsi="Times New Roman" w:cs="Times New Roman"/>
          <w:b w:val="0"/>
          <w:bCs w:val="0"/>
          <w:color w:val="auto"/>
          <w:highlight w:val="none"/>
        </w:rPr>
        <w:t>）公共卫生（</w:t>
      </w:r>
      <w:r>
        <w:rPr>
          <w:rFonts w:hint="default" w:ascii="Times New Roman" w:hAnsi="Times New Roman" w:cs="Times New Roman"/>
          <w:b w:val="0"/>
          <w:bCs w:val="0"/>
          <w:color w:val="auto"/>
          <w:highlight w:val="none"/>
          <w:lang w:val="en-US" w:eastAsia="zh-CN"/>
        </w:rPr>
        <w:t>04</w:t>
      </w:r>
      <w:r>
        <w:rPr>
          <w:rFonts w:hint="default" w:ascii="Times New Roman" w:hAnsi="Times New Roman" w:cs="Times New Roman"/>
          <w:b w:val="0"/>
          <w:bCs w:val="0"/>
          <w:color w:val="auto"/>
          <w:highlight w:val="none"/>
        </w:rPr>
        <w:t>）突发公共卫生事件应急处理（</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100</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防疫防控经费支出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12</w:t>
      </w:r>
      <w:r>
        <w:rPr>
          <w:rFonts w:hint="default" w:ascii="Times New Roman" w:hAnsi="Times New Roman" w:cs="Times New Roman"/>
          <w:b w:val="0"/>
          <w:bCs w:val="0"/>
          <w:color w:val="auto"/>
          <w:highlight w:val="none"/>
        </w:rPr>
        <w:t>.卫生健康支出（</w:t>
      </w:r>
      <w:r>
        <w:rPr>
          <w:rFonts w:hint="default" w:ascii="Times New Roman" w:hAnsi="Times New Roman" w:cs="Times New Roman"/>
          <w:b w:val="0"/>
          <w:bCs w:val="0"/>
          <w:color w:val="auto"/>
          <w:highlight w:val="none"/>
          <w:lang w:val="en-US" w:eastAsia="zh-CN"/>
        </w:rPr>
        <w:t>210</w:t>
      </w:r>
      <w:r>
        <w:rPr>
          <w:rFonts w:hint="default" w:ascii="Times New Roman" w:hAnsi="Times New Roman" w:cs="Times New Roman"/>
          <w:b w:val="0"/>
          <w:bCs w:val="0"/>
          <w:color w:val="auto"/>
          <w:highlight w:val="none"/>
        </w:rPr>
        <w:t>）行政事业单位医疗（</w:t>
      </w: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rPr>
        <w:t>）行政单位医疗（</w:t>
      </w:r>
      <w:r>
        <w:rPr>
          <w:rFonts w:hint="default" w:ascii="Times New Roman" w:hAnsi="Times New Roman" w:cs="Times New Roman"/>
          <w:b w:val="0"/>
          <w:bCs w:val="0"/>
          <w:color w:val="auto"/>
          <w:highlight w:val="none"/>
          <w:lang w:val="en-US" w:eastAsia="zh-CN"/>
        </w:rPr>
        <w:t>01</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23.82</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行政人员</w:t>
      </w:r>
      <w:r>
        <w:rPr>
          <w:rFonts w:hint="default" w:ascii="Times New Roman" w:hAnsi="Times New Roman" w:cs="Times New Roman"/>
          <w:b w:val="0"/>
          <w:bCs w:val="0"/>
          <w:color w:val="auto"/>
          <w:highlight w:val="none"/>
        </w:rPr>
        <w:t>医疗</w:t>
      </w:r>
      <w:r>
        <w:rPr>
          <w:rFonts w:hint="default" w:ascii="Times New Roman" w:hAnsi="Times New Roman" w:cs="Times New Roman"/>
          <w:b w:val="0"/>
          <w:bCs w:val="0"/>
          <w:color w:val="auto"/>
          <w:highlight w:val="none"/>
          <w:lang w:val="en-US" w:eastAsia="zh-CN"/>
        </w:rPr>
        <w:t>保险缴费支出。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13</w:t>
      </w:r>
      <w:r>
        <w:rPr>
          <w:rFonts w:hint="default" w:ascii="Times New Roman" w:hAnsi="Times New Roman" w:cs="Times New Roman"/>
          <w:b w:val="0"/>
          <w:bCs w:val="0"/>
          <w:color w:val="auto"/>
          <w:highlight w:val="none"/>
        </w:rPr>
        <w:t>.卫生健康支出（</w:t>
      </w:r>
      <w:r>
        <w:rPr>
          <w:rFonts w:hint="default" w:ascii="Times New Roman" w:hAnsi="Times New Roman" w:cs="Times New Roman"/>
          <w:b w:val="0"/>
          <w:bCs w:val="0"/>
          <w:color w:val="auto"/>
          <w:highlight w:val="none"/>
          <w:lang w:val="en-US" w:eastAsia="zh-CN"/>
        </w:rPr>
        <w:t>210</w:t>
      </w:r>
      <w:r>
        <w:rPr>
          <w:rFonts w:hint="default" w:ascii="Times New Roman" w:hAnsi="Times New Roman" w:cs="Times New Roman"/>
          <w:b w:val="0"/>
          <w:bCs w:val="0"/>
          <w:color w:val="auto"/>
          <w:highlight w:val="none"/>
        </w:rPr>
        <w:t>）行政事业单位医疗（</w:t>
      </w: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事业</w:t>
      </w:r>
      <w:r>
        <w:rPr>
          <w:rFonts w:hint="default" w:ascii="Times New Roman" w:hAnsi="Times New Roman" w:cs="Times New Roman"/>
          <w:b w:val="0"/>
          <w:bCs w:val="0"/>
          <w:color w:val="auto"/>
          <w:highlight w:val="none"/>
        </w:rPr>
        <w:t>单位医疗（</w:t>
      </w:r>
      <w:r>
        <w:rPr>
          <w:rFonts w:hint="default" w:ascii="Times New Roman" w:hAnsi="Times New Roman" w:cs="Times New Roman"/>
          <w:b w:val="0"/>
          <w:bCs w:val="0"/>
          <w:color w:val="auto"/>
          <w:highlight w:val="none"/>
          <w:lang w:val="en-US" w:eastAsia="zh-CN"/>
        </w:rPr>
        <w:t>02</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9.5</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事业人员</w:t>
      </w:r>
      <w:r>
        <w:rPr>
          <w:rFonts w:hint="default" w:ascii="Times New Roman" w:hAnsi="Times New Roman" w:cs="Times New Roman"/>
          <w:b w:val="0"/>
          <w:bCs w:val="0"/>
          <w:color w:val="auto"/>
          <w:highlight w:val="none"/>
        </w:rPr>
        <w:t>医疗</w:t>
      </w:r>
      <w:r>
        <w:rPr>
          <w:rFonts w:hint="default" w:ascii="Times New Roman" w:hAnsi="Times New Roman" w:cs="Times New Roman"/>
          <w:b w:val="0"/>
          <w:bCs w:val="0"/>
          <w:color w:val="auto"/>
          <w:highlight w:val="none"/>
          <w:lang w:val="en-US" w:eastAsia="zh-CN"/>
        </w:rPr>
        <w:t>缴费支出。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lang w:val="en-US"/>
        </w:rPr>
      </w:pPr>
      <w:r>
        <w:rPr>
          <w:rFonts w:hint="default" w:ascii="Times New Roman" w:hAnsi="Times New Roman" w:cs="Times New Roman"/>
          <w:b w:val="0"/>
          <w:bCs w:val="0"/>
          <w:color w:val="auto"/>
          <w:highlight w:val="none"/>
          <w:lang w:val="en-US" w:eastAsia="zh-CN"/>
        </w:rPr>
        <w:t>14</w:t>
      </w:r>
      <w:r>
        <w:rPr>
          <w:rFonts w:hint="default" w:ascii="Times New Roman" w:hAnsi="Times New Roman" w:cs="Times New Roman"/>
          <w:b w:val="0"/>
          <w:bCs w:val="0"/>
          <w:color w:val="auto"/>
          <w:highlight w:val="none"/>
        </w:rPr>
        <w:t>.卫生健康支出（</w:t>
      </w:r>
      <w:r>
        <w:rPr>
          <w:rFonts w:hint="default" w:ascii="Times New Roman" w:hAnsi="Times New Roman" w:cs="Times New Roman"/>
          <w:b w:val="0"/>
          <w:bCs w:val="0"/>
          <w:color w:val="auto"/>
          <w:highlight w:val="none"/>
          <w:lang w:val="en-US" w:eastAsia="zh-CN"/>
        </w:rPr>
        <w:t>210</w:t>
      </w:r>
      <w:r>
        <w:rPr>
          <w:rFonts w:hint="default" w:ascii="Times New Roman" w:hAnsi="Times New Roman" w:cs="Times New Roman"/>
          <w:b w:val="0"/>
          <w:bCs w:val="0"/>
          <w:color w:val="auto"/>
          <w:highlight w:val="none"/>
        </w:rPr>
        <w:t>）行政事业单位医疗（</w:t>
      </w: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公务员医疗补助</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03</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8.22</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公务员医疗补助缴费支出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15</w:t>
      </w:r>
      <w:r>
        <w:rPr>
          <w:rFonts w:hint="default" w:ascii="Times New Roman" w:hAnsi="Times New Roman" w:cs="Times New Roman"/>
          <w:b w:val="0"/>
          <w:bCs w:val="0"/>
          <w:color w:val="auto"/>
          <w:highlight w:val="none"/>
        </w:rPr>
        <w:t>.农林水支出（</w:t>
      </w:r>
      <w:r>
        <w:rPr>
          <w:rFonts w:hint="default" w:ascii="Times New Roman" w:hAnsi="Times New Roman" w:cs="Times New Roman"/>
          <w:b w:val="0"/>
          <w:bCs w:val="0"/>
          <w:color w:val="auto"/>
          <w:highlight w:val="none"/>
          <w:lang w:val="en-US" w:eastAsia="zh-CN"/>
        </w:rPr>
        <w:t>213</w:t>
      </w:r>
      <w:r>
        <w:rPr>
          <w:rFonts w:hint="default" w:ascii="Times New Roman" w:hAnsi="Times New Roman" w:cs="Times New Roman"/>
          <w:b w:val="0"/>
          <w:bCs w:val="0"/>
          <w:color w:val="auto"/>
          <w:highlight w:val="none"/>
        </w:rPr>
        <w:t>）扶贫（</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其他巩固脱贫攻坚成果衔接乡村振兴支出助</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26.05</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脱贫攻坚成果衔接乡村振兴支出。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16</w:t>
      </w:r>
      <w:r>
        <w:rPr>
          <w:rFonts w:hint="default" w:ascii="Times New Roman" w:hAnsi="Times New Roman" w:cs="Times New Roman"/>
          <w:b w:val="0"/>
          <w:bCs w:val="0"/>
          <w:color w:val="auto"/>
          <w:highlight w:val="none"/>
        </w:rPr>
        <w:t>.农林水支出（</w:t>
      </w:r>
      <w:r>
        <w:rPr>
          <w:rFonts w:hint="default" w:ascii="Times New Roman" w:hAnsi="Times New Roman" w:cs="Times New Roman"/>
          <w:b w:val="0"/>
          <w:bCs w:val="0"/>
          <w:color w:val="auto"/>
          <w:highlight w:val="none"/>
          <w:lang w:val="en-US" w:eastAsia="zh-CN"/>
        </w:rPr>
        <w:t>213</w:t>
      </w:r>
      <w:r>
        <w:rPr>
          <w:rFonts w:hint="default" w:ascii="Times New Roman" w:hAnsi="Times New Roman" w:cs="Times New Roman"/>
          <w:b w:val="0"/>
          <w:bCs w:val="0"/>
          <w:color w:val="auto"/>
          <w:highlight w:val="none"/>
        </w:rPr>
        <w:t>）农村综合改革（</w:t>
      </w:r>
      <w:r>
        <w:rPr>
          <w:rFonts w:hint="default" w:ascii="Times New Roman" w:hAnsi="Times New Roman" w:cs="Times New Roman"/>
          <w:b w:val="0"/>
          <w:bCs w:val="0"/>
          <w:color w:val="auto"/>
          <w:highlight w:val="none"/>
          <w:lang w:val="en-US" w:eastAsia="zh-CN"/>
        </w:rPr>
        <w:t>07</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对村民委员会和村党支部的补助</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330.32</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社区、社区日常运维费及村干部、社区干部生活补助。</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17</w:t>
      </w:r>
      <w:r>
        <w:rPr>
          <w:rFonts w:hint="default" w:ascii="Times New Roman" w:hAnsi="Times New Roman" w:cs="Times New Roman"/>
          <w:b w:val="0"/>
          <w:bCs w:val="0"/>
          <w:color w:val="auto"/>
          <w:highlight w:val="none"/>
        </w:rPr>
        <w:t>.住房保障支出（</w:t>
      </w:r>
      <w:r>
        <w:rPr>
          <w:rFonts w:hint="default" w:ascii="Times New Roman" w:hAnsi="Times New Roman" w:cs="Times New Roman"/>
          <w:b w:val="0"/>
          <w:bCs w:val="0"/>
          <w:color w:val="auto"/>
          <w:highlight w:val="none"/>
          <w:lang w:val="en-US" w:eastAsia="zh-CN"/>
        </w:rPr>
        <w:t>221</w:t>
      </w:r>
      <w:r>
        <w:rPr>
          <w:rFonts w:hint="default" w:ascii="Times New Roman" w:hAnsi="Times New Roman" w:cs="Times New Roman"/>
          <w:b w:val="0"/>
          <w:bCs w:val="0"/>
          <w:color w:val="auto"/>
          <w:highlight w:val="none"/>
        </w:rPr>
        <w:t>）保障性安居工程支出（</w:t>
      </w:r>
      <w:r>
        <w:rPr>
          <w:rFonts w:hint="default" w:ascii="Times New Roman" w:hAnsi="Times New Roman" w:cs="Times New Roman"/>
          <w:b w:val="0"/>
          <w:bCs w:val="0"/>
          <w:color w:val="auto"/>
          <w:highlight w:val="none"/>
          <w:lang w:val="en-US" w:eastAsia="zh-CN"/>
        </w:rPr>
        <w:t>01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其他保障性安居工程支出</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99</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521.15</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拆迁安置安居工程支出。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18</w:t>
      </w:r>
      <w:r>
        <w:rPr>
          <w:rFonts w:hint="default" w:ascii="Times New Roman" w:hAnsi="Times New Roman" w:cs="Times New Roman"/>
          <w:b w:val="0"/>
          <w:bCs w:val="0"/>
          <w:color w:val="auto"/>
          <w:highlight w:val="none"/>
        </w:rPr>
        <w:t>.住房保障支出（</w:t>
      </w:r>
      <w:r>
        <w:rPr>
          <w:rFonts w:hint="default" w:ascii="Times New Roman" w:hAnsi="Times New Roman" w:cs="Times New Roman"/>
          <w:b w:val="0"/>
          <w:bCs w:val="0"/>
          <w:color w:val="auto"/>
          <w:highlight w:val="none"/>
          <w:lang w:val="en-US" w:eastAsia="zh-CN"/>
        </w:rPr>
        <w:t>221</w:t>
      </w:r>
      <w:r>
        <w:rPr>
          <w:rFonts w:hint="default" w:ascii="Times New Roman" w:hAnsi="Times New Roman" w:cs="Times New Roman"/>
          <w:b w:val="0"/>
          <w:bCs w:val="0"/>
          <w:color w:val="auto"/>
          <w:highlight w:val="none"/>
        </w:rPr>
        <w:t>）住房改革支出（</w:t>
      </w:r>
      <w:r>
        <w:rPr>
          <w:rFonts w:hint="default" w:ascii="Times New Roman" w:hAnsi="Times New Roman" w:cs="Times New Roman"/>
          <w:b w:val="0"/>
          <w:bCs w:val="0"/>
          <w:color w:val="auto"/>
          <w:highlight w:val="none"/>
          <w:lang w:val="en-US" w:eastAsia="zh-CN"/>
        </w:rPr>
        <w:t>02</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住房公积金</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01</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年预算数为</w:t>
      </w:r>
      <w:r>
        <w:rPr>
          <w:rFonts w:hint="default" w:ascii="Times New Roman" w:hAnsi="Times New Roman" w:cs="Times New Roman"/>
          <w:b w:val="0"/>
          <w:bCs w:val="0"/>
          <w:color w:val="auto"/>
          <w:highlight w:val="none"/>
          <w:lang w:val="en-US" w:eastAsia="zh-CN"/>
        </w:rPr>
        <w:t>81.39</w:t>
      </w:r>
      <w:r>
        <w:rPr>
          <w:rFonts w:hint="default" w:ascii="Times New Roman" w:hAnsi="Times New Roman" w:cs="Times New Roman"/>
          <w:b w:val="0"/>
          <w:bCs w:val="0"/>
          <w:color w:val="auto"/>
          <w:highlight w:val="none"/>
        </w:rPr>
        <w:t>万元，主要用于：</w:t>
      </w:r>
      <w:r>
        <w:rPr>
          <w:rFonts w:hint="default" w:ascii="Times New Roman" w:hAnsi="Times New Roman" w:cs="Times New Roman"/>
          <w:b w:val="0"/>
          <w:bCs w:val="0"/>
          <w:color w:val="auto"/>
          <w:highlight w:val="none"/>
          <w:lang w:val="en-US" w:eastAsia="zh-CN"/>
        </w:rPr>
        <w:t>单位人员公积金缴费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年一般公共预算基本支出1396.61万元，其中：</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人员经费1243.98万元，主要包括：基本工资、津贴补贴、社会保险缴费、绩效工资、机关事业单位基本养老保险缴费、住房公积金。</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rPr>
        <w:t>公用经费152.63万元，主要包括：办公费、印刷费、水费、电费、邮电费、差旅费、维修（护）费、会议费、培训费、劳务费、工会经费、福利费、其他交通费、其他商品和服务支出</w:t>
      </w:r>
      <w:r>
        <w:rPr>
          <w:rFonts w:hint="default" w:ascii="Times New Roman" w:hAnsi="Times New Roman" w:cs="Times New Roman"/>
          <w:b w:val="0"/>
          <w:bCs w:val="0"/>
          <w:color w:val="auto"/>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年“三公”经费财政拨款预算数</w:t>
      </w: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万元，其中：因公出国（境）经费</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万元，公务接待费</w:t>
      </w:r>
      <w:r>
        <w:rPr>
          <w:rFonts w:hint="default" w:ascii="Times New Roman" w:hAnsi="Times New Roman" w:eastAsia="楷体_GB2312"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万元，公务用车购置及运行维护费</w:t>
      </w: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（一）因公出国（境）经费较20</w:t>
      </w:r>
      <w:r>
        <w:rPr>
          <w:rFonts w:hint="default" w:ascii="Times New Roman" w:hAnsi="Times New Roman" w:eastAsia="楷体_GB2312" w:cs="Times New Roman"/>
          <w:b w:val="0"/>
          <w:bCs w:val="0"/>
          <w:color w:val="auto"/>
          <w:highlight w:val="none"/>
          <w:lang w:val="en-US" w:eastAsia="zh-CN"/>
        </w:rPr>
        <w:t>22</w:t>
      </w:r>
      <w:r>
        <w:rPr>
          <w:rFonts w:hint="default" w:ascii="Times New Roman" w:hAnsi="Times New Roman" w:eastAsia="楷体_GB2312" w:cs="Times New Roman"/>
          <w:b w:val="0"/>
          <w:bCs w:val="0"/>
          <w:color w:val="auto"/>
          <w:highlight w:val="none"/>
        </w:rPr>
        <w:t>年预算持平。</w:t>
      </w:r>
      <w:r>
        <w:rPr>
          <w:rFonts w:hint="default" w:ascii="Times New Roman" w:hAnsi="Times New Roman" w:cs="Times New Roman"/>
          <w:b w:val="0"/>
          <w:bCs w:val="0"/>
          <w:color w:val="auto"/>
          <w:highlight w:val="none"/>
        </w:rPr>
        <w:t>主要原因是</w:t>
      </w:r>
      <w:r>
        <w:rPr>
          <w:rFonts w:hint="default" w:ascii="Times New Roman" w:hAnsi="Times New Roman" w:cs="Times New Roman"/>
          <w:b w:val="0"/>
          <w:bCs w:val="0"/>
          <w:color w:val="auto"/>
          <w:highlight w:val="none"/>
          <w:lang w:val="en-US" w:eastAsia="zh-CN"/>
        </w:rPr>
        <w:t>预算为0</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（二）公务接待费与20</w:t>
      </w:r>
      <w:r>
        <w:rPr>
          <w:rFonts w:hint="default" w:ascii="Times New Roman" w:hAnsi="Times New Roman" w:eastAsia="楷体_GB2312" w:cs="Times New Roman"/>
          <w:b w:val="0"/>
          <w:bCs w:val="0"/>
          <w:color w:val="auto"/>
          <w:highlight w:val="none"/>
          <w:lang w:val="en-US" w:eastAsia="zh-CN"/>
        </w:rPr>
        <w:t>22</w:t>
      </w:r>
      <w:r>
        <w:rPr>
          <w:rFonts w:hint="default" w:ascii="Times New Roman" w:hAnsi="Times New Roman" w:eastAsia="楷体_GB2312" w:cs="Times New Roman"/>
          <w:b w:val="0"/>
          <w:bCs w:val="0"/>
          <w:color w:val="auto"/>
          <w:highlight w:val="none"/>
        </w:rPr>
        <w:t>年预算持平</w:t>
      </w:r>
      <w:r>
        <w:rPr>
          <w:rFonts w:hint="default" w:ascii="Times New Roman" w:hAnsi="Times New Roman" w:eastAsia="楷体_GB2312" w:cs="Times New Roman"/>
          <w:b w:val="0"/>
          <w:bCs w:val="0"/>
          <w:color w:val="auto"/>
          <w:highlight w:val="none"/>
          <w:lang w:eastAsia="zh-CN"/>
        </w:rPr>
        <w:t>。</w:t>
      </w:r>
      <w:r>
        <w:rPr>
          <w:rFonts w:hint="default" w:ascii="Times New Roman" w:hAnsi="Times New Roman" w:eastAsia="楷体_GB2312" w:cs="Times New Roman"/>
          <w:b w:val="0"/>
          <w:bCs w:val="0"/>
          <w:color w:val="auto"/>
          <w:highlight w:val="none"/>
        </w:rPr>
        <w:t>主要原因是</w:t>
      </w:r>
      <w:r>
        <w:rPr>
          <w:rFonts w:hint="default" w:ascii="Times New Roman" w:hAnsi="Times New Roman" w:eastAsia="楷体_GB2312" w:cs="Times New Roman"/>
          <w:b w:val="0"/>
          <w:bCs w:val="0"/>
          <w:color w:val="auto"/>
          <w:highlight w:val="none"/>
          <w:lang w:val="en-US" w:eastAsia="zh-CN"/>
        </w:rPr>
        <w:t>预算为0</w:t>
      </w:r>
      <w:r>
        <w:rPr>
          <w:rFonts w:hint="default" w:ascii="Times New Roman" w:hAnsi="Times New Roman" w:eastAsia="楷体_GB2312"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（三）公务用车购置及运行维护费较</w:t>
      </w:r>
      <w:r>
        <w:rPr>
          <w:rFonts w:hint="default" w:ascii="Times New Roman" w:hAnsi="Times New Roman" w:eastAsia="楷体_GB2312" w:cs="Times New Roman"/>
          <w:b w:val="0"/>
          <w:bCs w:val="0"/>
          <w:color w:val="auto"/>
          <w:highlight w:val="none"/>
          <w:u w:val="none"/>
        </w:rPr>
        <w:t>与20</w:t>
      </w:r>
      <w:r>
        <w:rPr>
          <w:rFonts w:hint="default" w:ascii="Times New Roman" w:hAnsi="Times New Roman" w:eastAsia="楷体_GB2312" w:cs="Times New Roman"/>
          <w:b w:val="0"/>
          <w:bCs w:val="0"/>
          <w:color w:val="auto"/>
          <w:highlight w:val="none"/>
          <w:u w:val="none"/>
          <w:lang w:val="en-US" w:eastAsia="zh-CN"/>
        </w:rPr>
        <w:t>22</w:t>
      </w:r>
      <w:r>
        <w:rPr>
          <w:rFonts w:hint="default" w:ascii="Times New Roman" w:hAnsi="Times New Roman" w:eastAsia="楷体_GB2312" w:cs="Times New Roman"/>
          <w:b w:val="0"/>
          <w:bCs w:val="0"/>
          <w:color w:val="auto"/>
          <w:highlight w:val="none"/>
          <w:u w:val="none"/>
        </w:rPr>
        <w:t>年预算持平</w:t>
      </w:r>
      <w:r>
        <w:rPr>
          <w:rFonts w:hint="default" w:ascii="Times New Roman" w:hAnsi="Times New Roman" w:eastAsia="楷体_GB2312" w:cs="Times New Roman"/>
          <w:b w:val="0"/>
          <w:bCs w:val="0"/>
          <w:color w:val="auto"/>
          <w:highlight w:val="none"/>
        </w:rPr>
        <w:t>。</w:t>
      </w:r>
      <w:r>
        <w:rPr>
          <w:rFonts w:hint="default" w:ascii="Times New Roman" w:hAnsi="Times New Roman" w:cs="Times New Roman"/>
          <w:b w:val="0"/>
          <w:bCs w:val="0"/>
          <w:color w:val="auto"/>
          <w:highlight w:val="none"/>
        </w:rPr>
        <w:t>主要原因是</w:t>
      </w:r>
      <w:r>
        <w:rPr>
          <w:rFonts w:hint="default" w:ascii="Times New Roman" w:hAnsi="Times New Roman" w:cs="Times New Roman"/>
          <w:b w:val="0"/>
          <w:bCs w:val="0"/>
          <w:color w:val="auto"/>
          <w:highlight w:val="none"/>
          <w:lang w:val="en-US" w:eastAsia="zh-CN"/>
        </w:rPr>
        <w:t>预算金额6万元</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部门现有公务用车</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辆，其中：轿车</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辆，越野车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辆，大型客、货车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年安排公务用车购置费</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年安排公务用车运行维护费</w:t>
      </w: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万元，用于</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辆公务用车</w:t>
      </w:r>
      <w:r>
        <w:rPr>
          <w:rFonts w:hint="default" w:ascii="Times New Roman" w:hAnsi="Times New Roman" w:cs="Times New Roman"/>
          <w:b w:val="0"/>
          <w:bCs w:val="0"/>
          <w:color w:val="auto"/>
          <w:highlight w:val="none"/>
          <w:u w:val="none"/>
        </w:rPr>
        <w:t>燃油、维修、保险</w:t>
      </w:r>
      <w:r>
        <w:rPr>
          <w:rFonts w:hint="default" w:ascii="Times New Roman" w:hAnsi="Times New Roman" w:cs="Times New Roman"/>
          <w:b w:val="0"/>
          <w:bCs w:val="0"/>
          <w:color w:val="auto"/>
          <w:highlight w:val="none"/>
        </w:rPr>
        <w:t>等方面支出，主要保障</w:t>
      </w:r>
      <w:r>
        <w:rPr>
          <w:rFonts w:hint="default" w:ascii="Times New Roman" w:hAnsi="Times New Roman" w:cs="Times New Roman"/>
          <w:b w:val="0"/>
          <w:bCs w:val="0"/>
          <w:color w:val="auto"/>
          <w:highlight w:val="none"/>
          <w:lang w:val="en-US" w:eastAsia="zh-CN"/>
        </w:rPr>
        <w:t>机关日常运行</w:t>
      </w:r>
      <w:r>
        <w:rPr>
          <w:rFonts w:hint="default" w:ascii="Times New Roman" w:hAnsi="Times New Roman" w:cs="Times New Roman"/>
          <w:b w:val="0"/>
          <w:bCs w:val="0"/>
          <w:color w:val="auto"/>
          <w:highlight w:val="none"/>
        </w:rPr>
        <w:t>等工作开展。</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年“会议费”、“培训费”、“差旅费”财政拨款预算数</w:t>
      </w:r>
      <w:r>
        <w:rPr>
          <w:rFonts w:hint="default" w:ascii="Times New Roman" w:hAnsi="Times New Roman" w:cs="Times New Roman"/>
          <w:b w:val="0"/>
          <w:bCs w:val="0"/>
          <w:color w:val="auto"/>
          <w:highlight w:val="none"/>
          <w:lang w:val="en-US" w:eastAsia="zh-CN"/>
        </w:rPr>
        <w:t>20.2</w:t>
      </w:r>
      <w:r>
        <w:rPr>
          <w:rFonts w:hint="default" w:ascii="Times New Roman" w:hAnsi="Times New Roman" w:cs="Times New Roman"/>
          <w:b w:val="0"/>
          <w:bCs w:val="0"/>
          <w:color w:val="auto"/>
          <w:highlight w:val="none"/>
        </w:rPr>
        <w:t>万元，其中：会议费</w:t>
      </w:r>
      <w:r>
        <w:rPr>
          <w:rFonts w:hint="default" w:ascii="Times New Roman" w:hAnsi="Times New Roman" w:eastAsia="楷体_GB2312"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万元，培训费</w:t>
      </w:r>
      <w:r>
        <w:rPr>
          <w:rFonts w:hint="default" w:ascii="Times New Roman" w:hAnsi="Times New Roman" w:cs="Times New Roman"/>
          <w:b w:val="0"/>
          <w:bCs w:val="0"/>
          <w:color w:val="auto"/>
          <w:highlight w:val="none"/>
          <w:lang w:val="en-US" w:eastAsia="zh-CN"/>
        </w:rPr>
        <w:t>0.5</w:t>
      </w:r>
      <w:r>
        <w:rPr>
          <w:rFonts w:hint="default" w:ascii="Times New Roman" w:hAnsi="Times New Roman" w:cs="Times New Roman"/>
          <w:b w:val="0"/>
          <w:bCs w:val="0"/>
          <w:color w:val="auto"/>
          <w:highlight w:val="none"/>
        </w:rPr>
        <w:t>万元，差旅费</w:t>
      </w:r>
      <w:r>
        <w:rPr>
          <w:rFonts w:hint="default" w:ascii="Times New Roman" w:hAnsi="Times New Roman" w:cs="Times New Roman"/>
          <w:b w:val="0"/>
          <w:bCs w:val="0"/>
          <w:color w:val="auto"/>
          <w:highlight w:val="none"/>
          <w:lang w:val="en-US" w:eastAsia="zh-CN"/>
        </w:rPr>
        <w:t>19.7</w:t>
      </w:r>
      <w:r>
        <w:rPr>
          <w:rFonts w:hint="default" w:ascii="Times New Roman" w:hAnsi="Times New Roman" w:cs="Times New Roman"/>
          <w:b w:val="0"/>
          <w:bCs w:val="0"/>
          <w:color w:val="auto"/>
          <w:highlight w:val="none"/>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（一）会议费较</w:t>
      </w:r>
      <w:r>
        <w:rPr>
          <w:rFonts w:hint="default" w:ascii="Times New Roman" w:hAnsi="Times New Roman" w:eastAsia="楷体_GB2312" w:cs="Times New Roman"/>
          <w:b w:val="0"/>
          <w:bCs w:val="0"/>
          <w:color w:val="auto"/>
          <w:highlight w:val="none"/>
          <w:u w:val="none"/>
        </w:rPr>
        <w:t>20</w:t>
      </w:r>
      <w:r>
        <w:rPr>
          <w:rFonts w:hint="default" w:ascii="Times New Roman" w:hAnsi="Times New Roman" w:eastAsia="楷体_GB2312" w:cs="Times New Roman"/>
          <w:b w:val="0"/>
          <w:bCs w:val="0"/>
          <w:color w:val="auto"/>
          <w:highlight w:val="none"/>
          <w:u w:val="none"/>
          <w:lang w:val="en-US" w:eastAsia="zh-CN"/>
        </w:rPr>
        <w:t>22</w:t>
      </w:r>
      <w:r>
        <w:rPr>
          <w:rFonts w:hint="default" w:ascii="Times New Roman" w:hAnsi="Times New Roman" w:eastAsia="楷体_GB2312" w:cs="Times New Roman"/>
          <w:b w:val="0"/>
          <w:bCs w:val="0"/>
          <w:color w:val="auto"/>
          <w:highlight w:val="none"/>
          <w:u w:val="none"/>
        </w:rPr>
        <w:t>年预算持平</w:t>
      </w:r>
      <w:r>
        <w:rPr>
          <w:rFonts w:hint="default" w:ascii="Times New Roman" w:hAnsi="Times New Roman" w:eastAsia="楷体_GB2312" w:cs="Times New Roman"/>
          <w:b w:val="0"/>
          <w:bCs w:val="0"/>
          <w:color w:val="auto"/>
          <w:highlight w:val="none"/>
        </w:rPr>
        <w:t>。</w:t>
      </w:r>
      <w:r>
        <w:rPr>
          <w:rFonts w:hint="default" w:ascii="Times New Roman" w:hAnsi="Times New Roman" w:cs="Times New Roman"/>
          <w:b w:val="0"/>
          <w:bCs w:val="0"/>
          <w:color w:val="auto"/>
          <w:highlight w:val="none"/>
        </w:rPr>
        <w:t>主要原因是</w:t>
      </w:r>
      <w:r>
        <w:rPr>
          <w:rFonts w:hint="default" w:ascii="Times New Roman" w:hAnsi="Times New Roman" w:cs="Times New Roman"/>
          <w:b w:val="0"/>
          <w:bCs w:val="0"/>
          <w:color w:val="auto"/>
          <w:highlight w:val="none"/>
          <w:lang w:val="en-US" w:eastAsia="zh-CN"/>
        </w:rPr>
        <w:t>未预算相关费欧诺个</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（二）培训费较20</w:t>
      </w:r>
      <w:r>
        <w:rPr>
          <w:rFonts w:hint="default" w:ascii="Times New Roman" w:hAnsi="Times New Roman" w:eastAsia="楷体_GB2312" w:cs="Times New Roman"/>
          <w:b w:val="0"/>
          <w:bCs w:val="0"/>
          <w:color w:val="auto"/>
          <w:highlight w:val="none"/>
          <w:lang w:val="en-US" w:eastAsia="zh-CN"/>
        </w:rPr>
        <w:t>22</w:t>
      </w:r>
      <w:r>
        <w:rPr>
          <w:rFonts w:hint="default" w:ascii="Times New Roman" w:hAnsi="Times New Roman" w:eastAsia="楷体_GB2312" w:cs="Times New Roman"/>
          <w:b w:val="0"/>
          <w:bCs w:val="0"/>
          <w:color w:val="auto"/>
          <w:highlight w:val="none"/>
        </w:rPr>
        <w:t>年预算增长</w:t>
      </w:r>
      <w:r>
        <w:rPr>
          <w:rFonts w:hint="default" w:ascii="Times New Roman" w:hAnsi="Times New Roman" w:eastAsia="楷体_GB2312" w:cs="Times New Roman"/>
          <w:b w:val="0"/>
          <w:bCs w:val="0"/>
          <w:color w:val="auto"/>
          <w:highlight w:val="none"/>
          <w:lang w:val="en-US" w:eastAsia="zh-CN"/>
        </w:rPr>
        <w:t>0.5万</w:t>
      </w:r>
      <w:r>
        <w:rPr>
          <w:rFonts w:hint="eastAsia" w:ascii="Times New Roman" w:hAnsi="Times New Roman" w:eastAsia="楷体_GB2312" w:cs="Times New Roman"/>
          <w:b w:val="0"/>
          <w:bCs w:val="0"/>
          <w:color w:val="auto"/>
          <w:highlight w:val="none"/>
          <w:lang w:val="en-US" w:eastAsia="zh-CN"/>
        </w:rPr>
        <w:t>元</w:t>
      </w:r>
      <w:r>
        <w:rPr>
          <w:rFonts w:hint="default" w:ascii="Times New Roman" w:hAnsi="Times New Roman" w:eastAsia="楷体_GB2312" w:cs="Times New Roman"/>
          <w:b w:val="0"/>
          <w:bCs w:val="0"/>
          <w:color w:val="auto"/>
          <w:highlight w:val="none"/>
        </w:rPr>
        <w:t>。</w:t>
      </w:r>
      <w:r>
        <w:rPr>
          <w:rFonts w:hint="default" w:ascii="Times New Roman" w:hAnsi="Times New Roman" w:cs="Times New Roman"/>
          <w:b w:val="0"/>
          <w:bCs w:val="0"/>
          <w:color w:val="auto"/>
          <w:highlight w:val="none"/>
        </w:rPr>
        <w:t>主要原因是</w:t>
      </w:r>
      <w:r>
        <w:rPr>
          <w:rFonts w:hint="default" w:ascii="Times New Roman" w:hAnsi="Times New Roman" w:cs="Times New Roman"/>
          <w:b w:val="0"/>
          <w:bCs w:val="0"/>
          <w:color w:val="auto"/>
          <w:highlight w:val="none"/>
          <w:lang w:val="en-US" w:eastAsia="zh-CN"/>
        </w:rPr>
        <w:t>上年未预算培训费</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楷体_GB2312" w:cs="Times New Roman"/>
          <w:b w:val="0"/>
          <w:bCs w:val="0"/>
          <w:color w:val="auto"/>
          <w:highlight w:val="none"/>
        </w:rPr>
        <w:t>（三）差旅费较20</w:t>
      </w:r>
      <w:r>
        <w:rPr>
          <w:rFonts w:hint="default" w:ascii="Times New Roman" w:hAnsi="Times New Roman" w:eastAsia="楷体_GB2312" w:cs="Times New Roman"/>
          <w:b w:val="0"/>
          <w:bCs w:val="0"/>
          <w:color w:val="auto"/>
          <w:highlight w:val="none"/>
          <w:lang w:val="en-US" w:eastAsia="zh-CN"/>
        </w:rPr>
        <w:t>22</w:t>
      </w:r>
      <w:r>
        <w:rPr>
          <w:rFonts w:hint="default" w:ascii="Times New Roman" w:hAnsi="Times New Roman" w:eastAsia="楷体_GB2312" w:cs="Times New Roman"/>
          <w:b w:val="0"/>
          <w:bCs w:val="0"/>
          <w:color w:val="auto"/>
          <w:highlight w:val="none"/>
        </w:rPr>
        <w:t>年预算增长</w:t>
      </w:r>
      <w:r>
        <w:rPr>
          <w:rFonts w:hint="default" w:ascii="Times New Roman" w:hAnsi="Times New Roman" w:eastAsia="楷体_GB2312" w:cs="Times New Roman"/>
          <w:b w:val="0"/>
          <w:bCs w:val="0"/>
          <w:color w:val="auto"/>
          <w:highlight w:val="none"/>
          <w:lang w:val="en-US" w:eastAsia="zh-CN"/>
        </w:rPr>
        <w:t>2.56</w:t>
      </w:r>
      <w:r>
        <w:rPr>
          <w:rFonts w:hint="default" w:ascii="Times New Roman" w:hAnsi="Times New Roman" w:eastAsia="楷体_GB2312" w:cs="Times New Roman"/>
          <w:b w:val="0"/>
          <w:bCs w:val="0"/>
          <w:color w:val="auto"/>
          <w:highlight w:val="none"/>
        </w:rPr>
        <w:t>%。</w:t>
      </w:r>
      <w:r>
        <w:rPr>
          <w:rFonts w:hint="default" w:ascii="Times New Roman" w:hAnsi="Times New Roman" w:eastAsia="楷体_GB2312" w:cs="Times New Roman"/>
          <w:b w:val="0"/>
          <w:bCs w:val="0"/>
          <w:color w:val="auto"/>
          <w:highlight w:val="none"/>
          <w:lang w:val="en-US" w:eastAsia="zh-CN"/>
        </w:rPr>
        <w:t>表动幅度较小</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年政府性基金预算支出</w:t>
      </w:r>
      <w:r>
        <w:rPr>
          <w:rFonts w:hint="default" w:ascii="Times New Roman" w:hAnsi="Times New Roman" w:cs="Times New Roman"/>
          <w:b w:val="0"/>
          <w:bCs w:val="0"/>
          <w:color w:val="auto"/>
          <w:highlight w:val="none"/>
          <w:lang w:val="en-US" w:eastAsia="zh-CN"/>
        </w:rPr>
        <w:t>281</w:t>
      </w:r>
      <w:r>
        <w:rPr>
          <w:rFonts w:hint="default" w:ascii="Times New Roman" w:hAnsi="Times New Roman" w:cs="Times New Roman"/>
          <w:b w:val="0"/>
          <w:bCs w:val="0"/>
          <w:color w:val="auto"/>
          <w:highlight w:val="none"/>
        </w:rPr>
        <w:t>万元，其中：基本支出</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万元，项目支出</w:t>
      </w:r>
      <w:r>
        <w:rPr>
          <w:rFonts w:hint="default" w:ascii="Times New Roman" w:hAnsi="Times New Roman" w:cs="Times New Roman"/>
          <w:b w:val="0"/>
          <w:bCs w:val="0"/>
          <w:color w:val="auto"/>
          <w:highlight w:val="none"/>
          <w:lang w:val="en-US" w:eastAsia="zh-CN"/>
        </w:rPr>
        <w:t>281</w:t>
      </w:r>
      <w:r>
        <w:rPr>
          <w:rFonts w:hint="default" w:ascii="Times New Roman" w:hAnsi="Times New Roman" w:cs="Times New Roman"/>
          <w:b w:val="0"/>
          <w:bCs w:val="0"/>
          <w:color w:val="auto"/>
          <w:highlight w:val="none"/>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年没有使用国有资本经营预算拨款安排的支出。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（一）机关运行经费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w:t>
      </w: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的机关运行经费财政拨款预算为</w:t>
      </w:r>
      <w:r>
        <w:rPr>
          <w:rFonts w:hint="default" w:ascii="Times New Roman" w:hAnsi="Times New Roman" w:cs="Times New Roman"/>
          <w:b w:val="0"/>
          <w:bCs w:val="0"/>
          <w:color w:val="auto"/>
          <w:highlight w:val="none"/>
          <w:lang w:val="en-US" w:eastAsia="zh-CN"/>
        </w:rPr>
        <w:t>152.63</w:t>
      </w:r>
      <w:r>
        <w:rPr>
          <w:rFonts w:hint="default" w:ascii="Times New Roman" w:hAnsi="Times New Roman" w:cs="Times New Roman"/>
          <w:b w:val="0"/>
          <w:bCs w:val="0"/>
          <w:color w:val="auto"/>
          <w:highlight w:val="none"/>
        </w:rPr>
        <w:t>万元，较20</w:t>
      </w:r>
      <w:r>
        <w:rPr>
          <w:rFonts w:hint="default" w:ascii="Times New Roman" w:hAnsi="Times New Roman" w:cs="Times New Roman"/>
          <w:b w:val="0"/>
          <w:bCs w:val="0"/>
          <w:color w:val="auto"/>
          <w:highlight w:val="none"/>
          <w:lang w:val="en-US" w:eastAsia="zh-CN"/>
        </w:rPr>
        <w:t>22</w:t>
      </w:r>
      <w:r>
        <w:rPr>
          <w:rFonts w:hint="default" w:ascii="Times New Roman" w:hAnsi="Times New Roman" w:cs="Times New Roman"/>
          <w:b w:val="0"/>
          <w:bCs w:val="0"/>
          <w:color w:val="auto"/>
          <w:highlight w:val="none"/>
        </w:rPr>
        <w:t>年预</w:t>
      </w:r>
      <w:r>
        <w:rPr>
          <w:rFonts w:hint="default" w:ascii="Times New Roman" w:hAnsi="Times New Roman" w:cs="Times New Roman"/>
          <w:b w:val="0"/>
          <w:bCs w:val="0"/>
          <w:color w:val="auto"/>
          <w:highlight w:val="none"/>
          <w:u w:val="none"/>
        </w:rPr>
        <w:t>算减少</w:t>
      </w:r>
      <w:r>
        <w:rPr>
          <w:rFonts w:hint="default" w:ascii="Times New Roman" w:hAnsi="Times New Roman" w:cs="Times New Roman"/>
          <w:b w:val="0"/>
          <w:bCs w:val="0"/>
          <w:color w:val="auto"/>
          <w:highlight w:val="none"/>
          <w:u w:val="none"/>
          <w:lang w:val="en-US" w:eastAsia="zh-CN"/>
        </w:rPr>
        <w:t>5.49</w:t>
      </w:r>
      <w:r>
        <w:rPr>
          <w:rFonts w:hint="default" w:ascii="Times New Roman" w:hAnsi="Times New Roman" w:cs="Times New Roman"/>
          <w:b w:val="0"/>
          <w:bCs w:val="0"/>
          <w:color w:val="auto"/>
          <w:highlight w:val="none"/>
          <w:u w:val="none"/>
        </w:rPr>
        <w:t>万元，下降</w:t>
      </w:r>
      <w:r>
        <w:rPr>
          <w:rFonts w:hint="default" w:ascii="Times New Roman" w:hAnsi="Times New Roman" w:cs="Times New Roman"/>
          <w:b w:val="0"/>
          <w:bCs w:val="0"/>
          <w:color w:val="auto"/>
          <w:highlight w:val="none"/>
          <w:u w:val="none"/>
          <w:lang w:val="en-US" w:eastAsia="zh-CN"/>
        </w:rPr>
        <w:t>3.47</w:t>
      </w:r>
      <w:r>
        <w:rPr>
          <w:rFonts w:hint="default" w:ascii="Times New Roman" w:hAnsi="Times New Roman" w:cs="Times New Roman"/>
          <w:b w:val="0"/>
          <w:bCs w:val="0"/>
          <w:color w:val="auto"/>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（二）政府采购情况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w:t>
      </w: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安排政府采购预算</w:t>
      </w:r>
      <w:r>
        <w:rPr>
          <w:rFonts w:hint="default" w:ascii="Times New Roman" w:hAnsi="Times New Roman" w:cs="Times New Roman"/>
          <w:b w:val="0"/>
          <w:bCs w:val="0"/>
          <w:color w:val="auto"/>
          <w:highlight w:val="none"/>
          <w:lang w:val="en-US" w:eastAsia="zh-CN"/>
        </w:rPr>
        <w:t>77.54</w:t>
      </w:r>
      <w:r>
        <w:rPr>
          <w:rFonts w:hint="default" w:ascii="Times New Roman" w:hAnsi="Times New Roman" w:cs="Times New Roman"/>
          <w:b w:val="0"/>
          <w:bCs w:val="0"/>
          <w:color w:val="auto"/>
          <w:highlight w:val="none"/>
        </w:rPr>
        <w:t>万元，主要用于采购</w:t>
      </w:r>
      <w:r>
        <w:rPr>
          <w:rFonts w:hint="default" w:ascii="Times New Roman" w:hAnsi="Times New Roman" w:cs="Times New Roman"/>
          <w:b w:val="0"/>
          <w:bCs w:val="0"/>
          <w:color w:val="auto"/>
          <w:highlight w:val="none"/>
          <w:lang w:val="en-US" w:eastAsia="zh-CN"/>
        </w:rPr>
        <w:t>桃花山棚户区三期物业管理服务</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截至20</w:t>
      </w:r>
      <w:r>
        <w:rPr>
          <w:rFonts w:hint="default" w:ascii="Times New Roman" w:hAnsi="Times New Roman" w:cs="Times New Roman"/>
          <w:b w:val="0"/>
          <w:bCs w:val="0"/>
          <w:color w:val="auto"/>
          <w:highlight w:val="none"/>
          <w:lang w:val="en-US" w:eastAsia="zh-CN"/>
        </w:rPr>
        <w:t>22</w:t>
      </w:r>
      <w:r>
        <w:rPr>
          <w:rFonts w:hint="default" w:ascii="Times New Roman" w:hAnsi="Times New Roman" w:cs="Times New Roman"/>
          <w:b w:val="0"/>
          <w:bCs w:val="0"/>
          <w:color w:val="auto"/>
          <w:highlight w:val="none"/>
        </w:rPr>
        <w:t>年底，</w:t>
      </w:r>
      <w:r>
        <w:rPr>
          <w:rFonts w:hint="default" w:ascii="Times New Roman" w:hAnsi="Times New Roman" w:cs="Times New Roman"/>
          <w:b w:val="0"/>
          <w:bCs w:val="0"/>
          <w:color w:val="auto"/>
          <w:highlight w:val="none"/>
          <w:lang w:val="en-US" w:eastAsia="zh-CN"/>
        </w:rPr>
        <w:t>西宁街道</w:t>
      </w:r>
      <w:r>
        <w:rPr>
          <w:rFonts w:hint="default" w:ascii="Times New Roman" w:hAnsi="Times New Roman" w:cs="Times New Roman"/>
          <w:b w:val="0"/>
          <w:bCs w:val="0"/>
          <w:color w:val="auto"/>
          <w:highlight w:val="none"/>
        </w:rPr>
        <w:t>所属各预算单位共有车辆</w:t>
      </w:r>
      <w:r>
        <w:rPr>
          <w:rFonts w:hint="default" w:ascii="Times New Roman" w:hAnsi="Times New Roman" w:eastAsia="楷体_GB2312" w:cs="Times New Roman"/>
          <w:b w:val="0"/>
          <w:bCs w:val="0"/>
          <w:color w:val="auto"/>
          <w:highlight w:val="none"/>
          <w:lang w:val="en-US" w:eastAsia="zh-CN"/>
        </w:rPr>
        <w:t>2</w:t>
      </w:r>
      <w:r>
        <w:rPr>
          <w:rFonts w:hint="default" w:ascii="Times New Roman" w:hAnsi="Times New Roman" w:cs="Times New Roman"/>
          <w:b w:val="0"/>
          <w:bCs w:val="0"/>
          <w:color w:val="auto"/>
          <w:highlight w:val="none"/>
        </w:rPr>
        <w:t>辆，其中，地厅级领导干部用车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辆、定向保障用车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辆、执法执勤用车</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辆。单位价值200万元以上大型设备</w:t>
      </w:r>
      <w:r>
        <w:rPr>
          <w:rFonts w:hint="default" w:ascii="Times New Roman" w:hAnsi="Times New Roman" w:eastAsia="楷体_GB2312" w:cs="Times New Roman"/>
          <w:b w:val="0"/>
          <w:bCs w:val="0"/>
          <w:color w:val="auto"/>
          <w:highlight w:val="none"/>
          <w:lang w:val="en-US" w:eastAsia="zh-CN"/>
        </w:rPr>
        <w:t>0</w:t>
      </w:r>
      <w:r>
        <w:rPr>
          <w:rFonts w:hint="default" w:ascii="Times New Roman" w:hAnsi="Times New Roman" w:cs="Times New Roman"/>
          <w:b w:val="0"/>
          <w:bCs w:val="0"/>
          <w:color w:val="auto"/>
          <w:highlight w:val="none"/>
        </w:rPr>
        <w:t>台（套）。</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val="en-US" w:eastAsia="zh-CN"/>
        </w:rPr>
        <w:t>23</w:t>
      </w:r>
      <w:r>
        <w:rPr>
          <w:rFonts w:hint="default" w:ascii="Times New Roman" w:hAnsi="Times New Roman" w:cs="Times New Roman"/>
          <w:b w:val="0"/>
          <w:bCs w:val="0"/>
          <w:color w:val="auto"/>
          <w:highlight w:val="none"/>
        </w:rPr>
        <w:t>年部门预算安排车辆购置经费</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万元。其中，财政拨款预算安排</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万元，非财政拨款安排</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万元。购置地厅级领导干部用车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辆、定向保障用车</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辆、执法执勤用</w:t>
      </w:r>
      <w:r>
        <w:rPr>
          <w:rFonts w:hint="eastAsia" w:ascii="Times New Roman" w:hAnsi="Times New Roman" w:cs="Times New Roman"/>
          <w:b w:val="0"/>
          <w:bCs w:val="0"/>
          <w:color w:val="auto"/>
          <w:highlight w:val="none"/>
          <w:lang w:val="en-US" w:eastAsia="zh-CN"/>
        </w:rPr>
        <w:t>车</w:t>
      </w:r>
      <w:bookmarkStart w:id="0" w:name="_GoBack"/>
      <w:bookmarkEnd w:id="0"/>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辆。安排大型设备购置经费</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万元，购置大型设备</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台（套）。</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highlight w:val="none"/>
          <w:lang w:eastAsia="zh-CN"/>
        </w:rPr>
      </w:pPr>
      <w:r>
        <w:rPr>
          <w:rFonts w:hint="default" w:ascii="Times New Roman" w:hAnsi="Times New Roman" w:eastAsia="楷体_GB2312" w:cs="Times New Roman"/>
          <w:b w:val="0"/>
          <w:bCs w:val="0"/>
          <w:color w:val="auto"/>
          <w:highlight w:val="none"/>
        </w:rPr>
        <w:t>（四）</w:t>
      </w:r>
      <w:r>
        <w:rPr>
          <w:rFonts w:hint="default" w:ascii="Times New Roman" w:hAnsi="Times New Roman" w:eastAsia="楷体_GB2312" w:cs="Times New Roman"/>
          <w:b w:val="0"/>
          <w:bCs w:val="0"/>
          <w:color w:val="auto"/>
          <w:highlight w:val="none"/>
          <w:lang w:eastAsia="zh-CN"/>
        </w:rPr>
        <w:t>预算绩效</w:t>
      </w:r>
      <w:r>
        <w:rPr>
          <w:rFonts w:hint="default" w:ascii="Times New Roman" w:hAnsi="Times New Roman" w:eastAsia="楷体_GB2312" w:cs="Times New Roman"/>
          <w:b w:val="0"/>
          <w:bCs w:val="0"/>
          <w:color w:val="auto"/>
          <w:highlight w:val="none"/>
        </w:rPr>
        <w:t>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2023年西宁街道</w:t>
      </w:r>
      <w:r>
        <w:rPr>
          <w:rFonts w:hint="default" w:ascii="Times New Roman" w:hAnsi="Times New Roman" w:cs="Times New Roman"/>
          <w:b w:val="0"/>
          <w:bCs w:val="0"/>
          <w:color w:val="auto"/>
          <w:highlight w:val="none"/>
          <w:lang w:eastAsia="zh-CN"/>
        </w:rPr>
        <w:t>开展绩效目标管理的项目</w:t>
      </w:r>
      <w:r>
        <w:rPr>
          <w:rFonts w:hint="default" w:ascii="Times New Roman" w:hAnsi="Times New Roman" w:cs="Times New Roman"/>
          <w:b w:val="0"/>
          <w:bCs w:val="0"/>
          <w:color w:val="auto"/>
          <w:highlight w:val="none"/>
          <w:lang w:val="en-US" w:eastAsia="zh-CN"/>
        </w:rPr>
        <w:t>13个，涉及预算1192.75万元。其中：人员类项目0个，涉及预算0万元；运转类项目0个，涉及预算0万元；特定目标类项目13个，涉及预算1192.75万元</w:t>
      </w:r>
      <w:r>
        <w:rPr>
          <w:rFonts w:hint="default" w:ascii="Times New Roman" w:hAnsi="Times New Roman" w:cs="Times New Roman"/>
          <w:b w:val="0"/>
          <w:bCs w:val="0"/>
          <w:color w:val="auto"/>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rPr>
        <w:t>十二、名词解释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1.一般公共预算拨款收入：指市本级财政当年拨付的资金。</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rPr>
      </w:pPr>
    </w:p>
    <w:p>
      <w:pPr>
        <w:keepNext w:val="0"/>
        <w:keepLines w:val="0"/>
        <w:pageBreakBefore w:val="0"/>
        <w:kinsoku/>
        <w:wordWrap/>
        <w:overflowPunct/>
        <w:topLinePunct w:val="0"/>
        <w:autoSpaceDE/>
        <w:autoSpaceDN/>
        <w:bidi w:val="0"/>
        <w:adjustRightInd/>
        <w:snapToGrid/>
        <w:spacing w:line="560" w:lineRule="exact"/>
        <w:ind w:firstLine="1258" w:firstLineChars="398"/>
        <w:textAlignment w:val="auto"/>
        <w:rPr>
          <w:rFonts w:hint="default" w:ascii="Times New Roman" w:hAnsi="Times New Roman" w:cs="Times New Roman"/>
          <w:b w:val="0"/>
          <w:bCs w:val="0"/>
          <w:color w:val="auto"/>
          <w:highlight w:val="none"/>
        </w:rPr>
      </w:pPr>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3"/>
        <w:rFonts w:ascii="宋体" w:hAnsi="宋体" w:eastAsia="宋体"/>
        <w:sz w:val="28"/>
        <w:szCs w:val="28"/>
      </w:rPr>
    </w:pP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- 12 -</w:t>
    </w:r>
    <w:r>
      <w:rPr>
        <w:rFonts w:ascii="宋体" w:hAnsi="宋体" w:eastAsia="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ZWFkYzIzNTEzNmJkOWYyZDdjMWJhYjNiMDQ3ZDQifQ=="/>
  </w:docVars>
  <w:rsids>
    <w:rsidRoot w:val="60603A9F"/>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0960080F"/>
    <w:rsid w:val="0FD13436"/>
    <w:rsid w:val="10795489"/>
    <w:rsid w:val="11D02E86"/>
    <w:rsid w:val="15FF01DE"/>
    <w:rsid w:val="16FE0496"/>
    <w:rsid w:val="175956CC"/>
    <w:rsid w:val="18920C62"/>
    <w:rsid w:val="1DD266D2"/>
    <w:rsid w:val="1DF443A0"/>
    <w:rsid w:val="234A4B65"/>
    <w:rsid w:val="25D54367"/>
    <w:rsid w:val="27905C63"/>
    <w:rsid w:val="2B297F57"/>
    <w:rsid w:val="39A405D1"/>
    <w:rsid w:val="3A922B1F"/>
    <w:rsid w:val="3CDB255C"/>
    <w:rsid w:val="3D78424E"/>
    <w:rsid w:val="3EB76FF8"/>
    <w:rsid w:val="40DF396B"/>
    <w:rsid w:val="42624E8A"/>
    <w:rsid w:val="4872065D"/>
    <w:rsid w:val="4BD43C7C"/>
    <w:rsid w:val="4DC808DA"/>
    <w:rsid w:val="4FDA0983"/>
    <w:rsid w:val="54B72613"/>
    <w:rsid w:val="59445080"/>
    <w:rsid w:val="5CFF31EC"/>
    <w:rsid w:val="5FDB1B72"/>
    <w:rsid w:val="60603A9F"/>
    <w:rsid w:val="66925AD1"/>
    <w:rsid w:val="689A1A20"/>
    <w:rsid w:val="6E7B4D55"/>
    <w:rsid w:val="6EA12D56"/>
    <w:rsid w:val="70086687"/>
    <w:rsid w:val="72B15749"/>
    <w:rsid w:val="7548387E"/>
    <w:rsid w:val="77C27899"/>
    <w:rsid w:val="784D4C4D"/>
    <w:rsid w:val="791160C4"/>
    <w:rsid w:val="79405A75"/>
    <w:rsid w:val="7A2E73ED"/>
    <w:rsid w:val="B2AFD701"/>
    <w:rsid w:val="DFDE00D7"/>
    <w:rsid w:val="EF4BFDF4"/>
    <w:rsid w:val="F73BE7C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olor w:val="000000"/>
      <w:kern w:val="0"/>
      <w:sz w:val="24"/>
    </w:rPr>
  </w:style>
  <w:style w:type="paragraph" w:styleId="4">
    <w:name w:val="Body Text Indent"/>
    <w:basedOn w:val="1"/>
    <w:qFormat/>
    <w:uiPriority w:val="99"/>
    <w:pPr>
      <w:spacing w:after="120"/>
      <w:ind w:left="420" w:leftChars="200"/>
    </w:pPr>
    <w:rPr>
      <w:rFonts w:cs="Times New Roman"/>
      <w:kern w:val="0"/>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qFormat/>
    <w:uiPriority w:val="0"/>
    <w:pPr>
      <w:ind w:firstLine="420" w:firstLineChars="200"/>
    </w:pPr>
  </w:style>
  <w:style w:type="character" w:styleId="12">
    <w:name w:val="Strong"/>
    <w:qFormat/>
    <w:uiPriority w:val="0"/>
    <w:rPr>
      <w:b/>
    </w:rPr>
  </w:style>
  <w:style w:type="character" w:styleId="13">
    <w:name w:val="page number"/>
    <w:basedOn w:val="11"/>
    <w:uiPriority w:val="0"/>
  </w:style>
  <w:style w:type="character" w:customStyle="1" w:styleId="14">
    <w:name w:val="15"/>
    <w:basedOn w:val="11"/>
    <w:uiPriority w:val="0"/>
    <w:rPr>
      <w:rFonts w:hint="default" w:ascii="Times New Roman" w:hAnsi="Times New Roman" w:cs="Times New Roman"/>
    </w:rPr>
  </w:style>
  <w:style w:type="character" w:customStyle="1" w:styleId="15">
    <w:name w:val="10"/>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429941555\D:\tmp\webword_779917073\C:\Users\x\Desktop\&#37096;&#38376;&#39044;&#31639;.5.24\&#39044;&#31639;&#20844;&#24320;\&#38468;&#20214;2%20&#37096;&#38376;&#39044;&#31639;&#32534;&#21046;&#35828;&#26126;--&#259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5271</Words>
  <Characters>5925</Characters>
  <Lines>1</Lines>
  <Paragraphs>1</Paragraphs>
  <TotalTime>4</TotalTime>
  <ScaleCrop>false</ScaleCrop>
  <LinksUpToDate>false</LinksUpToDate>
  <CharactersWithSpaces>5946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2023-05-25T17:18:00Z</dcterms:created>
  <dc:creator>容</dc:creator>
  <cp:lastModifiedBy>蒿小闵</cp:lastModifiedBy>
  <dcterms:modified xsi:type="dcterms:W3CDTF">2023-05-31T09:23:25Z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E600FD2A64E8461EB7FE9636C67672DA_11</vt:lpwstr>
  </property>
</Properties>
</file>