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 xml:space="preserve">遂宁高新区保升镇人民政府  </w:t>
      </w:r>
    </w:p>
    <w:p>
      <w:pPr>
        <w:jc w:val="center"/>
        <w:rPr>
          <w:rFonts w:hint="default" w:ascii="Times New Roman" w:hAnsi="Times New Roman" w:cs="Times New Roman"/>
        </w:rPr>
      </w:pPr>
      <w:r>
        <w:rPr>
          <w:rFonts w:hint="default" w:ascii="Times New Roman" w:hAnsi="Times New Roman" w:eastAsia="方正小标宋简体" w:cs="Times New Roman"/>
          <w:sz w:val="44"/>
          <w:szCs w:val="44"/>
        </w:rPr>
        <w:t xml:space="preserve"> 2021年部门预算</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  录</w:t>
      </w:r>
    </w:p>
    <w:p>
      <w:pPr>
        <w:rPr>
          <w:rFonts w:hint="default" w:ascii="Times New Roman" w:hAnsi="Times New Roman" w:cs="Times New Roman"/>
        </w:rPr>
      </w:pPr>
      <w:r>
        <w:rPr>
          <w:rFonts w:hint="default" w:ascii="Times New Roman" w:hAnsi="Times New Roman" w:cs="Times New Roman"/>
        </w:rPr>
        <w:t> </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  2021年部门预算编制说明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二、预算单位基本情况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八、“会议费”“培训费”“差旅费”财政拨款预算安排情况说明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九、政府性基金预算支出情况说明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十、国有资本经营预算支出情况说明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十二、重要名词解释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  2021年部门预算报表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 部门收支总表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表1-1. 部门收入总表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表1-2. 部门支出总表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 财政拨款收支预算总表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表2-1. 财政拨款支出预算表（政府经济分类科目）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 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 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 一般公共预算项目支出预算表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表3-3. 一般公共预算“三公”经费支出预算表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 政府性基金支出预算表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表4-1. 政府性基金预算“三公”经费支出预算表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表5. 国有资本经营预算支出预算表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第三部分  2021年部门预算绩效目标表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 部门整体支出绩效目标表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 部门预算项目支出绩效目标表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遂宁高新区保升镇人民政府</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2021年部门预算编制说明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 保升镇人民政府职能简介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国家政策，严格依法行政，发挥经济管理职能，加强政策引导，制定发展规划，增收节支，深化改革；努力提高自身人员素质，为实现高新区年初下达的各项指标而努力奋斗，保证党的路线、方针、政策的坚决贯彻执行。领导和监督同级人大、政府落实上级安排的各项工作任务。教育和管理全镇各级干部群众，抓好经济建设，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1、执行本级人民代表大会的决议和上级国家行政机关的决定和命令，发布决定和命令;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2、加大招商引资力度,培植财源增长点。我镇充分利用区域优势，加大招商引资力量的同时为积极为企业服好务，培植财税新的增长点，财政重点支持了场镇基础设施建设，为招商引资筑巢行凤。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3、加强干部队伍自身建设，提高干部综合素质。为适应新的财政工作的需要，加强干部的人生观，世界观改造，培养崇高的职业道德，建设高素质的财政队伍势在必行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5、协调配合税务部门，加强税收环境治理，杜决税源“跑、冒、滴、漏”现象的发生。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6、协助镇党委抓好公务员和下属事业单位工作人员的教育、监督和管理工作，负责监督管理下属事业单位的国有资产、监督下属事业单位贯彻执行政策情况。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7、在高新区及财政局的指导监督下，首先对财政收支实行一般预算管理,实行收支两条线，严禁坐支。提高专款专用能力，各种资金有专门的走向，减少了资金的中转环节，避免了中途的截留挪用。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（二）保升镇人民政府2021年重点工作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着力思想政治建设。继续巩固深化“不忘初心、牢记使命”主题教育成果，切实增强“四个意识”、坚定“四个自信”、做到“两个维护”，不断增强政治判断力、政治领悟力和政治执行力，不断提高干部特别是年轻干部“七种能力”。提前谋划好、组织好建党100周年系列庆祝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着力基层党组织建设。积极谋划好换届选举的后续工作，做好乡镇行政区划和村级建制调整改革“后半篇”文章。建立健全村（社区）班子内部运行机制，实施村（社区）干部能力提升计划。深化村集体经济发展“四种模式”，累计实现村集体经收入40万元以上。继续加大对8个小区党支部指导力度，南湖半岛小区党支部争创全市优秀。严格落实镇内34个规上非公企业党建指导员制度，指导建立党支部（联合）3个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3.着力党风廉政建设。加大警示教育力度，推动“三个责任”一体落实。转变作风，促进党风廉政建设社会评价工作提档升级。全面梳理廉政风险隐患点，制定事务运行规程图和风险管理树状图。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着力干部队伍建设。将敬业、专业作为干部提能标准，充分调动和激发干部干事创业激情。建立制定中层干部能上能下管理办法，严格执行中层干部竞聘上岗制度。引导干部全面树立绩效考核意识，坚持以工作量、工作效果核定目标绩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5.深化“放管服”改革，“为群众服务、为企业服务”，全面推进“最多跑一次”和“民事代办”，规范便民服务中心管理，明确便民服务中心职责。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6.转变工作方式，变检查为指导、变管理为服务，充分激发企业规范发展能动性。创新工作方法，整合最大力量、争取最大支持、维护最大利益、提供最大保障，高效推进征拆工作。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7.壮大主导产业。指导红果果、陆捌彬等合作社争创“三品一标”，进一步优化销售网络提升带动能力。加快推进柑橘基地、脆红李基地、羊肚菌基地、特色水产基地上档升位。完成农产品流通道路拓宽3公里。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加快项目推进。推进保升公立幼儿园建设项目，确保于3月底前实质性入场施工，年底前完成所有建设任务；推进椿香水韵老旧小区改造，全力配合业主单位和建设单位做好群众宣传引导工作；推进征地拆迁，完成插板堰村3社、4社、5社征拆任务，按时序启动保升村3社征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衔接乡村振兴。巩固脱贫攻坚成果，鼓励太和桥以特色经果和食用菌为发展重点，鼓励和兴村以特色经果和有机蔬菜为发展重点，鼓励观山村和宝凤村整体连片，以特色农旅和水产养殖为重点，逐年提升规模，优化品质，形成特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10.巩固深化“网格管理+共产党员战疫小组”成果，优化网格布局，分网格落实责任人。规范运行业主委员会4个，新设立业主委员会4个、邻里会助会5个，修订完善群众自治章程、村规民约12个。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11.加强就业服务，协助主管部门做好职业技能培训和实用技术培训。组织闲置劳动力参加市、区各类招聘会，全年新增就业500人。持续推进“群众最不满意的十事件”专项整治。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加大环境整治力度。进一步理顺“户分类、村收集、镇转运”工作体系，教育引导村民圈养家禽、定点投放、六净六顺等生活习惯，落实村级保洁员50名。全面落实河（湖）长制，镇、村河长严格履职加强巡河指导。加快推进农村“厕所革命”，完成无害化厕所改造500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13.做好安全稳定工作。继续深化疫情防控和森林防灭火常态化，全力做好安全生产各项工作，千方百计保障群众生命和财产安全。畅通群众诉求渠道，高效化解南城雅郡、良苑小区等遗留问题。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二、预算单位基本情况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保升镇人民政府下属二级预算单位0个，其中行政单位0个，参照公务员法管理的事业单位0个，其他事业单位0个。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保升镇人民政府所有收入和支出均纳入部门预算管理。收入包括：一般公共预算拨款收入；支出包括：一般公共服务支出、社会保障和就业支出、卫生健康支出、城乡社区支出、农林水支出、住房保障支出、灾害防治和应急管理支出。保升镇人民政府，2021年收支总预算1017.77万元，较2020年收支预算总数增加178.66万元，主要是对村民委员会和村党支部的补助支出增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保升镇人民政府2021年收入预算1016.99万元，其中：一般公共预算拨款收入1016.99万元，占100%。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保升镇人民政府2021年支出预算1016.99万元，其中：基本支出968.49万元，占95.23%；项目支出48.5万元，占4.77%。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保升镇人民政府，2021年收支总预算1016.99万元，较2020年收支预算总数增加177.88万元，主要是对村民委员会和村党支部的补助支出增加。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入包括：本年一般公共预算拨款收入1016.99万元；支出包括：一般公共服务支出487.21万元、社会保障和就业支出63.14万元、卫生健康支出28.47万元、城乡社区支出53.5万元、农林水支出316.99万元、住房保障支出52.68万元、灾害防治及应急管理支出15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保升镇人民政府，2021年收支总预算1016.99万元，较2020年收支预算总数增加177.88万元，主要是对村民委员会和村党支部的补助支出增加。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服务支出487.21万元，占47.91%；社会保障和就业支出63.14万元，占6.21%；卫生健康支出28.47万元，占2.80%；城乡社区支出53.5万元，占5.26%；农林水支出316.99万元，占31.17%；住房保障支出52.68万元，占5.18%；灾害防治及应急管理支出15万元，占1.47%。</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一般公共服务（201）政府办公厅（室）及相关事务（03）行政运行（01）：2021年预算数为350.53万元，主要用于：保升镇行政人员</w:t>
      </w:r>
      <w:bookmarkStart w:id="0" w:name="_GoBack"/>
      <w:bookmarkEnd w:id="0"/>
      <w:r>
        <w:rPr>
          <w:rFonts w:hint="default" w:ascii="Times New Roman" w:hAnsi="Times New Roman" w:eastAsia="仿宋_GB2312" w:cs="Times New Roman"/>
          <w:sz w:val="32"/>
          <w:szCs w:val="32"/>
        </w:rPr>
        <w:t>及参公管理单位政策运转的基本支出，包括基本工资、津贴补贴等人员经费以及办公费、印刷费、水电费等日常公用经费。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一般公共服务（201）政府办公厅（室）及相关事务（03） 一般行政管理事务（02）：2021年预算数为8万元，主要用于：保升镇开展安全及人大换届方面开支。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一般公共服务（201）政府办公厅（室）及相关事务（03） 信访事务（08）：2021年预算数为6万元，主要用于：保升镇开展信访工作相关开支。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4.一般公共服务（201）政府办公厅（室）及相关事务（03）事业运行（50）：2021年预算数为102.69万元，主要用于我单位事业人员工资、绩效工资以及事业人员相关办公经费。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5.一般公共服务（201）政府办公厅（室）及相关事务（03）其他政府办公厅（室）及相关机构事务支出（99）：2021年预算数为20万元，主要用于我单位临聘人员相关劳务费以及相关办公经费。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6.社会保障和就业支出（208）行政事业单位养老支出（05）行政单位离退休（01）：2021年预算数为0.92万元，主要用于：离退休人员活动经费。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7.社会保障和就业支出（208）行政事业单位养老支出（05）机关事业单位基本养老保险缴费支出（05）：2021年预算数为41.07万元，主要用于：机关行政事业人员缴纳养老保险。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8.社会保障和就业支出（208）行政事业单位养老支出（05）机关事业单位职业年金缴费支出（06）：2021年预算数为20.54万元，主要用于：机关行政事业人员缴纳职业年金。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9.社会保障和就业支出（208）行政事业单位养老支出（05）  其他行政事业单位养老支出（99）：2021年预算数为0.61万元，主要用于：辞退民师补助。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 卫生健康支出（210）行政事业单位医疗（11）行政单位医疗（01）：2021年预算数为27.54万元，主要用于：行政人员基本医疗保险。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 卫生健康支出（210）行政事业单位医疗（11）事业单位医疗（02）：2021年预算数为0.93万元，主要用于：事业人员基本医疗保险。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12.城乡社区支出（212）城乡社区环境卫生（05） 城乡社区环境卫生（01）:2021年预算数为53.5万元，主要用于：污水处理厂运行，以及安置小区保安保洁以及其他环境卫生支出。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 农林水支出（213）扶贫（05）其他扶贫支出（99）：2021年预算数为18.35万元，主要用于：脱贫攻坚工作经费以及驻村工作队队员经费。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 农林水支出（213）农村综合改革（07）对村民委员会和党支部的补助（05）：2021年预算数为298.63万元，主要用于：在职村干部和离任村干部补助。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 住房保障支出（221）住房改革支出（02）住房公积金（01）：2021年预算数为52.68万元，主要用于：行政人员、事业人员住房公积金缴纳。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16.灾害防治及应急管理支出（224）森林消防事务（03）一般行政管理事务（02）：2021年预算数为15万元，主要用于：森林防火相关事务支出。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保升镇人民政府2021年一般公共预算基本支出965.89万元，其中：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人员经费624.69万元，主要包括：基本工资、津贴补贴、奖金、绩效工资、机关事业单位基本养老保险缴费、职业年金缴费、职工基本医疗保险缴费、其他社会保险缴费、住房公积金、生活补助。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用经费341.20万元，主要包括：办公费、印刷费、咨询费、手续费、水费、电费、邮电费、差旅费、维修（护）费、公务接待费、劳务费、培训费、福利费、公务用车运行维护费、其他交通费用、其他商品和服务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保升镇人民政府2021年使用财政拨款安排“三公”经费预算12.15万元。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（一）因公出国（境）经费较2020年预算持平，两年均未安排因公出国（境）经费。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（二）公务接待费6.15万元，较2020年预算增长3.55万元，此数据为系统自动生成公务接待费。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（三）公务用车购置及运行维护费6万元，较2020年预算持平，安排公务用车购置及运行维护费。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部门现有1辆公务用车。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2021年未安排公务用车购置费。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2021年安排公务用车运行维护费。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八、“会议费”“培训费”“差旅费”财政拨款预算安排情况说明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保升镇人民政府2021年“会议费”“培训费”“差旅费”财政拨款预算数11.3万元，其中：差旅费10.6万元，会议费0万元，培训费0.7万元。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会议费与2020年预算持平。主要原因是根据工作实际需要，精简会议，减少开支。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培训费较2020年预算下降63.16%，主要原因是受疫情影响外出培训减少。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差旅费较2020年预算上升430%。主要原因是村换届选举及拆迁任务重，下村开展工作次数预计增长。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九、政府性基金预算支出情况说明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保升镇人民政府2021年没有使用政府性基金预算拨款安排的支出。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十、国有资本经营预算支出情况说明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保升镇人民政府2021年没有使用国有资本经营预算拨款安排的支出。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十一、其他重要事项的情况说明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（一）机关运行经费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2021年，保升镇人民政府无下属单位，机关运行经费财政拨款预算为341.20万元，比2020年预算增加92.5万元，增长37.19%，主要原因是日常公用经费调整标准以及乡级财力保障标准调整。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（二）政府采购情况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2021年，保升镇人民政府2021年有政府采购项目，安排政府采购预算金额2.6万元，较2020年增加2.6万元，原因是2021年我镇有政府采购计划，按采购要求做到应编尽编。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截至2020年底，保升镇人民政府所属各预算单位共有车辆1辆，其中，地厅级领导干部用车0辆、定向保障用车1辆、执法执勤用车0辆。单位价值200万元以上大型设备0台（套）。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（四）绩效目标设置情况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目标是预算编制的前提和基础，按照“费随事定”的原则，2021年保升镇人民政府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一般公共预算拨款收入：指区本级财政当年拨付的资金。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基本支出：指为保证机构正常运转，完成日常工作任务而发生的人员支出和公用支出。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一般公共服务（201）政府办公厅（室）及相关事务（01） 其他人大事务支出（99）：其他人大事务支出。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一般公共服务（201）政府办公厅（室）及相关事务（03）行政运行（01）：指行政单位（包括实行公务员管理的事业单位）的基本支出。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 一般公共服务（201）政府办公厅（室）及相关事务（03） 一般行政管理事务（02）：指行政机关及参公管理事业单位开展专项工作等未单独设置项级科目的专门性管理工作的项目支出。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 一般公共服务（201）政府办公厅（室）及相关事务（03） 信访事务（08）：反映各级政府用于接待群众来信来访方面的支出。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9.一般公共服务（201）政府办公厅（室）及相关事务（03）事业运行（50）：反映事业单位的基本支出，不包括行政单位后勤服务中心、医务室等附属事业单位。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10.一般公共服务（201）政府办公厅（室）及相关事务（03）其他政府办公厅（室）及相关机构事务支出（99）：反映其他政府办公厅（室）及相关机构事务支出。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11.社会保障和就业支出（208）行政事业单位养老支出（05）行政单位离退休（01）：反映行政事业单位离退休经费。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12.社会保障和就业支出（208）行政事业单位养老支出（05）机关事业单位基本养老保险缴费支出（05）：指部门实施养老保险制度由单位缴纳的养老保险费的支出。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10.社会保障和就业支出（208）行政事业单位养老支出（05）机关事业单位职业年金缴费支出（06）：反映行政事业单位职业年金缴费。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12.社会保障和就业支出（208）行政事业单位养老支出（05）  其他行政事业单位养老支出（99）：指除上述项目外，其他用于行政事业单位离退休方面的支出。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 卫生健康支出（210）行政事业单位医疗（11）行政单位医疗（01）：指行政机关及参公管理事业单位用于缴纳单位基本医疗保险支出。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 卫生健康支出（210）行政事业单位医疗（11）事业单位医疗（02）：指事业单位用于缴纳单位基本医疗保险支出。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15.城乡社区支出（212）城乡社区环境卫生（05） 城乡社区环境卫生（01）:指城乡社区道路清扫、垃圾清运与处理、公厕建设与维护、园林绿化等方面的支出。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 农林水支出（213）扶贫（05）其他扶贫支出（99）：反映除上述项目外其他扶贫支出。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 农林水支出（213）农村综合改革（07）对村民委员会和党支部的补助（05）：指各级财政对村民委员会和村党支部的补助支出，以及支出建立县级基本财力保障机制安排的村级组织运转奖补资金。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 住房保障支出（221）住房改革支出（02）住房公积金（01）：指按照《住房公积金管理条例》的规定，由单位及其在职职工缴存的长期住房储金。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19.灾害防治及应急管理支出（224）森林消防事务（03）一般行政管理事务（02）：反映行政单位未单独设立项级科目的其他项目支出。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23165C9"/>
    <w:rsid w:val="08D17AEF"/>
    <w:rsid w:val="1F4B56FA"/>
    <w:rsid w:val="25876796"/>
    <w:rsid w:val="26235A9C"/>
    <w:rsid w:val="2E030BBB"/>
    <w:rsid w:val="319C0556"/>
    <w:rsid w:val="498D65AA"/>
    <w:rsid w:val="4CF51BC0"/>
    <w:rsid w:val="58EE4437"/>
    <w:rsid w:val="5B197CCF"/>
    <w:rsid w:val="5D41783B"/>
    <w:rsid w:val="5F9E2775"/>
    <w:rsid w:val="623165C9"/>
    <w:rsid w:val="637411E5"/>
    <w:rsid w:val="65B53514"/>
    <w:rsid w:val="6A3B731D"/>
    <w:rsid w:val="75AC7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rPr>
      <w:rFonts w:cs="Times New Roman"/>
      <w:kern w:val="0"/>
    </w:rPr>
  </w:style>
  <w:style w:type="paragraph" w:styleId="4">
    <w:name w:val="Body Text"/>
    <w:basedOn w:val="1"/>
    <w:qFormat/>
    <w:uiPriority w:val="0"/>
    <w:pPr>
      <w:spacing w:before="93" w:beforeLines="30"/>
    </w:pPr>
    <w:rPr>
      <w:rFonts w:ascii="仿宋_GB2312" w:eastAsia="仿宋_GB2312"/>
      <w:sz w:val="30"/>
    </w:rPr>
  </w:style>
  <w:style w:type="paragraph" w:styleId="5">
    <w:name w:val="Plain Text"/>
    <w:basedOn w:val="1"/>
    <w:next w:val="1"/>
    <w:qFormat/>
    <w:uiPriority w:val="0"/>
    <w:rPr>
      <w:rFonts w:ascii="宋体" w:hAnsi="Courier New" w:cs="Courier New"/>
      <w:szCs w:val="21"/>
    </w:rPr>
  </w:style>
  <w:style w:type="paragraph" w:styleId="6">
    <w:name w:val="Normal (Web)"/>
    <w:basedOn w:val="1"/>
    <w:qFormat/>
    <w:uiPriority w:val="0"/>
    <w:rPr>
      <w:sz w:val="24"/>
    </w:rPr>
  </w:style>
  <w:style w:type="character" w:styleId="9">
    <w:name w:val="Strong"/>
    <w:basedOn w:val="8"/>
    <w:qFormat/>
    <w:uiPriority w:val="0"/>
    <w:rPr>
      <w:b/>
    </w:rPr>
  </w:style>
  <w:style w:type="paragraph" w:customStyle="1" w:styleId="10">
    <w:name w:val="章标题"/>
    <w:basedOn w:val="1"/>
    <w:next w:val="11"/>
    <w:qFormat/>
    <w:uiPriority w:val="99"/>
    <w:pPr>
      <w:widowControl/>
      <w:spacing w:before="158" w:after="153" w:line="323" w:lineRule="atLeast"/>
      <w:ind w:right="-120"/>
      <w:jc w:val="center"/>
      <w:textAlignment w:val="baseline"/>
    </w:pPr>
    <w:rPr>
      <w:color w:val="FF0000"/>
      <w:sz w:val="18"/>
    </w:rPr>
  </w:style>
  <w:style w:type="paragraph" w:customStyle="1" w:styleId="11">
    <w:name w:val="节标题"/>
    <w:basedOn w:val="1"/>
    <w:next w:val="1"/>
    <w:qFormat/>
    <w:uiPriority w:val="0"/>
    <w:pPr>
      <w:widowControl/>
      <w:spacing w:line="289" w:lineRule="atLeast"/>
      <w:jc w:val="center"/>
      <w:textAlignment w:val="baseline"/>
    </w:pPr>
    <w:rPr>
      <w:color w:val="00000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2021-06-08T01:23:00Z</dcterms:created>
  <dc:creator>霖霖</dc:creator>
  <cp:lastModifiedBy>物流港目督室</cp:lastModifiedBy>
  <dcterms:modified xsi:type="dcterms:W3CDTF">2022-10-08T02:44:00Z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3E94AED2532840628A8774F4C5689C62</vt:lpwstr>
  </property>
</Properties>
</file>