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045"/>
        <w:gridCol w:w="1290"/>
        <w:gridCol w:w="930"/>
        <w:gridCol w:w="1065"/>
        <w:gridCol w:w="665"/>
        <w:gridCol w:w="676"/>
        <w:gridCol w:w="1079"/>
        <w:gridCol w:w="1111"/>
        <w:gridCol w:w="4049"/>
        <w:gridCol w:w="1335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75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4475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ascii="Times New Roman" w:hAnsi="Times New Roman" w:eastAsia="方正小标宋简体" w:cs="Times New Roman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2022年上半年遂宁高新区</w:t>
            </w:r>
            <w:r>
              <w:rPr>
                <w:rFonts w:hint="default" w:ascii="Times New Roman" w:hAnsi="Times New Roman" w:eastAsia="方正小标宋简体"/>
                <w:color w:val="auto"/>
                <w:kern w:val="0"/>
                <w:sz w:val="36"/>
                <w:szCs w:val="36"/>
                <w:u w:val="none"/>
                <w:lang w:bidi="ar"/>
              </w:rPr>
              <w:t>面向全国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公开考核招聘卫生事业单位工作人员                                                岗位和条件要求一览表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招聘岗位类型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75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年龄条件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学历条件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遂宁高新区社会事业与群众工作局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西宁卫生院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急需紧缺专业技术 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从事公共卫生及医院安排的其他工作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符合岗位条件要求的社会在职、非在职人员。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（1986年6月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日及以后出生）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临床医学类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auto"/>
                <w:highlight w:val="none"/>
                <w:lang w:val="en-US" w:eastAsia="zh-CN" w:bidi="ar"/>
              </w:rPr>
              <w:t>、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公共卫生与预防医学类、中医学类、中西医结合类。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临床医学类、公共卫生与预防医学类、中医学类、中西医结合类。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取得执业助理医师及以上执业资格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遂宁高新区社会事业与群众工作局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保升卫生院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急需紧缺专业技术 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从事药房工作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药学类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auto"/>
                <w:highlight w:val="none"/>
                <w:lang w:val="en-US" w:eastAsia="zh-CN" w:bidi="ar"/>
              </w:rPr>
              <w:t>、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中药学类。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auto"/>
                <w:highlight w:val="none"/>
                <w:lang w:val="en-US" w:eastAsia="zh-CN" w:bidi="ar"/>
              </w:rPr>
              <w:t>药学类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、中药学类。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取得药剂士及以上资格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遂宁高新区社会事业与群众工作局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保升卫生院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急需紧缺专业技术 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从事医疗卫生工作</w:t>
            </w: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临床医学类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auto"/>
                <w:highlight w:val="none"/>
                <w:lang w:val="en-US" w:eastAsia="zh-CN" w:bidi="ar"/>
              </w:rPr>
              <w:t>、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公共卫生与预防医学类、中医学类、中西医结合类。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临床医学类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auto"/>
                <w:highlight w:val="none"/>
                <w:lang w:val="en-US" w:eastAsia="zh-CN" w:bidi="ar"/>
              </w:rPr>
              <w:t>、</w:t>
            </w:r>
            <w:r>
              <w:rPr>
                <w:rStyle w:val="5"/>
                <w:rFonts w:hint="default" w:ascii="Times New Roman" w:hAnsi="Times New Roman" w:eastAsia="方正仿宋简体" w:cs="Times New Roman"/>
                <w:color w:val="auto"/>
                <w:lang w:val="en-US" w:eastAsia="zh-CN" w:bidi="ar"/>
              </w:rPr>
              <w:t>公共卫生与预防医学类、中医学类、中西医结合类。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取得执业助理医师及以上执业资格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4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3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br w:type="page"/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6838" w:h="11906" w:orient="landscape"/>
          <w:pgMar w:top="1587" w:right="158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OTgyMTI3N2M1YjYzNDVlMGZhNGFhNmJiNmY1MmYifQ=="/>
  </w:docVars>
  <w:rsids>
    <w:rsidRoot w:val="61594F17"/>
    <w:rsid w:val="05081E1E"/>
    <w:rsid w:val="1F411F11"/>
    <w:rsid w:val="442D6B05"/>
    <w:rsid w:val="6159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方正仿宋简体"/>
      <w:sz w:val="32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484</Characters>
  <Lines>0</Lines>
  <Paragraphs>0</Paragraphs>
  <TotalTime>1</TotalTime>
  <ScaleCrop>false</ScaleCrop>
  <LinksUpToDate>false</LinksUpToDate>
  <CharactersWithSpaces>538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2022-05-30T08:57:00Z</dcterms:created>
  <dc:creator>宁朗</dc:creator>
  <cp:lastModifiedBy>宁朗</cp:lastModifiedBy>
  <dcterms:modified xsi:type="dcterms:W3CDTF">2022-06-02T06:38:33Z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26FD621EEA0E44EAA2B47607D98720EC</vt:lpwstr>
  </property>
</Properties>
</file>