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b w:val="0"/>
          <w:bCs w:val="0"/>
          <w:i w:val="0"/>
          <w:iCs w:val="0"/>
          <w:caps w:val="0"/>
          <w:color w:val="auto"/>
          <w:spacing w:val="0"/>
          <w:kern w:val="0"/>
          <w:sz w:val="32"/>
          <w:szCs w:val="32"/>
          <w:lang w:val="en-US" w:eastAsia="zh-CN" w:bidi="ar"/>
        </w:rPr>
      </w:pPr>
    </w:p>
    <w:p>
      <w:pPr>
        <w:jc w:val="center"/>
        <w:rPr>
          <w:rFonts w:hint="default" w:ascii="Times New Roman" w:hAnsi="Times New Roman" w:eastAsia="微软雅黑" w:cs="Times New Roman"/>
          <w:b w:val="0"/>
          <w:bCs w:val="0"/>
          <w:i w:val="0"/>
          <w:iCs w:val="0"/>
          <w:caps w:val="0"/>
          <w:color w:val="auto"/>
          <w:spacing w:val="0"/>
          <w:kern w:val="0"/>
          <w:sz w:val="32"/>
          <w:szCs w:val="32"/>
          <w:lang w:val="en-US" w:eastAsia="zh-CN" w:bidi="ar"/>
        </w:rPr>
      </w:pPr>
    </w:p>
    <w:p>
      <w:pPr>
        <w:jc w:val="center"/>
        <w:rPr>
          <w:rFonts w:hint="eastAsia" w:ascii="方正小标宋简体" w:hAnsi="方正小标宋简体" w:eastAsia="方正小标宋简体" w:cs="方正小标宋简体"/>
          <w:b w:val="0"/>
          <w:bCs w:val="0"/>
          <w:i w:val="0"/>
          <w:iCs w:val="0"/>
          <w:caps w:val="0"/>
          <w:color w:val="auto"/>
          <w:spacing w:val="0"/>
          <w:kern w:val="0"/>
          <w:sz w:val="52"/>
          <w:szCs w:val="52"/>
          <w:lang w:val="en-US" w:eastAsia="zh-CN" w:bidi="ar"/>
        </w:rPr>
      </w:pPr>
    </w:p>
    <w:p>
      <w:pPr>
        <w:jc w:val="center"/>
        <w:rPr>
          <w:rFonts w:hint="eastAsia" w:ascii="方正小标宋简体" w:hAnsi="方正小标宋简体" w:eastAsia="方正小标宋简体" w:cs="方正小标宋简体"/>
          <w:b w:val="0"/>
          <w:bCs w:val="0"/>
          <w:i w:val="0"/>
          <w:iCs w:val="0"/>
          <w:caps w:val="0"/>
          <w:color w:val="auto"/>
          <w:spacing w:val="0"/>
          <w:kern w:val="0"/>
          <w:sz w:val="52"/>
          <w:szCs w:val="52"/>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52"/>
          <w:szCs w:val="52"/>
          <w:lang w:val="en-US" w:eastAsia="zh-CN" w:bidi="ar"/>
        </w:rPr>
        <w:t>遂宁市市场监督管理局高新区分局</w:t>
      </w:r>
    </w:p>
    <w:p>
      <w:pPr>
        <w:jc w:val="center"/>
        <w:rPr>
          <w:rFonts w:hint="eastAsia" w:ascii="方正小标宋简体" w:hAnsi="方正小标宋简体" w:eastAsia="方正小标宋简体" w:cs="方正小标宋简体"/>
          <w:b w:val="0"/>
          <w:bCs w:val="0"/>
          <w:i w:val="0"/>
          <w:iCs w:val="0"/>
          <w:caps w:val="0"/>
          <w:color w:val="2D66A5"/>
          <w:spacing w:val="0"/>
          <w:kern w:val="0"/>
          <w:sz w:val="52"/>
          <w:szCs w:val="52"/>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52"/>
          <w:szCs w:val="52"/>
          <w:lang w:val="en-US" w:eastAsia="zh-CN" w:bidi="ar"/>
        </w:rPr>
        <w:t xml:space="preserve">2021年部门预算 </w:t>
      </w: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center"/>
        <w:rPr>
          <w:rFonts w:hint="default" w:ascii="Times New Roman" w:hAnsi="Times New Roman" w:eastAsia="黑体" w:cs="Times New Roman"/>
          <w:b w:val="0"/>
          <w:bCs w:val="0"/>
          <w:i w:val="0"/>
          <w:iCs w:val="0"/>
          <w:caps w:val="0"/>
          <w:color w:val="333333"/>
          <w:spacing w:val="0"/>
          <w:sz w:val="44"/>
          <w:szCs w:val="44"/>
        </w:rPr>
      </w:pPr>
    </w:p>
    <w:p>
      <w:pPr>
        <w:pStyle w:val="4"/>
        <w:keepNext w:val="0"/>
        <w:keepLines w:val="0"/>
        <w:widowControl/>
        <w:suppressLineNumbers w:val="0"/>
        <w:spacing w:before="0" w:beforeAutospacing="0" w:after="100" w:afterAutospacing="0" w:line="600" w:lineRule="atLeast"/>
        <w:ind w:left="0" w:right="0"/>
        <w:jc w:val="both"/>
        <w:rPr>
          <w:rFonts w:hint="eastAsia" w:ascii="Times New Roman" w:hAnsi="Times New Roman" w:eastAsia="黑体" w:cs="Times New Roman"/>
          <w:b w:val="0"/>
          <w:bCs w:val="0"/>
          <w:i w:val="0"/>
          <w:iCs w:val="0"/>
          <w:caps w:val="0"/>
          <w:color w:val="333333"/>
          <w:spacing w:val="0"/>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cs="Times New Roman"/>
          <w:b w:val="0"/>
          <w:bCs w:val="0"/>
          <w:sz w:val="27"/>
          <w:szCs w:val="27"/>
        </w:rPr>
      </w:pPr>
      <w:bookmarkStart w:id="0" w:name="_GoBack"/>
      <w:r>
        <w:rPr>
          <w:rFonts w:hint="default" w:ascii="Times New Roman" w:hAnsi="Times New Roman" w:eastAsia="黑体" w:cs="Times New Roman"/>
          <w:b w:val="0"/>
          <w:bCs w:val="0"/>
          <w:i w:val="0"/>
          <w:iCs w:val="0"/>
          <w:caps w:val="0"/>
          <w:color w:val="333333"/>
          <w:spacing w:val="0"/>
          <w:sz w:val="44"/>
          <w:szCs w:val="44"/>
        </w:rPr>
        <w:t>目  </w:t>
      </w:r>
      <w:r>
        <w:rPr>
          <w:rFonts w:hint="default" w:ascii="Times New Roman" w:hAnsi="Times New Roman" w:eastAsia="黑体" w:cs="Times New Roman"/>
          <w:b w:val="0"/>
          <w:bCs w:val="0"/>
          <w:i w:val="0"/>
          <w:iCs w:val="0"/>
          <w:caps w:val="0"/>
          <w:color w:val="333333"/>
          <w:spacing w:val="0"/>
          <w:sz w:val="44"/>
          <w:szCs w:val="44"/>
          <w:lang w:val="en-US" w:eastAsia="zh-CN"/>
        </w:rPr>
        <w:t xml:space="preserve"> </w:t>
      </w:r>
      <w:r>
        <w:rPr>
          <w:rFonts w:hint="default" w:ascii="Times New Roman" w:hAnsi="Times New Roman" w:eastAsia="黑体" w:cs="Times New Roman"/>
          <w:b w:val="0"/>
          <w:bCs w:val="0"/>
          <w:i w:val="0"/>
          <w:iCs w:val="0"/>
          <w:caps w:val="0"/>
          <w:color w:val="333333"/>
          <w:spacing w:val="0"/>
          <w:sz w:val="44"/>
          <w:szCs w:val="44"/>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eastAsia="黑体" w:cs="Times New Roman"/>
          <w:b w:val="0"/>
          <w:bCs w:val="0"/>
          <w:i w:val="0"/>
          <w:iCs w:val="0"/>
          <w:caps w:val="0"/>
          <w:color w:val="333333"/>
          <w:spacing w:val="0"/>
          <w:sz w:val="27"/>
          <w:szCs w:val="27"/>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第一部分  2021年部门预算编制说明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一、基本职能及主要工作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二、预算单位基本情况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三、收支预算情况说明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四、财政拨款收支预算情况说明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五、一般公共预算当年拨款情况说明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六、一般公共预算基本支出情况说明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七、“三公”经费财政拨款预算安排情况说明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1264" w:right="0" w:hanging="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八、“会议费”“培训费”“差旅费”财政拨款预算安排情况说明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九、政府性基金预算支出情况说明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十、国有资本经营预算支出情况说明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十一、其他重要事项的情况说明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十二、重要名词解释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第二部分  2021年部门预算报表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表1. 部门收支总表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表1-1. 部门收入总表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表1-2. 部门支出总表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表2. 财政拨款收支预算总表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表2-1. 财政拨款支出预算表（政府经济分类科目）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表3. 一般公共预算支出预算表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表3-1. 一般公共预算基本支出预算表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表3-2. 一般公共预算项目支出预算表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表3-3. 一般公共预算“三公”经费支出预算表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表4. 政府性基金支出预算表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表4-1. 政府性基金预算“三公”经费支出预算表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表5. 国有资本经营预算支出预算表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第三部分  2021年部门预算绩效目标表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表1. 部门整体支出绩效目标表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表2. 部门预算项目支出绩效目标表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i w:val="0"/>
          <w:iCs w:val="0"/>
          <w:caps w:val="0"/>
          <w:color w:val="333333"/>
          <w:spacing w:val="0"/>
          <w:sz w:val="44"/>
          <w:szCs w:val="44"/>
        </w:rPr>
        <w:t>遂宁市</w:t>
      </w:r>
      <w:r>
        <w:rPr>
          <w:rFonts w:hint="default" w:ascii="Times New Roman" w:hAnsi="Times New Roman" w:eastAsia="方正小标宋简体" w:cs="Times New Roman"/>
          <w:b w:val="0"/>
          <w:bCs w:val="0"/>
          <w:i w:val="0"/>
          <w:iCs w:val="0"/>
          <w:caps w:val="0"/>
          <w:color w:val="333333"/>
          <w:spacing w:val="0"/>
          <w:sz w:val="44"/>
          <w:szCs w:val="44"/>
          <w:lang w:eastAsia="zh-CN"/>
        </w:rPr>
        <w:t>市场监督管理局高新区分局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r>
        <w:rPr>
          <w:rFonts w:hint="default" w:ascii="Times New Roman" w:hAnsi="Times New Roman" w:eastAsia="方正小标宋简体" w:cs="Times New Roman"/>
          <w:b w:val="0"/>
          <w:bCs w:val="0"/>
          <w:i w:val="0"/>
          <w:iCs w:val="0"/>
          <w:caps w:val="0"/>
          <w:color w:val="333333"/>
          <w:spacing w:val="0"/>
          <w:sz w:val="44"/>
          <w:szCs w:val="44"/>
        </w:rPr>
        <w:t>2021年部门预算编制说明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b w:val="0"/>
          <w:bCs w:val="0"/>
          <w:i w:val="0"/>
          <w:iCs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一、基本职能及主要工作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eastAsia="仿宋_GB2312" w:cs="Times New Roman"/>
          <w:b w:val="0"/>
          <w:bCs w:val="0"/>
          <w:i w:val="0"/>
          <w:iCs w:val="0"/>
          <w:caps w:val="0"/>
          <w:color w:val="333333"/>
          <w:spacing w:val="0"/>
          <w:sz w:val="32"/>
          <w:szCs w:val="32"/>
          <w:lang w:eastAsia="zh-CN"/>
        </w:rPr>
        <w:t>（一）</w:t>
      </w:r>
      <w:r>
        <w:rPr>
          <w:rFonts w:hint="default" w:ascii="Times New Roman" w:hAnsi="Times New Roman" w:eastAsia="仿宋_GB2312" w:cs="Times New Roman"/>
          <w:b w:val="0"/>
          <w:bCs w:val="0"/>
          <w:i w:val="0"/>
          <w:iCs w:val="0"/>
          <w:caps w:val="0"/>
          <w:color w:val="333333"/>
          <w:spacing w:val="0"/>
          <w:sz w:val="32"/>
          <w:szCs w:val="32"/>
        </w:rPr>
        <w:t> 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职能简介</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lang w:val="en-US" w:eastAsia="zh-CN"/>
        </w:rPr>
        <w:t>一是负责辖区市场综合监督管理工作；二是负责市场主体统一登记注册；三是负责组织市场监督管理综合执法工作；四是负责监督管理市场秩序；五是负责辖区宏观质量管理；六是负责产品质量安全监督管理；七是负责特种设备安全监督管理；八是负责食品安全监督管理综合协调；九是负责食品安全监督管理；十是负责贯彻执行国家、省有关药品(含中药、民族药，下同)、医疗器械和化妆品监督管理的方针政策和法律法规；十一是负责统一管理计量工作；十二是负责统一管理标准化工作；十三是负责统一管理检验检测工作；十四是负责统一管理认证认可工作；十五是负责市场监督管理科技和信息化建设、新闻宣传；十六是负责知识产权战略、规划的制定，知识产权的保护，负责组织指导商标、专利执法工作；十七是负责职责范围内的安全生产和职业健康、生态环境保护、审批服务便民化等工作；十八是负责完成高新区党工委管委会交办的其他工作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lang w:eastAsia="zh-CN"/>
        </w:rPr>
      </w:pPr>
      <w:r>
        <w:rPr>
          <w:rFonts w:hint="default" w:ascii="Times New Roman" w:hAnsi="Times New Roman" w:eastAsia="仿宋_GB2312" w:cs="Times New Roman"/>
          <w:b w:val="0"/>
          <w:bCs w:val="0"/>
          <w:i w:val="0"/>
          <w:iCs w:val="0"/>
          <w:caps w:val="0"/>
          <w:color w:val="333333"/>
          <w:spacing w:val="0"/>
          <w:sz w:val="32"/>
          <w:szCs w:val="32"/>
          <w:lang w:eastAsia="zh-CN"/>
        </w:rPr>
        <w:t>（二）遂宁市市场监督管理局高新区分局2021年重点工作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lang w:eastAsia="zh-CN"/>
        </w:rPr>
      </w:pPr>
      <w:r>
        <w:rPr>
          <w:rFonts w:hint="default" w:ascii="Times New Roman" w:hAnsi="Times New Roman" w:eastAsia="仿宋_GB2312" w:cs="Times New Roman"/>
          <w:b w:val="0"/>
          <w:bCs w:val="0"/>
          <w:i w:val="0"/>
          <w:iCs w:val="0"/>
          <w:caps w:val="0"/>
          <w:color w:val="333333"/>
          <w:spacing w:val="0"/>
          <w:sz w:val="32"/>
          <w:szCs w:val="32"/>
          <w:lang w:eastAsia="zh-CN"/>
        </w:rPr>
        <w:t>2021年主要围绕“133</w:t>
      </w:r>
      <w:r>
        <w:rPr>
          <w:rFonts w:hint="default" w:ascii="Times New Roman" w:hAnsi="Times New Roman" w:eastAsia="仿宋_GB2312" w:cs="Times New Roman"/>
          <w:b w:val="0"/>
          <w:bCs w:val="0"/>
          <w:i w:val="0"/>
          <w:iCs w:val="0"/>
          <w:caps w:val="0"/>
          <w:color w:val="333333"/>
          <w:spacing w:val="0"/>
          <w:sz w:val="32"/>
          <w:szCs w:val="32"/>
          <w:lang w:val="en-US" w:eastAsia="zh-CN"/>
        </w:rPr>
        <w:t>1</w:t>
      </w:r>
      <w:r>
        <w:rPr>
          <w:rFonts w:hint="default" w:ascii="Times New Roman" w:hAnsi="Times New Roman" w:eastAsia="仿宋_GB2312" w:cs="Times New Roman"/>
          <w:b w:val="0"/>
          <w:bCs w:val="0"/>
          <w:i w:val="0"/>
          <w:iCs w:val="0"/>
          <w:caps w:val="0"/>
          <w:color w:val="333333"/>
          <w:spacing w:val="0"/>
          <w:sz w:val="32"/>
          <w:szCs w:val="32"/>
          <w:lang w:eastAsia="zh-CN"/>
        </w:rPr>
        <w:t>2”，即“一条主线”“三条安全底线”“三大考核目标”“一大专项行动”“两项专项工作”工作定位发力，全力服务园区改革发展大局。一是坚持平等准入、公正监管、开放有序、诚信守法，维护高效规范、公平竞争的市场秩序。二是严守食品、药品、特种设备三条安全底线。三是对标食品安全党政同责、质量强区、双心创建三大考核。四是开展“春雷行动2021”。五是推进市场监管基层治理和抓党建强队伍促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二、预算单位基本情况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lang w:eastAsia="zh-CN"/>
        </w:rPr>
      </w:pPr>
      <w:r>
        <w:rPr>
          <w:rFonts w:hint="default" w:ascii="Times New Roman" w:hAnsi="Times New Roman" w:eastAsia="仿宋_GB2312" w:cs="Times New Roman"/>
          <w:b w:val="0"/>
          <w:bCs w:val="0"/>
          <w:i w:val="0"/>
          <w:iCs w:val="0"/>
          <w:caps w:val="0"/>
          <w:color w:val="333333"/>
          <w:spacing w:val="0"/>
          <w:sz w:val="32"/>
          <w:szCs w:val="32"/>
          <w:highlight w:val="none"/>
        </w:rPr>
        <w:t>遂宁市</w:t>
      </w:r>
      <w:r>
        <w:rPr>
          <w:rFonts w:hint="default" w:ascii="Times New Roman" w:hAnsi="Times New Roman" w:eastAsia="仿宋_GB2312" w:cs="Times New Roman"/>
          <w:b w:val="0"/>
          <w:bCs w:val="0"/>
          <w:i w:val="0"/>
          <w:iCs w:val="0"/>
          <w:caps w:val="0"/>
          <w:color w:val="333333"/>
          <w:spacing w:val="0"/>
          <w:sz w:val="32"/>
          <w:szCs w:val="32"/>
          <w:highlight w:val="none"/>
          <w:lang w:eastAsia="zh-CN"/>
        </w:rPr>
        <w:t>市场监督管理局高新区分局于</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2019</w:t>
      </w:r>
      <w:r>
        <w:rPr>
          <w:rFonts w:hint="default" w:ascii="Times New Roman" w:hAnsi="Times New Roman" w:eastAsia="仿宋_GB2312" w:cs="Times New Roman"/>
          <w:b w:val="0"/>
          <w:bCs w:val="0"/>
          <w:i w:val="0"/>
          <w:iCs w:val="0"/>
          <w:caps w:val="0"/>
          <w:color w:val="333333"/>
          <w:spacing w:val="0"/>
          <w:sz w:val="32"/>
          <w:szCs w:val="32"/>
          <w:highlight w:val="none"/>
          <w:lang w:eastAsia="zh-CN"/>
        </w:rPr>
        <w:t>年</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7月25日经</w:t>
      </w:r>
      <w:r>
        <w:rPr>
          <w:rFonts w:hint="default" w:ascii="Times New Roman" w:hAnsi="Times New Roman" w:eastAsia="仿宋_GB2312" w:cs="Times New Roman"/>
          <w:b w:val="0"/>
          <w:bCs w:val="0"/>
          <w:i w:val="0"/>
          <w:iCs w:val="0"/>
          <w:caps w:val="0"/>
          <w:color w:val="333333"/>
          <w:spacing w:val="0"/>
          <w:sz w:val="32"/>
          <w:szCs w:val="32"/>
          <w:highlight w:val="none"/>
          <w:lang w:eastAsia="zh-CN"/>
        </w:rPr>
        <w:t>市委编办同意成立的遂宁市市场监督管理局派驻机构，属于行政事业单位，无下属二级单位。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三、收支预算情况说明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kern w:val="2"/>
          <w:sz w:val="32"/>
          <w:szCs w:val="32"/>
          <w:lang w:val="en-US" w:eastAsia="zh-CN" w:bidi="ar-SA"/>
        </w:rPr>
        <w:t>按照综合预算的原则，遂宁市市场监督管理局高新区分局所有收入和支出均纳入部门预算管理。收入包括：一般公共预算拨款收入；支出包括：一般公共服务支出、社会保障和就业支出、卫生健康支出、住房保障支出。</w:t>
      </w: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，2021年收支总预算</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由社会事业与群众工作局统一预算与管理，因此</w:t>
      </w:r>
      <w:r>
        <w:rPr>
          <w:rFonts w:hint="default" w:ascii="Times New Roman" w:hAnsi="Times New Roman" w:eastAsia="仿宋_GB2312" w:cs="Times New Roman"/>
          <w:b w:val="0"/>
          <w:bCs w:val="0"/>
          <w:i w:val="0"/>
          <w:iCs w:val="0"/>
          <w:caps w:val="0"/>
          <w:color w:val="333333"/>
          <w:spacing w:val="0"/>
          <w:sz w:val="32"/>
          <w:szCs w:val="32"/>
          <w:lang w:eastAsia="zh-CN"/>
        </w:rPr>
        <w:t>无法对</w:t>
      </w:r>
      <w:r>
        <w:rPr>
          <w:rFonts w:hint="default" w:ascii="Times New Roman" w:hAnsi="Times New Roman" w:eastAsia="仿宋_GB2312" w:cs="Times New Roman"/>
          <w:b w:val="0"/>
          <w:bCs w:val="0"/>
          <w:i w:val="0"/>
          <w:iCs w:val="0"/>
          <w:caps w:val="0"/>
          <w:color w:val="333333"/>
          <w:spacing w:val="0"/>
          <w:sz w:val="32"/>
          <w:szCs w:val="32"/>
        </w:rPr>
        <w:t>比</w:t>
      </w:r>
      <w:r>
        <w:rPr>
          <w:rFonts w:hint="default" w:ascii="Times New Roman" w:hAnsi="Times New Roman" w:eastAsia="仿宋_GB2312" w:cs="Times New Roman"/>
          <w:b w:val="0"/>
          <w:bCs w:val="0"/>
          <w:i w:val="0"/>
          <w:iCs w:val="0"/>
          <w:caps w:val="0"/>
          <w:color w:val="333333"/>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（一）收入预算情况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2021年收入预算</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万元，其中：一般公共预算拨款收入</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万元，占100%。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（二）支出预算情况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2021年支出预算</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万元，其中：基本支出</w:t>
      </w:r>
      <w:r>
        <w:rPr>
          <w:rFonts w:hint="default" w:ascii="Times New Roman" w:hAnsi="Times New Roman" w:eastAsia="仿宋_GB2312" w:cs="Times New Roman"/>
          <w:b w:val="0"/>
          <w:bCs w:val="0"/>
          <w:i w:val="0"/>
          <w:iCs w:val="0"/>
          <w:caps w:val="0"/>
          <w:color w:val="333333"/>
          <w:spacing w:val="0"/>
          <w:sz w:val="32"/>
          <w:szCs w:val="32"/>
          <w:lang w:val="en-US" w:eastAsia="zh-CN"/>
        </w:rPr>
        <w:t>47.23</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40.29</w:t>
      </w:r>
      <w:r>
        <w:rPr>
          <w:rFonts w:hint="default" w:ascii="Times New Roman" w:hAnsi="Times New Roman" w:eastAsia="仿宋_GB2312" w:cs="Times New Roman"/>
          <w:b w:val="0"/>
          <w:bCs w:val="0"/>
          <w:i w:val="0"/>
          <w:iCs w:val="0"/>
          <w:caps w:val="0"/>
          <w:color w:val="333333"/>
          <w:spacing w:val="0"/>
          <w:sz w:val="32"/>
          <w:szCs w:val="32"/>
        </w:rPr>
        <w:t>%；项目支出</w:t>
      </w:r>
      <w:r>
        <w:rPr>
          <w:rFonts w:hint="default" w:ascii="Times New Roman" w:hAnsi="Times New Roman" w:eastAsia="仿宋_GB2312" w:cs="Times New Roman"/>
          <w:b w:val="0"/>
          <w:bCs w:val="0"/>
          <w:i w:val="0"/>
          <w:iCs w:val="0"/>
          <w:caps w:val="0"/>
          <w:color w:val="333333"/>
          <w:spacing w:val="0"/>
          <w:sz w:val="32"/>
          <w:szCs w:val="32"/>
          <w:lang w:val="en-US" w:eastAsia="zh-CN"/>
        </w:rPr>
        <w:t>70</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 xml:space="preserve">59.71 </w:t>
      </w:r>
      <w:r>
        <w:rPr>
          <w:rFonts w:hint="default" w:ascii="Times New Roman" w:hAnsi="Times New Roman" w:eastAsia="仿宋_GB2312" w:cs="Times New Roman"/>
          <w:b w:val="0"/>
          <w:bCs w:val="0"/>
          <w:i w:val="0"/>
          <w:iCs w:val="0"/>
          <w:caps w:val="0"/>
          <w:color w:val="333333"/>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四、财政拨款收支预算情况说明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，2021年收支总预算</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由社会事业与群众工作局统一预算与管理，因此</w:t>
      </w:r>
      <w:r>
        <w:rPr>
          <w:rFonts w:hint="default" w:ascii="Times New Roman" w:hAnsi="Times New Roman" w:eastAsia="仿宋_GB2312" w:cs="Times New Roman"/>
          <w:b w:val="0"/>
          <w:bCs w:val="0"/>
          <w:i w:val="0"/>
          <w:iCs w:val="0"/>
          <w:caps w:val="0"/>
          <w:color w:val="333333"/>
          <w:spacing w:val="0"/>
          <w:sz w:val="32"/>
          <w:szCs w:val="32"/>
          <w:lang w:eastAsia="zh-CN"/>
        </w:rPr>
        <w:t>无法对</w:t>
      </w:r>
      <w:r>
        <w:rPr>
          <w:rFonts w:hint="default" w:ascii="Times New Roman" w:hAnsi="Times New Roman" w:eastAsia="仿宋_GB2312" w:cs="Times New Roman"/>
          <w:b w:val="0"/>
          <w:bCs w:val="0"/>
          <w:i w:val="0"/>
          <w:iCs w:val="0"/>
          <w:caps w:val="0"/>
          <w:color w:val="333333"/>
          <w:spacing w:val="0"/>
          <w:sz w:val="32"/>
          <w:szCs w:val="32"/>
        </w:rPr>
        <w:t>比</w:t>
      </w:r>
      <w:r>
        <w:rPr>
          <w:rFonts w:hint="default" w:ascii="Times New Roman" w:hAnsi="Times New Roman" w:eastAsia="仿宋_GB2312" w:cs="Times New Roman"/>
          <w:b w:val="0"/>
          <w:bCs w:val="0"/>
          <w:i w:val="0"/>
          <w:iCs w:val="0"/>
          <w:caps w:val="0"/>
          <w:color w:val="333333"/>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收入包括：本年一般公共预算拨款收入</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万元；支出包括：一般公共服务支出</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五、一般公共预算当年拨款情况说明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（一）一般公共预算当年拨款规模变化情况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，2021年收支总预算</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w:t>
      </w:r>
      <w:r>
        <w:rPr>
          <w:rFonts w:hint="default" w:ascii="Times New Roman" w:hAnsi="Times New Roman" w:eastAsia="仿宋_GB2312" w:cs="Times New Roman"/>
          <w:b w:val="0"/>
          <w:bCs w:val="0"/>
          <w:i w:val="0"/>
          <w:iCs w:val="0"/>
          <w:caps w:val="0"/>
          <w:color w:val="333333"/>
          <w:spacing w:val="0"/>
          <w:sz w:val="32"/>
          <w:szCs w:val="32"/>
          <w:lang w:eastAsia="zh-CN"/>
        </w:rPr>
        <w:t>上</w:t>
      </w:r>
      <w:r>
        <w:rPr>
          <w:rFonts w:hint="default" w:ascii="Times New Roman" w:hAnsi="Times New Roman" w:eastAsia="仿宋_GB2312" w:cs="Times New Roman"/>
          <w:b w:val="0"/>
          <w:bCs w:val="0"/>
          <w:i w:val="0"/>
          <w:iCs w:val="0"/>
          <w:caps w:val="0"/>
          <w:color w:val="333333"/>
          <w:spacing w:val="0"/>
          <w:sz w:val="32"/>
          <w:szCs w:val="32"/>
        </w:rPr>
        <w:t>年</w:t>
      </w:r>
      <w:r>
        <w:rPr>
          <w:rFonts w:hint="default" w:ascii="Times New Roman" w:hAnsi="Times New Roman" w:eastAsia="仿宋_GB2312" w:cs="Times New Roman"/>
          <w:b w:val="0"/>
          <w:bCs w:val="0"/>
          <w:i w:val="0"/>
          <w:iCs w:val="0"/>
          <w:caps w:val="0"/>
          <w:color w:val="333333"/>
          <w:spacing w:val="0"/>
          <w:sz w:val="32"/>
          <w:szCs w:val="32"/>
          <w:lang w:eastAsia="zh-CN"/>
        </w:rPr>
        <w:t>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由社会事业与群众工作局统一预算与管理，故</w:t>
      </w:r>
      <w:r>
        <w:rPr>
          <w:rFonts w:hint="default" w:ascii="Times New Roman" w:hAnsi="Times New Roman" w:eastAsia="仿宋_GB2312" w:cs="Times New Roman"/>
          <w:b w:val="0"/>
          <w:bCs w:val="0"/>
          <w:i w:val="0"/>
          <w:iCs w:val="0"/>
          <w:caps w:val="0"/>
          <w:color w:val="333333"/>
          <w:spacing w:val="0"/>
          <w:sz w:val="32"/>
          <w:szCs w:val="32"/>
          <w:lang w:eastAsia="zh-CN"/>
        </w:rPr>
        <w:t>无法对</w:t>
      </w:r>
      <w:r>
        <w:rPr>
          <w:rFonts w:hint="default" w:ascii="Times New Roman" w:hAnsi="Times New Roman" w:eastAsia="仿宋_GB2312" w:cs="Times New Roman"/>
          <w:b w:val="0"/>
          <w:bCs w:val="0"/>
          <w:i w:val="0"/>
          <w:iCs w:val="0"/>
          <w:caps w:val="0"/>
          <w:color w:val="333333"/>
          <w:spacing w:val="0"/>
          <w:sz w:val="32"/>
          <w:szCs w:val="32"/>
        </w:rPr>
        <w:t>比</w:t>
      </w:r>
      <w:r>
        <w:rPr>
          <w:rFonts w:hint="default" w:ascii="Times New Roman" w:hAnsi="Times New Roman" w:eastAsia="仿宋_GB2312" w:cs="Times New Roman"/>
          <w:b w:val="0"/>
          <w:bCs w:val="0"/>
          <w:i w:val="0"/>
          <w:iCs w:val="0"/>
          <w:caps w:val="0"/>
          <w:color w:val="333333"/>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（二）一般公共预算当年拨款结构情况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一般公共服务支出</w:t>
      </w:r>
      <w:r>
        <w:rPr>
          <w:rFonts w:hint="default" w:ascii="Times New Roman" w:hAnsi="Times New Roman" w:eastAsia="仿宋_GB2312" w:cs="Times New Roman"/>
          <w:b w:val="0"/>
          <w:bCs w:val="0"/>
          <w:i w:val="0"/>
          <w:iCs w:val="0"/>
          <w:caps w:val="0"/>
          <w:color w:val="333333"/>
          <w:spacing w:val="0"/>
          <w:sz w:val="32"/>
          <w:szCs w:val="32"/>
          <w:lang w:val="en-US" w:eastAsia="zh-CN"/>
        </w:rPr>
        <w:t>117.23</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100</w:t>
      </w:r>
      <w:r>
        <w:rPr>
          <w:rFonts w:hint="default" w:ascii="Times New Roman" w:hAnsi="Times New Roman" w:eastAsia="仿宋_GB2312" w:cs="Times New Roman"/>
          <w:b w:val="0"/>
          <w:bCs w:val="0"/>
          <w:i w:val="0"/>
          <w:iCs w:val="0"/>
          <w:caps w:val="0"/>
          <w:color w:val="333333"/>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（三）一般公共预算当年拨款具体使用情况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lang w:eastAsia="zh-CN"/>
        </w:rPr>
      </w:pPr>
      <w:r>
        <w:rPr>
          <w:rFonts w:hint="default" w:ascii="Times New Roman" w:hAnsi="Times New Roman" w:eastAsia="仿宋_GB2312" w:cs="Times New Roman"/>
          <w:b w:val="0"/>
          <w:bCs w:val="0"/>
          <w:i w:val="0"/>
          <w:iCs w:val="0"/>
          <w:caps w:val="0"/>
          <w:color w:val="333333"/>
          <w:spacing w:val="0"/>
          <w:sz w:val="32"/>
          <w:szCs w:val="32"/>
        </w:rPr>
        <w:t>1. 一般公共服务（</w:t>
      </w:r>
      <w:r>
        <w:rPr>
          <w:rFonts w:hint="default" w:ascii="Times New Roman" w:hAnsi="Times New Roman" w:eastAsia="仿宋_GB2312" w:cs="Times New Roman"/>
          <w:b w:val="0"/>
          <w:bCs w:val="0"/>
          <w:i w:val="0"/>
          <w:iCs w:val="0"/>
          <w:caps w:val="0"/>
          <w:color w:val="333333"/>
          <w:spacing w:val="0"/>
          <w:sz w:val="32"/>
          <w:szCs w:val="32"/>
          <w:lang w:val="en-US" w:eastAsia="zh-CN"/>
        </w:rPr>
        <w:t>201)</w:t>
      </w:r>
      <w:r>
        <w:rPr>
          <w:rFonts w:hint="default" w:ascii="Times New Roman" w:hAnsi="Times New Roman" w:eastAsia="仿宋_GB2312" w:cs="Times New Roman"/>
          <w:b w:val="0"/>
          <w:bCs w:val="0"/>
          <w:i w:val="0"/>
          <w:iCs w:val="0"/>
          <w:caps w:val="0"/>
          <w:color w:val="333333"/>
          <w:spacing w:val="0"/>
          <w:sz w:val="32"/>
          <w:szCs w:val="32"/>
        </w:rPr>
        <w:t>市场监督管理事务（</w:t>
      </w:r>
      <w:r>
        <w:rPr>
          <w:rFonts w:hint="default" w:ascii="Times New Roman" w:hAnsi="Times New Roman" w:eastAsia="仿宋_GB2312" w:cs="Times New Roman"/>
          <w:b w:val="0"/>
          <w:bCs w:val="0"/>
          <w:i w:val="0"/>
          <w:iCs w:val="0"/>
          <w:caps w:val="0"/>
          <w:color w:val="333333"/>
          <w:spacing w:val="0"/>
          <w:sz w:val="32"/>
          <w:szCs w:val="32"/>
          <w:lang w:val="en-US" w:eastAsia="zh-CN"/>
        </w:rPr>
        <w:t>38</w:t>
      </w:r>
      <w:r>
        <w:rPr>
          <w:rFonts w:hint="default" w:ascii="Times New Roman" w:hAnsi="Times New Roman" w:eastAsia="仿宋_GB2312" w:cs="Times New Roman"/>
          <w:b w:val="0"/>
          <w:bCs w:val="0"/>
          <w:i w:val="0"/>
          <w:iCs w:val="0"/>
          <w:caps w:val="0"/>
          <w:color w:val="333333"/>
          <w:spacing w:val="0"/>
          <w:sz w:val="32"/>
          <w:szCs w:val="32"/>
        </w:rPr>
        <w:t>）行政运行（</w:t>
      </w:r>
      <w:r>
        <w:rPr>
          <w:rFonts w:hint="default" w:ascii="Times New Roman" w:hAnsi="Times New Roman" w:eastAsia="仿宋_GB2312" w:cs="Times New Roman"/>
          <w:b w:val="0"/>
          <w:bCs w:val="0"/>
          <w:i w:val="0"/>
          <w:iCs w:val="0"/>
          <w:caps w:val="0"/>
          <w:color w:val="333333"/>
          <w:spacing w:val="0"/>
          <w:sz w:val="32"/>
          <w:szCs w:val="32"/>
          <w:lang w:val="en-US" w:eastAsia="zh-CN"/>
        </w:rPr>
        <w:t>01</w:t>
      </w:r>
      <w:r>
        <w:rPr>
          <w:rFonts w:hint="default" w:ascii="Times New Roman" w:hAnsi="Times New Roman" w:eastAsia="仿宋_GB2312" w:cs="Times New Roman"/>
          <w:b w:val="0"/>
          <w:bCs w:val="0"/>
          <w:i w:val="0"/>
          <w:iCs w:val="0"/>
          <w:caps w:val="0"/>
          <w:color w:val="333333"/>
          <w:spacing w:val="0"/>
          <w:sz w:val="32"/>
          <w:szCs w:val="32"/>
        </w:rPr>
        <w:t>）</w:t>
      </w:r>
      <w:r>
        <w:rPr>
          <w:rFonts w:hint="default" w:ascii="Times New Roman" w:hAnsi="Times New Roman" w:eastAsia="仿宋_GB2312" w:cs="Times New Roman"/>
          <w:b w:val="0"/>
          <w:bCs w:val="0"/>
          <w:i w:val="0"/>
          <w:iCs w:val="0"/>
          <w:caps w:val="0"/>
          <w:color w:val="333333"/>
          <w:spacing w:val="0"/>
          <w:sz w:val="32"/>
          <w:szCs w:val="32"/>
          <w:lang w:eastAsia="zh-CN"/>
        </w:rPr>
        <w:t>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31.29</w:t>
      </w:r>
      <w:r>
        <w:rPr>
          <w:rFonts w:hint="default" w:ascii="Times New Roman" w:hAnsi="Times New Roman" w:eastAsia="仿宋_GB2312" w:cs="Times New Roman"/>
          <w:b w:val="0"/>
          <w:bCs w:val="0"/>
          <w:i w:val="0"/>
          <w:iCs w:val="0"/>
          <w:caps w:val="0"/>
          <w:color w:val="333333"/>
          <w:spacing w:val="0"/>
          <w:sz w:val="32"/>
          <w:szCs w:val="32"/>
          <w:lang w:eastAsia="zh-CN"/>
        </w:rPr>
        <w:t>万元，主要用于局公务员及工勤人员正常工作运转的基本支出及日常公用经费支出，包括其他交通费用、印刷费、办公设备购置、其他商品和服务支出、会议费、培训费、公务接待费、差旅费、邮电费、维修（护）费、公务用车运行维护费、福利费、其他工资福利支出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2. 一般公共服务（</w:t>
      </w:r>
      <w:r>
        <w:rPr>
          <w:rFonts w:hint="default" w:ascii="Times New Roman" w:hAnsi="Times New Roman" w:eastAsia="仿宋_GB2312" w:cs="Times New Roman"/>
          <w:b w:val="0"/>
          <w:bCs w:val="0"/>
          <w:i w:val="0"/>
          <w:iCs w:val="0"/>
          <w:caps w:val="0"/>
          <w:color w:val="333333"/>
          <w:spacing w:val="0"/>
          <w:sz w:val="32"/>
          <w:szCs w:val="32"/>
          <w:lang w:val="en-US" w:eastAsia="zh-CN"/>
        </w:rPr>
        <w:t>201)</w:t>
      </w:r>
      <w:r>
        <w:rPr>
          <w:rFonts w:hint="default" w:ascii="Times New Roman" w:hAnsi="Times New Roman" w:eastAsia="仿宋_GB2312" w:cs="Times New Roman"/>
          <w:b w:val="0"/>
          <w:bCs w:val="0"/>
          <w:i w:val="0"/>
          <w:iCs w:val="0"/>
          <w:caps w:val="0"/>
          <w:color w:val="333333"/>
          <w:spacing w:val="0"/>
          <w:sz w:val="32"/>
          <w:szCs w:val="32"/>
        </w:rPr>
        <w:t>市场监督管理事务（</w:t>
      </w:r>
      <w:r>
        <w:rPr>
          <w:rFonts w:hint="default" w:ascii="Times New Roman" w:hAnsi="Times New Roman" w:eastAsia="仿宋_GB2312" w:cs="Times New Roman"/>
          <w:b w:val="0"/>
          <w:bCs w:val="0"/>
          <w:i w:val="0"/>
          <w:iCs w:val="0"/>
          <w:caps w:val="0"/>
          <w:color w:val="333333"/>
          <w:spacing w:val="0"/>
          <w:sz w:val="32"/>
          <w:szCs w:val="32"/>
          <w:lang w:val="en-US" w:eastAsia="zh-CN"/>
        </w:rPr>
        <w:t>38</w:t>
      </w:r>
      <w:r>
        <w:rPr>
          <w:rFonts w:hint="default" w:ascii="Times New Roman" w:hAnsi="Times New Roman" w:eastAsia="仿宋_GB2312" w:cs="Times New Roman"/>
          <w:b w:val="0"/>
          <w:bCs w:val="0"/>
          <w:i w:val="0"/>
          <w:iCs w:val="0"/>
          <w:caps w:val="0"/>
          <w:color w:val="333333"/>
          <w:spacing w:val="0"/>
          <w:sz w:val="32"/>
          <w:szCs w:val="32"/>
        </w:rPr>
        <w:t>）一般行政管理事务（</w:t>
      </w:r>
      <w:r>
        <w:rPr>
          <w:rFonts w:hint="default" w:ascii="Times New Roman" w:hAnsi="Times New Roman" w:eastAsia="仿宋_GB2312" w:cs="Times New Roman"/>
          <w:b w:val="0"/>
          <w:bCs w:val="0"/>
          <w:i w:val="0"/>
          <w:iCs w:val="0"/>
          <w:caps w:val="0"/>
          <w:color w:val="333333"/>
          <w:spacing w:val="0"/>
          <w:sz w:val="32"/>
          <w:szCs w:val="32"/>
          <w:lang w:val="en-US" w:eastAsia="zh-CN"/>
        </w:rPr>
        <w:t>02</w:t>
      </w:r>
      <w:r>
        <w:rPr>
          <w:rFonts w:hint="default" w:ascii="Times New Roman" w:hAnsi="Times New Roman" w:eastAsia="仿宋_GB2312" w:cs="Times New Roman"/>
          <w:b w:val="0"/>
          <w:bCs w:val="0"/>
          <w:i w:val="0"/>
          <w:iCs w:val="0"/>
          <w:caps w:val="0"/>
          <w:color w:val="333333"/>
          <w:spacing w:val="0"/>
          <w:sz w:val="32"/>
          <w:szCs w:val="32"/>
        </w:rPr>
        <w:t>）2021年预算数为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70</w:t>
      </w:r>
      <w:r>
        <w:rPr>
          <w:rFonts w:hint="default" w:ascii="Times New Roman" w:hAnsi="Times New Roman" w:eastAsia="仿宋_GB2312" w:cs="Times New Roman"/>
          <w:b w:val="0"/>
          <w:bCs w:val="0"/>
          <w:i w:val="0"/>
          <w:iCs w:val="0"/>
          <w:caps w:val="0"/>
          <w:color w:val="333333"/>
          <w:spacing w:val="0"/>
          <w:sz w:val="32"/>
          <w:szCs w:val="32"/>
        </w:rPr>
        <w:t>万元，主要用于“双随机、一公开”抽查经费</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rPr>
        <w:t>监管能力建设与提升</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rPr>
        <w:t>食品监督抽检经费</w:t>
      </w:r>
      <w:r>
        <w:rPr>
          <w:rFonts w:hint="default" w:ascii="Times New Roman" w:hAnsi="Times New Roman" w:eastAsia="仿宋_GB2312" w:cs="Times New Roman"/>
          <w:b w:val="0"/>
          <w:bCs w:val="0"/>
          <w:i w:val="0"/>
          <w:iCs w:val="0"/>
          <w:caps w:val="0"/>
          <w:color w:val="333333"/>
          <w:spacing w:val="0"/>
          <w:sz w:val="32"/>
          <w:szCs w:val="32"/>
          <w:lang w:eastAsia="zh-CN"/>
        </w:rPr>
        <w:t>等</w:t>
      </w:r>
      <w:r>
        <w:rPr>
          <w:rFonts w:hint="default" w:ascii="Times New Roman" w:hAnsi="Times New Roman" w:eastAsia="仿宋_GB2312" w:cs="Times New Roman"/>
          <w:b w:val="0"/>
          <w:bCs w:val="0"/>
          <w:i w:val="0"/>
          <w:iCs w:val="0"/>
          <w:caps w:val="0"/>
          <w:color w:val="333333"/>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3. 一般公共服务（</w:t>
      </w:r>
      <w:r>
        <w:rPr>
          <w:rFonts w:hint="default" w:ascii="Times New Roman" w:hAnsi="Times New Roman" w:eastAsia="仿宋_GB2312" w:cs="Times New Roman"/>
          <w:b w:val="0"/>
          <w:bCs w:val="0"/>
          <w:i w:val="0"/>
          <w:iCs w:val="0"/>
          <w:caps w:val="0"/>
          <w:color w:val="333333"/>
          <w:spacing w:val="0"/>
          <w:sz w:val="32"/>
          <w:szCs w:val="32"/>
          <w:lang w:val="en-US" w:eastAsia="zh-CN"/>
        </w:rPr>
        <w:t>201)</w:t>
      </w:r>
      <w:r>
        <w:rPr>
          <w:rFonts w:hint="default" w:ascii="Times New Roman" w:hAnsi="Times New Roman" w:eastAsia="仿宋_GB2312" w:cs="Times New Roman"/>
          <w:b w:val="0"/>
          <w:bCs w:val="0"/>
          <w:i w:val="0"/>
          <w:iCs w:val="0"/>
          <w:caps w:val="0"/>
          <w:color w:val="333333"/>
          <w:spacing w:val="0"/>
          <w:sz w:val="32"/>
          <w:szCs w:val="32"/>
        </w:rPr>
        <w:t>市场监督管理事务（</w:t>
      </w:r>
      <w:r>
        <w:rPr>
          <w:rFonts w:hint="default" w:ascii="Times New Roman" w:hAnsi="Times New Roman" w:eastAsia="仿宋_GB2312" w:cs="Times New Roman"/>
          <w:b w:val="0"/>
          <w:bCs w:val="0"/>
          <w:i w:val="0"/>
          <w:iCs w:val="0"/>
          <w:caps w:val="0"/>
          <w:color w:val="333333"/>
          <w:spacing w:val="0"/>
          <w:sz w:val="32"/>
          <w:szCs w:val="32"/>
          <w:lang w:val="en-US" w:eastAsia="zh-CN"/>
        </w:rPr>
        <w:t>38</w:t>
      </w:r>
      <w:r>
        <w:rPr>
          <w:rFonts w:hint="default" w:ascii="Times New Roman" w:hAnsi="Times New Roman" w:eastAsia="仿宋_GB2312" w:cs="Times New Roman"/>
          <w:b w:val="0"/>
          <w:bCs w:val="0"/>
          <w:i w:val="0"/>
          <w:iCs w:val="0"/>
          <w:caps w:val="0"/>
          <w:color w:val="333333"/>
          <w:spacing w:val="0"/>
          <w:sz w:val="32"/>
          <w:szCs w:val="32"/>
        </w:rPr>
        <w:t>）事业运行（</w:t>
      </w:r>
      <w:r>
        <w:rPr>
          <w:rFonts w:hint="default" w:ascii="Times New Roman" w:hAnsi="Times New Roman" w:eastAsia="仿宋_GB2312" w:cs="Times New Roman"/>
          <w:b w:val="0"/>
          <w:bCs w:val="0"/>
          <w:i w:val="0"/>
          <w:iCs w:val="0"/>
          <w:caps w:val="0"/>
          <w:color w:val="333333"/>
          <w:spacing w:val="0"/>
          <w:sz w:val="32"/>
          <w:szCs w:val="32"/>
          <w:lang w:val="en-US" w:eastAsia="zh-CN"/>
        </w:rPr>
        <w:t>50</w:t>
      </w:r>
      <w:r>
        <w:rPr>
          <w:rFonts w:hint="default" w:ascii="Times New Roman" w:hAnsi="Times New Roman" w:eastAsia="仿宋_GB2312" w:cs="Times New Roman"/>
          <w:b w:val="0"/>
          <w:bCs w:val="0"/>
          <w:i w:val="0"/>
          <w:iCs w:val="0"/>
          <w:caps w:val="0"/>
          <w:color w:val="333333"/>
          <w:spacing w:val="0"/>
          <w:sz w:val="32"/>
          <w:szCs w:val="32"/>
        </w:rPr>
        <w:t>）2021年预算数为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15.94</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lang w:eastAsia="zh-CN"/>
        </w:rPr>
        <w:t>事业人员正常工作的日常公用经费，包括办公费、培训费、办公设备购置、其他商品和服务支出、福利费、其他工资福利支出。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六、一般公共预算基本支出情况说明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2021年一般公共预算基本支出</w:t>
      </w:r>
      <w:r>
        <w:rPr>
          <w:rFonts w:hint="default" w:ascii="Times New Roman" w:hAnsi="Times New Roman" w:eastAsia="仿宋_GB2312" w:cs="Times New Roman"/>
          <w:b w:val="0"/>
          <w:bCs w:val="0"/>
          <w:i w:val="0"/>
          <w:iCs w:val="0"/>
          <w:caps w:val="0"/>
          <w:color w:val="333333"/>
          <w:spacing w:val="0"/>
          <w:sz w:val="32"/>
          <w:szCs w:val="32"/>
          <w:lang w:val="en-US" w:eastAsia="zh-CN"/>
        </w:rPr>
        <w:t>42.23</w:t>
      </w:r>
      <w:r>
        <w:rPr>
          <w:rFonts w:hint="default" w:ascii="Times New Roman" w:hAnsi="Times New Roman" w:eastAsia="仿宋_GB2312" w:cs="Times New Roman"/>
          <w:b w:val="0"/>
          <w:bCs w:val="0"/>
          <w:i w:val="0"/>
          <w:iCs w:val="0"/>
          <w:caps w:val="0"/>
          <w:color w:val="333333"/>
          <w:spacing w:val="0"/>
          <w:sz w:val="32"/>
          <w:szCs w:val="32"/>
        </w:rPr>
        <w:t>万元，其中：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lang w:eastAsia="zh-CN"/>
        </w:rPr>
      </w:pPr>
      <w:r>
        <w:rPr>
          <w:rFonts w:hint="default" w:ascii="Times New Roman" w:hAnsi="Times New Roman" w:eastAsia="仿宋_GB2312" w:cs="Times New Roman"/>
          <w:b w:val="0"/>
          <w:bCs w:val="0"/>
          <w:i w:val="0"/>
          <w:iCs w:val="0"/>
          <w:caps w:val="0"/>
          <w:color w:val="333333"/>
          <w:spacing w:val="0"/>
          <w:sz w:val="32"/>
          <w:szCs w:val="32"/>
        </w:rPr>
        <w:t>人员经费</w:t>
      </w:r>
      <w:r>
        <w:rPr>
          <w:rFonts w:hint="default" w:ascii="Times New Roman" w:hAnsi="Times New Roman" w:eastAsia="仿宋_GB2312" w:cs="Times New Roman"/>
          <w:b w:val="0"/>
          <w:bCs w:val="0"/>
          <w:i w:val="0"/>
          <w:iCs w:val="0"/>
          <w:caps w:val="0"/>
          <w:color w:val="333333"/>
          <w:spacing w:val="0"/>
          <w:sz w:val="32"/>
          <w:szCs w:val="32"/>
          <w:lang w:val="en-US" w:eastAsia="zh-CN"/>
        </w:rPr>
        <w:t>3.5</w:t>
      </w:r>
      <w:r>
        <w:rPr>
          <w:rFonts w:hint="default" w:ascii="Times New Roman" w:hAnsi="Times New Roman" w:eastAsia="仿宋_GB2312" w:cs="Times New Roman"/>
          <w:b w:val="0"/>
          <w:bCs w:val="0"/>
          <w:i w:val="0"/>
          <w:iCs w:val="0"/>
          <w:caps w:val="0"/>
          <w:color w:val="333333"/>
          <w:spacing w:val="0"/>
          <w:sz w:val="32"/>
          <w:szCs w:val="32"/>
        </w:rPr>
        <w:t>万元，主要包括</w:t>
      </w:r>
      <w:r>
        <w:rPr>
          <w:rFonts w:hint="default" w:ascii="Times New Roman" w:hAnsi="Times New Roman" w:eastAsia="仿宋_GB2312" w:cs="Times New Roman"/>
          <w:b w:val="0"/>
          <w:bCs w:val="0"/>
          <w:i w:val="0"/>
          <w:iCs w:val="0"/>
          <w:caps w:val="0"/>
          <w:color w:val="333333"/>
          <w:spacing w:val="0"/>
          <w:sz w:val="32"/>
          <w:szCs w:val="32"/>
          <w:lang w:eastAsia="zh-CN"/>
        </w:rPr>
        <w:t>其他工资福利支出。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公用经费3</w:t>
      </w:r>
      <w:r>
        <w:rPr>
          <w:rFonts w:hint="default" w:ascii="Times New Roman" w:hAnsi="Times New Roman" w:eastAsia="仿宋_GB2312" w:cs="Times New Roman"/>
          <w:b w:val="0"/>
          <w:bCs w:val="0"/>
          <w:i w:val="0"/>
          <w:iCs w:val="0"/>
          <w:caps w:val="0"/>
          <w:color w:val="333333"/>
          <w:spacing w:val="0"/>
          <w:sz w:val="32"/>
          <w:szCs w:val="32"/>
          <w:lang w:val="en-US" w:eastAsia="zh-CN"/>
        </w:rPr>
        <w:t>8.73</w:t>
      </w:r>
      <w:r>
        <w:rPr>
          <w:rFonts w:hint="default" w:ascii="Times New Roman" w:hAnsi="Times New Roman" w:eastAsia="仿宋_GB2312" w:cs="Times New Roman"/>
          <w:b w:val="0"/>
          <w:bCs w:val="0"/>
          <w:i w:val="0"/>
          <w:iCs w:val="0"/>
          <w:caps w:val="0"/>
          <w:color w:val="333333"/>
          <w:spacing w:val="0"/>
          <w:sz w:val="32"/>
          <w:szCs w:val="32"/>
        </w:rPr>
        <w:t>万元，主要包括：办公费、印刷费、邮电费、差旅费、维修（护）费、会议费</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rPr>
        <w:t>培训费、公务接待费</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rPr>
        <w:t>福利费、其他商品和服务支出。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七、“三公”经费财政拨款预算安排情况说明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2021年财政拨款安排“三公”经费预算</w:t>
      </w:r>
      <w:r>
        <w:rPr>
          <w:rFonts w:hint="default" w:ascii="Times New Roman" w:hAnsi="Times New Roman" w:eastAsia="仿宋_GB2312" w:cs="Times New Roman"/>
          <w:b w:val="0"/>
          <w:bCs w:val="0"/>
          <w:i w:val="0"/>
          <w:iCs w:val="0"/>
          <w:caps w:val="0"/>
          <w:color w:val="333333"/>
          <w:spacing w:val="0"/>
          <w:sz w:val="32"/>
          <w:szCs w:val="32"/>
          <w:lang w:val="en-US" w:eastAsia="zh-CN"/>
        </w:rPr>
        <w:t>6.4万元，其中：</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其中：因公出国（境）经费0万元，</w:t>
      </w:r>
      <w:r>
        <w:rPr>
          <w:rFonts w:hint="default" w:ascii="Times New Roman" w:hAnsi="Times New Roman" w:eastAsia="仿宋_GB2312" w:cs="Times New Roman"/>
          <w:b w:val="0"/>
          <w:bCs w:val="0"/>
          <w:i w:val="0"/>
          <w:iCs w:val="0"/>
          <w:caps w:val="0"/>
          <w:color w:val="333333"/>
          <w:spacing w:val="0"/>
          <w:sz w:val="32"/>
          <w:szCs w:val="32"/>
          <w:lang w:val="en-US" w:eastAsia="zh-CN"/>
        </w:rPr>
        <w:t>公务用车运行费4万元，公务接待费2.4万元</w:t>
      </w:r>
      <w:r>
        <w:rPr>
          <w:rFonts w:hint="default" w:ascii="Times New Roman" w:hAnsi="Times New Roman" w:eastAsia="仿宋_GB2312" w:cs="Times New Roman"/>
          <w:b w:val="0"/>
          <w:bCs w:val="0"/>
          <w:i w:val="0"/>
          <w:iCs w:val="0"/>
          <w:caps w:val="0"/>
          <w:color w:val="333333"/>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（一）因公出国（境）经费较上年预算无法对比</w:t>
      </w:r>
      <w:r>
        <w:rPr>
          <w:rFonts w:hint="default" w:ascii="Times New Roman" w:hAnsi="Times New Roman" w:eastAsia="仿宋_GB2312" w:cs="Times New Roman"/>
          <w:b w:val="0"/>
          <w:bCs w:val="0"/>
          <w:i w:val="0"/>
          <w:iCs w:val="0"/>
          <w:caps w:val="0"/>
          <w:color w:val="333333"/>
          <w:spacing w:val="0"/>
          <w:sz w:val="32"/>
          <w:szCs w:val="32"/>
          <w:highlight w:val="none"/>
          <w:lang w:eastAsia="zh-CN"/>
        </w:rPr>
        <w:t>，</w:t>
      </w:r>
      <w:r>
        <w:rPr>
          <w:rFonts w:hint="default" w:ascii="Times New Roman" w:hAnsi="Times New Roman" w:eastAsia="仿宋_GB2312" w:cs="Times New Roman"/>
          <w:color w:val="000000"/>
          <w:kern w:val="2"/>
          <w:sz w:val="32"/>
          <w:szCs w:val="32"/>
          <w:lang w:val="en-US" w:eastAsia="zh-CN" w:bidi="ar"/>
        </w:rPr>
        <w:t>主要原因是</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32" w:leftChars="0" w:right="0" w:rightChars="0"/>
        <w:textAlignment w:val="auto"/>
        <w:rPr>
          <w:rFonts w:hint="default" w:ascii="Times New Roman" w:hAnsi="Times New Roman" w:eastAsia="仿宋_GB2312" w:cs="Times New Roman"/>
          <w:b w:val="0"/>
          <w:bCs w:val="0"/>
          <w:i w:val="0"/>
          <w:iCs w:val="0"/>
          <w:caps w:val="0"/>
          <w:color w:val="333333"/>
          <w:spacing w:val="0"/>
          <w:sz w:val="32"/>
          <w:szCs w:val="32"/>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（二）公</w:t>
      </w:r>
      <w:r>
        <w:rPr>
          <w:rFonts w:hint="default" w:ascii="Times New Roman" w:hAnsi="Times New Roman" w:eastAsia="仿宋_GB2312" w:cs="Times New Roman"/>
          <w:b w:val="0"/>
          <w:bCs w:val="0"/>
          <w:i w:val="0"/>
          <w:iCs w:val="0"/>
          <w:caps w:val="0"/>
          <w:color w:val="333333"/>
          <w:spacing w:val="0"/>
          <w:sz w:val="32"/>
          <w:szCs w:val="32"/>
          <w:highlight w:val="none"/>
          <w:lang w:eastAsia="zh-CN"/>
        </w:rPr>
        <w:t>务</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接待费较上年预算无法对比</w:t>
      </w:r>
      <w:r>
        <w:rPr>
          <w:rFonts w:hint="default" w:ascii="Times New Roman" w:hAnsi="Times New Roman" w:eastAsia="仿宋_GB2312" w:cs="Times New Roman"/>
          <w:b w:val="0"/>
          <w:bCs w:val="0"/>
          <w:i w:val="0"/>
          <w:iCs w:val="0"/>
          <w:caps w:val="0"/>
          <w:color w:val="333333"/>
          <w:spacing w:val="0"/>
          <w:sz w:val="32"/>
          <w:szCs w:val="32"/>
          <w:highlight w:val="none"/>
          <w:lang w:eastAsia="zh-CN"/>
        </w:rPr>
        <w:t>，</w:t>
      </w:r>
      <w:r>
        <w:rPr>
          <w:rFonts w:hint="default" w:ascii="Times New Roman" w:hAnsi="Times New Roman" w:eastAsia="仿宋_GB2312" w:cs="Times New Roman"/>
          <w:color w:val="000000"/>
          <w:kern w:val="2"/>
          <w:sz w:val="32"/>
          <w:szCs w:val="32"/>
          <w:lang w:val="en-US" w:eastAsia="zh-CN" w:bidi="ar"/>
        </w:rPr>
        <w:t>主要原因是</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333333"/>
          <w:spacing w:val="0"/>
          <w:kern w:val="2"/>
          <w:sz w:val="32"/>
          <w:szCs w:val="32"/>
          <w:lang w:val="en-US" w:eastAsia="zh-CN" w:bidi="ar-SA"/>
        </w:rPr>
      </w:pP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（三）公</w:t>
      </w:r>
      <w:r>
        <w:rPr>
          <w:rFonts w:hint="default" w:ascii="Times New Roman" w:hAnsi="Times New Roman" w:eastAsia="仿宋_GB2312" w:cs="Times New Roman"/>
          <w:b w:val="0"/>
          <w:bCs w:val="0"/>
          <w:i w:val="0"/>
          <w:iCs w:val="0"/>
          <w:caps w:val="0"/>
          <w:color w:val="333333"/>
          <w:spacing w:val="0"/>
          <w:sz w:val="32"/>
          <w:szCs w:val="32"/>
          <w:highlight w:val="none"/>
          <w:lang w:eastAsia="zh-CN"/>
        </w:rPr>
        <w:t>务</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用车购置及运行维护费较上年预算无法对比</w:t>
      </w:r>
      <w:r>
        <w:rPr>
          <w:rFonts w:hint="default" w:ascii="Times New Roman" w:hAnsi="Times New Roman" w:eastAsia="仿宋_GB2312" w:cs="Times New Roman"/>
          <w:b w:val="0"/>
          <w:bCs w:val="0"/>
          <w:i w:val="0"/>
          <w:iCs w:val="0"/>
          <w:caps w:val="0"/>
          <w:color w:val="333333"/>
          <w:spacing w:val="0"/>
          <w:sz w:val="32"/>
          <w:szCs w:val="32"/>
          <w:highlight w:val="none"/>
          <w:lang w:eastAsia="zh-CN"/>
        </w:rPr>
        <w:t>，</w:t>
      </w:r>
      <w:r>
        <w:rPr>
          <w:rFonts w:hint="default" w:ascii="Times New Roman" w:hAnsi="Times New Roman" w:eastAsia="仿宋_GB2312" w:cs="Times New Roman"/>
          <w:color w:val="000000"/>
          <w:kern w:val="2"/>
          <w:sz w:val="32"/>
          <w:szCs w:val="32"/>
          <w:lang w:val="en-US" w:eastAsia="zh-CN" w:bidi="ar"/>
        </w:rPr>
        <w:t>主要原因是</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由社会事业与群众工作局统一预算与管理。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八、“会议费”“培训费”“差旅费”财政拨款预算安排情况说明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2021年“会议费”“培训费”“差旅费”财政拨款预算数</w:t>
      </w:r>
      <w:r>
        <w:rPr>
          <w:rFonts w:hint="default" w:ascii="Times New Roman" w:hAnsi="Times New Roman" w:eastAsia="仿宋_GB2312" w:cs="Times New Roman"/>
          <w:b w:val="0"/>
          <w:bCs w:val="0"/>
          <w:i w:val="0"/>
          <w:iCs w:val="0"/>
          <w:caps w:val="0"/>
          <w:color w:val="333333"/>
          <w:spacing w:val="0"/>
          <w:sz w:val="32"/>
          <w:szCs w:val="32"/>
          <w:lang w:val="en-US" w:eastAsia="zh-CN"/>
        </w:rPr>
        <w:t>6.7</w:t>
      </w:r>
      <w:r>
        <w:rPr>
          <w:rFonts w:hint="default" w:ascii="Times New Roman" w:hAnsi="Times New Roman" w:eastAsia="仿宋_GB2312" w:cs="Times New Roman"/>
          <w:b w:val="0"/>
          <w:bCs w:val="0"/>
          <w:i w:val="0"/>
          <w:iCs w:val="0"/>
          <w:caps w:val="0"/>
          <w:color w:val="333333"/>
          <w:spacing w:val="0"/>
          <w:sz w:val="32"/>
          <w:szCs w:val="32"/>
        </w:rPr>
        <w:t>万元，其中：会议费</w:t>
      </w:r>
      <w:r>
        <w:rPr>
          <w:rFonts w:hint="default" w:ascii="Times New Roman" w:hAnsi="Times New Roman" w:eastAsia="仿宋_GB2312" w:cs="Times New Roman"/>
          <w:b w:val="0"/>
          <w:bCs w:val="0"/>
          <w:i w:val="0"/>
          <w:iCs w:val="0"/>
          <w:caps w:val="0"/>
          <w:color w:val="333333"/>
          <w:spacing w:val="0"/>
          <w:sz w:val="32"/>
          <w:szCs w:val="32"/>
          <w:lang w:val="en-US" w:eastAsia="zh-CN"/>
        </w:rPr>
        <w:t>0.2</w:t>
      </w:r>
      <w:r>
        <w:rPr>
          <w:rFonts w:hint="default" w:ascii="Times New Roman" w:hAnsi="Times New Roman" w:eastAsia="仿宋_GB2312" w:cs="Times New Roman"/>
          <w:b w:val="0"/>
          <w:bCs w:val="0"/>
          <w:i w:val="0"/>
          <w:iCs w:val="0"/>
          <w:caps w:val="0"/>
          <w:color w:val="333333"/>
          <w:spacing w:val="0"/>
          <w:sz w:val="32"/>
          <w:szCs w:val="32"/>
        </w:rPr>
        <w:t>万元，培训费</w:t>
      </w:r>
      <w:r>
        <w:rPr>
          <w:rFonts w:hint="default" w:ascii="Times New Roman" w:hAnsi="Times New Roman" w:eastAsia="仿宋_GB2312" w:cs="Times New Roman"/>
          <w:b w:val="0"/>
          <w:bCs w:val="0"/>
          <w:i w:val="0"/>
          <w:iCs w:val="0"/>
          <w:caps w:val="0"/>
          <w:color w:val="333333"/>
          <w:spacing w:val="0"/>
          <w:sz w:val="32"/>
          <w:szCs w:val="32"/>
          <w:lang w:val="en-US" w:eastAsia="zh-CN"/>
        </w:rPr>
        <w:t>3.5</w:t>
      </w:r>
      <w:r>
        <w:rPr>
          <w:rFonts w:hint="default" w:ascii="Times New Roman" w:hAnsi="Times New Roman" w:eastAsia="仿宋_GB2312" w:cs="Times New Roman"/>
          <w:b w:val="0"/>
          <w:bCs w:val="0"/>
          <w:i w:val="0"/>
          <w:iCs w:val="0"/>
          <w:caps w:val="0"/>
          <w:color w:val="333333"/>
          <w:spacing w:val="0"/>
          <w:sz w:val="32"/>
          <w:szCs w:val="32"/>
        </w:rPr>
        <w:t>万元，差旅费</w:t>
      </w:r>
      <w:r>
        <w:rPr>
          <w:rFonts w:hint="default" w:ascii="Times New Roman" w:hAnsi="Times New Roman" w:eastAsia="仿宋_GB2312" w:cs="Times New Roman"/>
          <w:b w:val="0"/>
          <w:bCs w:val="0"/>
          <w:i w:val="0"/>
          <w:iCs w:val="0"/>
          <w:caps w:val="0"/>
          <w:color w:val="333333"/>
          <w:spacing w:val="0"/>
          <w:sz w:val="32"/>
          <w:szCs w:val="32"/>
          <w:lang w:val="en-US" w:eastAsia="zh-CN"/>
        </w:rPr>
        <w:t>3</w:t>
      </w:r>
      <w:r>
        <w:rPr>
          <w:rFonts w:hint="default" w:ascii="Times New Roman" w:hAnsi="Times New Roman" w:eastAsia="仿宋_GB2312" w:cs="Times New Roman"/>
          <w:b w:val="0"/>
          <w:bCs w:val="0"/>
          <w:i w:val="0"/>
          <w:iCs w:val="0"/>
          <w:caps w:val="0"/>
          <w:color w:val="333333"/>
          <w:spacing w:val="0"/>
          <w:sz w:val="32"/>
          <w:szCs w:val="32"/>
        </w:rPr>
        <w:t>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（一）会议费</w:t>
      </w:r>
      <w:r>
        <w:rPr>
          <w:rFonts w:hint="default" w:ascii="Times New Roman" w:hAnsi="Times New Roman" w:eastAsia="仿宋_GB2312" w:cs="Times New Roman"/>
          <w:b w:val="0"/>
          <w:bCs w:val="0"/>
          <w:i w:val="0"/>
          <w:iCs w:val="0"/>
          <w:caps w:val="0"/>
          <w:color w:val="333333"/>
          <w:spacing w:val="0"/>
          <w:sz w:val="32"/>
          <w:szCs w:val="32"/>
          <w:lang w:eastAsia="zh-CN"/>
        </w:rPr>
        <w:t>与</w:t>
      </w:r>
      <w:r>
        <w:rPr>
          <w:rFonts w:hint="default" w:ascii="Times New Roman" w:hAnsi="Times New Roman" w:eastAsia="仿宋_GB2312" w:cs="Times New Roman"/>
          <w:b w:val="0"/>
          <w:bCs w:val="0"/>
          <w:i w:val="0"/>
          <w:iCs w:val="0"/>
          <w:caps w:val="0"/>
          <w:color w:val="333333"/>
          <w:spacing w:val="0"/>
          <w:sz w:val="32"/>
          <w:szCs w:val="32"/>
          <w:lang w:val="en-US" w:eastAsia="zh-CN"/>
        </w:rPr>
        <w:t>上年度年无法对比，</w:t>
      </w:r>
      <w:r>
        <w:rPr>
          <w:rFonts w:hint="default" w:ascii="Times New Roman" w:hAnsi="Times New Roman" w:eastAsia="仿宋_GB2312" w:cs="Times New Roman"/>
          <w:b w:val="0"/>
          <w:bCs w:val="0"/>
          <w:i w:val="0"/>
          <w:iCs w:val="0"/>
          <w:caps w:val="0"/>
          <w:color w:val="333333"/>
          <w:spacing w:val="0"/>
          <w:sz w:val="32"/>
          <w:szCs w:val="32"/>
        </w:rPr>
        <w:t>主要原因是</w:t>
      </w:r>
      <w:r>
        <w:rPr>
          <w:rFonts w:hint="default" w:ascii="Times New Roman" w:hAnsi="Times New Roman" w:eastAsia="仿宋_GB2312" w:cs="Times New Roman"/>
          <w:b w:val="0"/>
          <w:bCs w:val="0"/>
          <w:i w:val="0"/>
          <w:iCs w:val="0"/>
          <w:caps w:val="0"/>
          <w:color w:val="333333"/>
          <w:spacing w:val="0"/>
          <w:sz w:val="32"/>
          <w:szCs w:val="32"/>
          <w:lang w:val="en-US" w:eastAsia="zh-CN"/>
        </w:rPr>
        <w:t>上年度经费由社会事业与群众工作局统一预算与管理。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（二）培训费</w:t>
      </w:r>
      <w:r>
        <w:rPr>
          <w:rFonts w:hint="default" w:ascii="Times New Roman" w:hAnsi="Times New Roman" w:eastAsia="仿宋_GB2312" w:cs="Times New Roman"/>
          <w:b w:val="0"/>
          <w:bCs w:val="0"/>
          <w:i w:val="0"/>
          <w:iCs w:val="0"/>
          <w:caps w:val="0"/>
          <w:color w:val="333333"/>
          <w:spacing w:val="0"/>
          <w:sz w:val="32"/>
          <w:szCs w:val="32"/>
          <w:lang w:eastAsia="zh-CN"/>
        </w:rPr>
        <w:t>与</w:t>
      </w:r>
      <w:r>
        <w:rPr>
          <w:rFonts w:hint="default" w:ascii="Times New Roman" w:hAnsi="Times New Roman" w:eastAsia="仿宋_GB2312" w:cs="Times New Roman"/>
          <w:b w:val="0"/>
          <w:bCs w:val="0"/>
          <w:i w:val="0"/>
          <w:iCs w:val="0"/>
          <w:caps w:val="0"/>
          <w:color w:val="333333"/>
          <w:spacing w:val="0"/>
          <w:sz w:val="32"/>
          <w:szCs w:val="32"/>
          <w:lang w:val="en-US" w:eastAsia="zh-CN"/>
        </w:rPr>
        <w:t>上年度无法对比，</w:t>
      </w:r>
      <w:r>
        <w:rPr>
          <w:rFonts w:hint="default" w:ascii="Times New Roman" w:hAnsi="Times New Roman" w:eastAsia="仿宋_GB2312" w:cs="Times New Roman"/>
          <w:b w:val="0"/>
          <w:bCs w:val="0"/>
          <w:i w:val="0"/>
          <w:iCs w:val="0"/>
          <w:caps w:val="0"/>
          <w:color w:val="333333"/>
          <w:spacing w:val="0"/>
          <w:sz w:val="32"/>
          <w:szCs w:val="32"/>
        </w:rPr>
        <w:t>主要原因是</w:t>
      </w:r>
      <w:r>
        <w:rPr>
          <w:rFonts w:hint="default" w:ascii="Times New Roman" w:hAnsi="Times New Roman" w:eastAsia="仿宋_GB2312" w:cs="Times New Roman"/>
          <w:b w:val="0"/>
          <w:bCs w:val="0"/>
          <w:i w:val="0"/>
          <w:iCs w:val="0"/>
          <w:caps w:val="0"/>
          <w:color w:val="333333"/>
          <w:spacing w:val="0"/>
          <w:sz w:val="32"/>
          <w:szCs w:val="32"/>
          <w:lang w:val="en-US" w:eastAsia="zh-CN"/>
        </w:rPr>
        <w:t>上年度经费年由社会事业与群众工作局统一预算与管理。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（三）差旅费</w:t>
      </w:r>
      <w:r>
        <w:rPr>
          <w:rFonts w:hint="default" w:ascii="Times New Roman" w:hAnsi="Times New Roman" w:eastAsia="仿宋_GB2312" w:cs="Times New Roman"/>
          <w:b w:val="0"/>
          <w:bCs w:val="0"/>
          <w:i w:val="0"/>
          <w:iCs w:val="0"/>
          <w:caps w:val="0"/>
          <w:color w:val="333333"/>
          <w:spacing w:val="0"/>
          <w:sz w:val="32"/>
          <w:szCs w:val="32"/>
          <w:lang w:eastAsia="zh-CN"/>
        </w:rPr>
        <w:t>与</w:t>
      </w:r>
      <w:r>
        <w:rPr>
          <w:rFonts w:hint="default" w:ascii="Times New Roman" w:hAnsi="Times New Roman" w:eastAsia="仿宋_GB2312" w:cs="Times New Roman"/>
          <w:b w:val="0"/>
          <w:bCs w:val="0"/>
          <w:i w:val="0"/>
          <w:iCs w:val="0"/>
          <w:caps w:val="0"/>
          <w:color w:val="333333"/>
          <w:spacing w:val="0"/>
          <w:sz w:val="32"/>
          <w:szCs w:val="32"/>
          <w:lang w:val="en-US" w:eastAsia="zh-CN"/>
        </w:rPr>
        <w:t>上年度无法对比，</w:t>
      </w:r>
      <w:r>
        <w:rPr>
          <w:rFonts w:hint="default" w:ascii="Times New Roman" w:hAnsi="Times New Roman" w:eastAsia="仿宋_GB2312" w:cs="Times New Roman"/>
          <w:b w:val="0"/>
          <w:bCs w:val="0"/>
          <w:i w:val="0"/>
          <w:iCs w:val="0"/>
          <w:caps w:val="0"/>
          <w:color w:val="333333"/>
          <w:spacing w:val="0"/>
          <w:sz w:val="32"/>
          <w:szCs w:val="32"/>
        </w:rPr>
        <w:t>主要原因是</w:t>
      </w:r>
      <w:r>
        <w:rPr>
          <w:rFonts w:hint="default" w:ascii="Times New Roman" w:hAnsi="Times New Roman" w:eastAsia="仿宋_GB2312" w:cs="Times New Roman"/>
          <w:b w:val="0"/>
          <w:bCs w:val="0"/>
          <w:i w:val="0"/>
          <w:iCs w:val="0"/>
          <w:caps w:val="0"/>
          <w:color w:val="333333"/>
          <w:spacing w:val="0"/>
          <w:sz w:val="32"/>
          <w:szCs w:val="32"/>
          <w:lang w:val="en-US" w:eastAsia="zh-CN"/>
        </w:rPr>
        <w:t>上年度经费由社会事业与群众工作局统一预算与管理。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九、政府性基金预算支出情况说明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2021年没有使用政府性基金预算拨款安排的支出。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十、国有资本经营预算支出情况说明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2021年没有使用国有资本经营预算拨款安排的支出。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十一、其他重要事项的情况说明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（一）机关运行经费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cs="Times New Roman"/>
          <w:b w:val="0"/>
          <w:bCs w:val="0"/>
          <w:sz w:val="32"/>
          <w:szCs w:val="32"/>
        </w:rPr>
        <w:t>2</w:t>
      </w:r>
      <w:r>
        <w:rPr>
          <w:rFonts w:hint="default" w:ascii="Times New Roman" w:hAnsi="Times New Roman" w:eastAsia="仿宋_GB2312" w:cs="Times New Roman"/>
          <w:b w:val="0"/>
          <w:bCs w:val="0"/>
          <w:i w:val="0"/>
          <w:iCs w:val="0"/>
          <w:caps w:val="0"/>
          <w:color w:val="333333"/>
          <w:spacing w:val="0"/>
          <w:sz w:val="32"/>
          <w:szCs w:val="32"/>
        </w:rPr>
        <w:t>020年，遂宁市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的机关运行经费财政拨款预算为</w:t>
      </w:r>
      <w:r>
        <w:rPr>
          <w:rFonts w:hint="default" w:ascii="Times New Roman" w:hAnsi="Times New Roman" w:eastAsia="仿宋_GB2312" w:cs="Times New Roman"/>
          <w:b w:val="0"/>
          <w:bCs w:val="0"/>
          <w:i w:val="0"/>
          <w:iCs w:val="0"/>
          <w:caps w:val="0"/>
          <w:color w:val="333333"/>
          <w:spacing w:val="0"/>
          <w:sz w:val="32"/>
          <w:szCs w:val="32"/>
          <w:lang w:val="en-US" w:eastAsia="zh-CN"/>
        </w:rPr>
        <w:t>38.73</w:t>
      </w:r>
      <w:r>
        <w:rPr>
          <w:rFonts w:hint="default" w:ascii="Times New Roman" w:hAnsi="Times New Roman" w:eastAsia="仿宋_GB2312" w:cs="Times New Roman"/>
          <w:b w:val="0"/>
          <w:bCs w:val="0"/>
          <w:i w:val="0"/>
          <w:iCs w:val="0"/>
          <w:caps w:val="0"/>
          <w:color w:val="333333"/>
          <w:spacing w:val="0"/>
          <w:sz w:val="32"/>
          <w:szCs w:val="32"/>
        </w:rPr>
        <w:t>万元</w:t>
      </w:r>
      <w:r>
        <w:rPr>
          <w:rFonts w:hint="default" w:ascii="Times New Roman" w:hAnsi="Times New Roman" w:eastAsia="仿宋_GB2312" w:cs="Times New Roman"/>
          <w:b w:val="0"/>
          <w:bCs w:val="0"/>
          <w:i w:val="0"/>
          <w:iCs w:val="0"/>
          <w:caps w:val="0"/>
          <w:color w:val="333333"/>
          <w:spacing w:val="0"/>
          <w:sz w:val="32"/>
          <w:szCs w:val="32"/>
          <w:lang w:eastAsia="zh-CN"/>
        </w:rPr>
        <w:t>，上年度经费</w:t>
      </w:r>
      <w:r>
        <w:rPr>
          <w:rFonts w:hint="default" w:ascii="Times New Roman" w:hAnsi="Times New Roman" w:eastAsia="仿宋_GB2312" w:cs="Times New Roman"/>
          <w:b w:val="0"/>
          <w:bCs w:val="0"/>
          <w:i w:val="0"/>
          <w:iCs w:val="0"/>
          <w:caps w:val="0"/>
          <w:color w:val="333333"/>
          <w:spacing w:val="0"/>
          <w:sz w:val="32"/>
          <w:szCs w:val="32"/>
          <w:lang w:val="en-US" w:eastAsia="zh-CN"/>
        </w:rPr>
        <w:t>社会事业与群众工作局统一预算与管理，故无法对比。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（二）政府采购情况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2021年无政府采购项目，未安排政府采购预算。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（三）国有资产占有使用情况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eastAsia="仿宋_GB2312" w:cs="Times New Roman"/>
          <w:b w:val="0"/>
          <w:bCs w:val="0"/>
          <w:i w:val="0"/>
          <w:iCs w:val="0"/>
          <w:caps w:val="0"/>
          <w:color w:val="333333"/>
          <w:spacing w:val="0"/>
          <w:sz w:val="32"/>
          <w:szCs w:val="32"/>
        </w:rPr>
        <w:t>截至2020年底，遂宁市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所属各预算单位共有车辆</w:t>
      </w:r>
      <w:r>
        <w:rPr>
          <w:rFonts w:hint="default" w:ascii="Times New Roman" w:hAnsi="Times New Roman" w:eastAsia="仿宋_GB2312" w:cs="Times New Roman"/>
          <w:b w:val="0"/>
          <w:bCs w:val="0"/>
          <w:i w:val="0"/>
          <w:iCs w:val="0"/>
          <w:caps w:val="0"/>
          <w:color w:val="333333"/>
          <w:spacing w:val="0"/>
          <w:sz w:val="32"/>
          <w:szCs w:val="32"/>
          <w:lang w:val="en-US" w:eastAsia="zh-CN"/>
        </w:rPr>
        <w:t>1</w:t>
      </w:r>
      <w:r>
        <w:rPr>
          <w:rFonts w:hint="default" w:ascii="Times New Roman" w:hAnsi="Times New Roman" w:eastAsia="仿宋_GB2312" w:cs="Times New Roman"/>
          <w:b w:val="0"/>
          <w:bCs w:val="0"/>
          <w:i w:val="0"/>
          <w:iCs w:val="0"/>
          <w:caps w:val="0"/>
          <w:color w:val="333333"/>
          <w:spacing w:val="0"/>
          <w:sz w:val="32"/>
          <w:szCs w:val="32"/>
        </w:rPr>
        <w:t>辆</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rPr>
        <w:t>其中，地厅级领导干部用车0辆、定向保障用车0辆、执法执勤用车</w:t>
      </w:r>
      <w:r>
        <w:rPr>
          <w:rFonts w:hint="default" w:ascii="Times New Roman" w:hAnsi="Times New Roman" w:eastAsia="仿宋_GB2312" w:cs="Times New Roman"/>
          <w:b w:val="0"/>
          <w:bCs w:val="0"/>
          <w:i w:val="0"/>
          <w:iCs w:val="0"/>
          <w:caps w:val="0"/>
          <w:color w:val="333333"/>
          <w:spacing w:val="0"/>
          <w:sz w:val="32"/>
          <w:szCs w:val="32"/>
          <w:lang w:val="en-US" w:eastAsia="zh-CN"/>
        </w:rPr>
        <w:t>1</w:t>
      </w:r>
      <w:r>
        <w:rPr>
          <w:rFonts w:hint="default" w:ascii="Times New Roman" w:hAnsi="Times New Roman" w:eastAsia="仿宋_GB2312" w:cs="Times New Roman"/>
          <w:b w:val="0"/>
          <w:bCs w:val="0"/>
          <w:i w:val="0"/>
          <w:iCs w:val="0"/>
          <w:caps w:val="0"/>
          <w:color w:val="333333"/>
          <w:spacing w:val="0"/>
          <w:sz w:val="32"/>
          <w:szCs w:val="32"/>
        </w:rPr>
        <w:t>辆。单位价值200万元以上大型设备0台（套）。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2021年部门预算未安排购置车辆及单位价值200万元以上大型设备。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（四）绩效目标设置情况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绩效目标是预算编制的前提和基础，按照“费随事定”的原则，2021年遂宁市</w:t>
      </w:r>
      <w:r>
        <w:rPr>
          <w:rFonts w:hint="default" w:ascii="Times New Roman" w:hAnsi="Times New Roman" w:eastAsia="仿宋_GB2312" w:cs="Times New Roman"/>
          <w:b w:val="0"/>
          <w:bCs w:val="0"/>
          <w:i w:val="0"/>
          <w:iCs w:val="0"/>
          <w:caps w:val="0"/>
          <w:color w:val="333333"/>
          <w:spacing w:val="0"/>
          <w:sz w:val="32"/>
          <w:szCs w:val="32"/>
          <w:lang w:eastAsia="zh-CN"/>
        </w:rPr>
        <w:t>市场监督管理局高新区分局</w:t>
      </w:r>
      <w:r>
        <w:rPr>
          <w:rFonts w:hint="default" w:ascii="Times New Roman" w:hAnsi="Times New Roman" w:eastAsia="仿宋_GB2312" w:cs="Times New Roman"/>
          <w:b w:val="0"/>
          <w:bCs w:val="0"/>
          <w:i w:val="0"/>
          <w:iCs w:val="0"/>
          <w:caps w:val="0"/>
          <w:color w:val="333333"/>
          <w:spacing w:val="0"/>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十二、名词解释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1. 一般公共预算拨款收入：指市本级财政当年拨付的资金。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2. 上年结转：指以前年度尚未完成，结转到本年仍按原规定用途继续使用的资金。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3. 基本支出：指为保证机构正常运转，完成日常工作任务而发生的人员支出和公用支出。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4. 项目支出：指在基本支出之外为完成特定行政任务和事业发展目标所发生的支出。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4"/>
        <w:textAlignment w:val="auto"/>
        <w:rPr>
          <w:rFonts w:hint="default" w:ascii="Times New Roman" w:hAnsi="Times New Roman" w:eastAsia="仿宋_GB2312" w:cs="Times New Roman"/>
          <w:b w:val="0"/>
          <w:bCs w:val="0"/>
          <w:i w:val="0"/>
          <w:iCs w:val="0"/>
          <w:caps w:val="0"/>
          <w:color w:val="333333"/>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firstLine="632"/>
        <w:textAlignment w:val="auto"/>
        <w:rPr>
          <w:rFonts w:hint="default" w:ascii="Times New Roman" w:hAnsi="Times New Roman" w:eastAsia="黑体" w:cs="Times New Roman"/>
          <w:b w:val="0"/>
          <w:bCs w:val="0"/>
          <w:i w:val="0"/>
          <w:iCs w:val="0"/>
          <w:caps w:val="0"/>
          <w:color w:val="333333"/>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b w:val="0"/>
          <w:bCs w:val="0"/>
          <w:i w:val="0"/>
          <w:iCs w:val="0"/>
          <w:caps w:val="0"/>
          <w:color w:val="2D66A5"/>
          <w:spacing w:val="0"/>
          <w:kern w:val="0"/>
          <w:sz w:val="32"/>
          <w:szCs w:val="32"/>
          <w:lang w:val="en-US" w:eastAsia="zh-CN" w:bidi="ar"/>
        </w:rPr>
      </w:pPr>
    </w:p>
    <w:bookmarkEnd w:id="0"/>
    <w:sectPr>
      <w:pgSz w:w="11906" w:h="16838"/>
      <w:pgMar w:top="2098" w:right="1134" w:bottom="198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CB4CD"/>
    <w:multiLevelType w:val="singleLevel"/>
    <w:tmpl w:val="DB9CB4CD"/>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79166E3"/>
    <w:rsid w:val="04261609"/>
    <w:rsid w:val="069212ED"/>
    <w:rsid w:val="0A5C4C81"/>
    <w:rsid w:val="110E553C"/>
    <w:rsid w:val="22EA07AD"/>
    <w:rsid w:val="279166E3"/>
    <w:rsid w:val="38AF5A1D"/>
    <w:rsid w:val="574F0077"/>
    <w:rsid w:val="5E4C6A36"/>
    <w:rsid w:val="6A0516C0"/>
    <w:rsid w:val="7D9A0B97"/>
    <w:rsid w:val="7FE713A9"/>
    <w:rsid w:val="BFFDEB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w:basedOn w:val="1"/>
    <w:qFormat/>
    <w:uiPriority w:val="0"/>
    <w:pPr>
      <w:ind w:firstLine="480" w:firstLineChars="150"/>
    </w:pPr>
    <w:rPr>
      <w:rFonts w:ascii="仿宋_GB2312" w:eastAsia="仿宋_GB2312" w:cs="仿宋_GB2312"/>
    </w:rPr>
  </w:style>
  <w:style w:type="paragraph" w:styleId="4">
    <w:name w:val="Normal (Web)"/>
    <w:basedOn w:val="1"/>
    <w:qFormat/>
    <w:uiPriority w:val="0"/>
    <w:rPr>
      <w:sz w:val="24"/>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3446</Words>
  <Characters>3724</Characters>
  <Lines>0</Lines>
  <Paragraphs>0</Paragraphs>
  <TotalTime>1</TotalTime>
  <ScaleCrop>false</ScaleCrop>
  <LinksUpToDate>false</LinksUpToDate>
  <CharactersWithSpaces>3758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2021-06-09T19:05:00Z</dcterms:created>
  <dc:creator>Administrator</dc:creator>
  <cp:lastModifiedBy>HUAWEI</cp:lastModifiedBy>
  <dcterms:modified xsi:type="dcterms:W3CDTF">2022-06-24T08:04:44Z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E4CA6D2457D548E0949442BD5699216C</vt:lpwstr>
  </property>
</Properties>
</file>