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789" w:tblpY="928"/>
        <w:tblOverlap w:val="never"/>
        <w:tblW w:w="95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9548" w:type="dxa"/>
            <w:shd w:val="clear" w:color="auto" w:fill="FFFFFF"/>
            <w:tcMar>
              <w:top w:w="20" w:type="dxa"/>
              <w:bottom w:w="20"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52"/>
                <w:szCs w:val="52"/>
                <w:lang w:val="en-US"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52"/>
                <w:szCs w:val="52"/>
                <w:lang w:val="en-US"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52"/>
                <w:szCs w:val="52"/>
                <w:lang w:val="en-US"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52"/>
                <w:szCs w:val="52"/>
                <w:lang w:val="en-US"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方正小标宋简体" w:eastAsia="方正小标宋简体"/>
                <w:sz w:val="52"/>
                <w:szCs w:val="52"/>
                <w:lang w:val="en-US" w:eastAsia="zh-CN"/>
              </w:rPr>
            </w:pPr>
            <w:r>
              <w:rPr>
                <w:rFonts w:hint="eastAsia" w:ascii="方正小标宋简体" w:eastAsia="方正小标宋简体"/>
                <w:sz w:val="52"/>
                <w:szCs w:val="52"/>
                <w:lang w:val="en-US" w:eastAsia="zh-CN"/>
              </w:rPr>
              <w:t>遂宁高新区公共投资审计中心</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eastAsia="方正小标宋简体"/>
                <w:sz w:val="52"/>
                <w:szCs w:val="52"/>
              </w:rPr>
            </w:pPr>
            <w:r>
              <w:rPr>
                <w:rFonts w:hint="eastAsia" w:ascii="方正小标宋简体" w:eastAsia="方正小标宋简体"/>
                <w:sz w:val="52"/>
                <w:szCs w:val="52"/>
              </w:rPr>
              <w:t>20</w:t>
            </w:r>
            <w:r>
              <w:rPr>
                <w:rFonts w:ascii="方正小标宋简体" w:eastAsia="方正小标宋简体"/>
                <w:sz w:val="52"/>
                <w:szCs w:val="52"/>
              </w:rPr>
              <w:t>2</w:t>
            </w:r>
            <w:r>
              <w:rPr>
                <w:rFonts w:hint="eastAsia" w:ascii="方正小标宋简体" w:eastAsia="方正小标宋简体"/>
                <w:sz w:val="52"/>
                <w:szCs w:val="52"/>
                <w:lang w:val="en-US" w:eastAsia="zh-CN"/>
              </w:rPr>
              <w:t>1</w:t>
            </w:r>
            <w:r>
              <w:rPr>
                <w:rFonts w:hint="eastAsia" w:ascii="方正小标宋简体" w:eastAsia="方正小标宋简体"/>
                <w:sz w:val="52"/>
                <w:szCs w:val="52"/>
              </w:rPr>
              <w:t>年部门预算</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ascii="微软雅黑" w:hAnsi="微软雅黑" w:eastAsia="微软雅黑" w:cs="微软雅黑"/>
                <w:b/>
                <w:bCs/>
                <w:i w:val="0"/>
                <w:iCs w:val="0"/>
                <w:caps w:val="0"/>
                <w:color w:val="2D66A5"/>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48" w:type="dxa"/>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i w:val="0"/>
                <w:iCs w:val="0"/>
                <w:caps w:val="0"/>
                <w:color w:val="333333"/>
                <w:spacing w:val="0"/>
                <w:sz w:val="14"/>
                <w:szCs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48" w:type="dxa"/>
            <w:shd w:val="clear" w:color="auto" w:fill="FFFFFF"/>
            <w:tcMar>
              <w:top w:w="100" w:type="dxa"/>
              <w:bottom w:w="100"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3520" w:firstLineChars="800"/>
              <w:jc w:val="both"/>
              <w:textAlignment w:val="auto"/>
              <w:rPr>
                <w:rFonts w:ascii="黑体" w:hAnsi="宋体" w:eastAsia="黑体" w:cs="黑体"/>
                <w:i w:val="0"/>
                <w:iCs w:val="0"/>
                <w:caps w:val="0"/>
                <w:color w:val="333333"/>
                <w:spacing w:val="0"/>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3520" w:firstLineChars="800"/>
              <w:jc w:val="both"/>
              <w:textAlignment w:val="auto"/>
              <w:rPr>
                <w:rFonts w:ascii="黑体" w:hAnsi="宋体" w:eastAsia="黑体" w:cs="黑体"/>
                <w:i w:val="0"/>
                <w:iCs w:val="0"/>
                <w:caps w:val="0"/>
                <w:color w:val="333333"/>
                <w:spacing w:val="0"/>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3520" w:firstLineChars="800"/>
              <w:jc w:val="both"/>
              <w:textAlignment w:val="auto"/>
              <w:rPr>
                <w:rFonts w:ascii="黑体" w:hAnsi="宋体" w:eastAsia="黑体" w:cs="黑体"/>
                <w:i w:val="0"/>
                <w:iCs w:val="0"/>
                <w:caps w:val="0"/>
                <w:color w:val="333333"/>
                <w:spacing w:val="0"/>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3520" w:firstLineChars="800"/>
              <w:jc w:val="both"/>
              <w:textAlignment w:val="auto"/>
              <w:rPr>
                <w:rFonts w:ascii="黑体" w:hAnsi="宋体" w:eastAsia="黑体" w:cs="黑体"/>
                <w:i w:val="0"/>
                <w:iCs w:val="0"/>
                <w:caps w:val="0"/>
                <w:color w:val="333333"/>
                <w:spacing w:val="0"/>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3520" w:firstLineChars="800"/>
              <w:jc w:val="both"/>
              <w:textAlignment w:val="auto"/>
              <w:rPr>
                <w:rFonts w:ascii="黑体" w:hAnsi="宋体" w:eastAsia="黑体" w:cs="黑体"/>
                <w:i w:val="0"/>
                <w:iCs w:val="0"/>
                <w:caps w:val="0"/>
                <w:color w:val="333333"/>
                <w:spacing w:val="0"/>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3520" w:firstLineChars="800"/>
              <w:jc w:val="both"/>
              <w:textAlignment w:val="auto"/>
              <w:rPr>
                <w:rFonts w:ascii="黑体" w:hAnsi="宋体" w:eastAsia="黑体" w:cs="黑体"/>
                <w:i w:val="0"/>
                <w:iCs w:val="0"/>
                <w:caps w:val="0"/>
                <w:color w:val="333333"/>
                <w:spacing w:val="0"/>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3520" w:firstLineChars="800"/>
              <w:jc w:val="both"/>
              <w:textAlignment w:val="auto"/>
              <w:rPr>
                <w:rFonts w:ascii="黑体" w:hAnsi="宋体" w:eastAsia="黑体" w:cs="黑体"/>
                <w:i w:val="0"/>
                <w:iCs w:val="0"/>
                <w:caps w:val="0"/>
                <w:color w:val="333333"/>
                <w:spacing w:val="0"/>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3520" w:firstLineChars="800"/>
              <w:jc w:val="both"/>
              <w:textAlignment w:val="auto"/>
              <w:rPr>
                <w:rFonts w:ascii="黑体" w:hAnsi="宋体" w:eastAsia="黑体" w:cs="黑体"/>
                <w:i w:val="0"/>
                <w:iCs w:val="0"/>
                <w:caps w:val="0"/>
                <w:color w:val="333333"/>
                <w:spacing w:val="0"/>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3520" w:firstLineChars="800"/>
              <w:jc w:val="both"/>
              <w:textAlignment w:val="auto"/>
              <w:rPr>
                <w:rFonts w:ascii="黑体" w:hAnsi="宋体" w:eastAsia="黑体" w:cs="黑体"/>
                <w:i w:val="0"/>
                <w:iCs w:val="0"/>
                <w:caps w:val="0"/>
                <w:color w:val="333333"/>
                <w:spacing w:val="0"/>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right="0" w:firstLine="3520" w:firstLineChars="800"/>
              <w:jc w:val="both"/>
              <w:textAlignment w:val="auto"/>
              <w:rPr>
                <w:rFonts w:hint="eastAsia" w:ascii="黑体" w:hAnsi="黑体" w:eastAsia="黑体" w:cs="Times New Roman"/>
                <w:kern w:val="2"/>
                <w:sz w:val="44"/>
                <w:szCs w:val="44"/>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right="0" w:firstLine="3520" w:firstLineChars="800"/>
              <w:jc w:val="both"/>
              <w:textAlignment w:val="auto"/>
              <w:rPr>
                <w:rFonts w:hint="eastAsia" w:ascii="黑体" w:hAnsi="黑体" w:eastAsia="黑体" w:cs="Times New Roman"/>
                <w:kern w:val="2"/>
                <w:sz w:val="44"/>
                <w:szCs w:val="44"/>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right="0" w:firstLine="3520" w:firstLineChars="800"/>
              <w:jc w:val="both"/>
              <w:textAlignment w:val="auto"/>
              <w:rPr>
                <w:rFonts w:hint="eastAsia" w:ascii="黑体" w:hAnsi="黑体" w:eastAsia="黑体" w:cs="Times New Roman"/>
                <w:kern w:val="2"/>
                <w:sz w:val="44"/>
                <w:szCs w:val="44"/>
                <w:lang w:val="en-US" w:eastAsia="zh-CN" w:bidi="ar-SA"/>
              </w:rPr>
            </w:pPr>
            <w:r>
              <w:rPr>
                <w:rFonts w:hint="eastAsia" w:ascii="黑体" w:hAnsi="黑体" w:eastAsia="黑体" w:cs="Times New Roman"/>
                <w:kern w:val="2"/>
                <w:sz w:val="44"/>
                <w:szCs w:val="44"/>
                <w:lang w:val="en-US" w:eastAsia="zh-CN" w:bidi="ar-SA"/>
              </w:rPr>
              <w:t>目   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jc w:val="center"/>
              <w:textAlignment w:val="auto"/>
              <w:rPr>
                <w:sz w:val="27"/>
                <w:szCs w:val="27"/>
              </w:rPr>
            </w:pPr>
            <w:r>
              <w:rPr>
                <w:rFonts w:ascii="仿宋_GB2312" w:hAnsi="微软雅黑" w:eastAsia="仿宋_GB2312" w:cs="仿宋_GB2312"/>
                <w:i w:val="0"/>
                <w:iCs w:val="0"/>
                <w:caps w:val="0"/>
                <w:color w:val="333333"/>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textAlignment w:val="auto"/>
              <w:rPr>
                <w:rFonts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第一部分  2021年部门预算编制说明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44"/>
              </w:rPr>
            </w:pPr>
            <w:r>
              <w:rPr>
                <w:rFonts w:hint="eastAsia" w:ascii="仿宋_GB2312" w:hAnsi="Times New Roman" w:eastAsia="仿宋_GB2312" w:cs="Times New Roman"/>
                <w:sz w:val="32"/>
                <w:szCs w:val="44"/>
              </w:rPr>
              <w:t>一、基本职能及主要工作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44"/>
              </w:rPr>
            </w:pPr>
            <w:r>
              <w:rPr>
                <w:rFonts w:hint="eastAsia" w:ascii="仿宋_GB2312" w:hAnsi="Times New Roman" w:eastAsia="仿宋_GB2312" w:cs="Times New Roman"/>
                <w:sz w:val="32"/>
                <w:szCs w:val="44"/>
              </w:rPr>
              <w:t>二、预算单位基本情况</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cs="Times New Roman"/>
                <w:sz w:val="32"/>
                <w:szCs w:val="44"/>
                <w:lang w:val="en-US" w:eastAsia="zh-CN"/>
              </w:rPr>
            </w:pPr>
            <w:r>
              <w:rPr>
                <w:rFonts w:hint="eastAsia" w:ascii="仿宋_GB2312" w:hAnsi="Times New Roman" w:eastAsia="仿宋_GB2312" w:cs="Times New Roman"/>
                <w:sz w:val="32"/>
                <w:szCs w:val="44"/>
              </w:rPr>
              <w:t>三、收支预算情况说明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cs="Times New Roman"/>
                <w:sz w:val="32"/>
                <w:szCs w:val="44"/>
                <w:lang w:val="en-US" w:eastAsia="zh-CN"/>
              </w:rPr>
            </w:pPr>
            <w:r>
              <w:rPr>
                <w:rFonts w:hint="eastAsia" w:ascii="仿宋_GB2312" w:hAnsi="Times New Roman" w:eastAsia="仿宋_GB2312" w:cs="Times New Roman"/>
                <w:sz w:val="32"/>
                <w:szCs w:val="44"/>
              </w:rPr>
              <w:t>四、财政拨款收支预算情况说明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44"/>
              </w:rPr>
            </w:pPr>
            <w:r>
              <w:rPr>
                <w:rFonts w:hint="eastAsia" w:ascii="仿宋_GB2312" w:hAnsi="Times New Roman" w:eastAsia="仿宋_GB2312" w:cs="Times New Roman"/>
                <w:sz w:val="32"/>
                <w:szCs w:val="44"/>
              </w:rPr>
              <w:t>五、一般公共预算当年拨款情况说明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44"/>
              </w:rPr>
            </w:pPr>
            <w:r>
              <w:rPr>
                <w:rFonts w:hint="eastAsia" w:ascii="仿宋_GB2312" w:hAnsi="Times New Roman" w:eastAsia="仿宋_GB2312" w:cs="Times New Roman"/>
                <w:sz w:val="32"/>
                <w:szCs w:val="44"/>
              </w:rPr>
              <w:t>六、一般公共预算基本支出情况说明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44"/>
              </w:rPr>
            </w:pPr>
            <w:r>
              <w:rPr>
                <w:rFonts w:hint="eastAsia" w:ascii="仿宋_GB2312" w:hAnsi="Times New Roman" w:eastAsia="仿宋_GB2312" w:cs="Times New Roman"/>
                <w:sz w:val="32"/>
                <w:szCs w:val="44"/>
              </w:rPr>
              <w:t>七、“三公”经费财政拨款预算安排情况说明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44"/>
              </w:rPr>
            </w:pPr>
            <w:r>
              <w:rPr>
                <w:rFonts w:hint="eastAsia" w:ascii="仿宋_GB2312" w:hAnsi="Times New Roman" w:eastAsia="仿宋_GB2312" w:cs="Times New Roman"/>
                <w:sz w:val="32"/>
                <w:szCs w:val="44"/>
              </w:rPr>
              <w:t>八、“会议费”“培训费”“差旅费”财政拨款预算安排情况说明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44"/>
              </w:rPr>
            </w:pPr>
            <w:r>
              <w:rPr>
                <w:rFonts w:hint="eastAsia" w:ascii="仿宋_GB2312" w:hAnsi="Times New Roman" w:eastAsia="仿宋_GB2312" w:cs="Times New Roman"/>
                <w:sz w:val="32"/>
                <w:szCs w:val="44"/>
              </w:rPr>
              <w:t>九、政府性基金预算支出情况说明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44"/>
              </w:rPr>
            </w:pPr>
            <w:r>
              <w:rPr>
                <w:rFonts w:hint="eastAsia" w:ascii="仿宋_GB2312" w:hAnsi="Times New Roman" w:eastAsia="仿宋_GB2312" w:cs="Times New Roman"/>
                <w:sz w:val="32"/>
                <w:szCs w:val="44"/>
              </w:rPr>
              <w:t>十、国有资本经营预算支出情况说明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44"/>
              </w:rPr>
            </w:pPr>
            <w:r>
              <w:rPr>
                <w:rFonts w:hint="eastAsia" w:ascii="仿宋_GB2312" w:hAnsi="Times New Roman" w:eastAsia="仿宋_GB2312" w:cs="Times New Roman"/>
                <w:sz w:val="32"/>
                <w:szCs w:val="44"/>
              </w:rPr>
              <w:t>十一、其他重要事项的情况说明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44"/>
              </w:rPr>
            </w:pPr>
            <w:r>
              <w:rPr>
                <w:rFonts w:hint="eastAsia" w:ascii="仿宋_GB2312" w:hAnsi="Times New Roman" w:eastAsia="仿宋_GB2312" w:cs="Times New Roman"/>
                <w:sz w:val="32"/>
                <w:szCs w:val="44"/>
              </w:rPr>
              <w:t>十二、重要名词解释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第二部分   2021年部门预算报表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表1. 部门收支总表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表1-1. 部门收入总表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表1-2. 部门支出总表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表2. 财政拨款收支预算总表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表2-1. 财政拨款支出预算表（政府经济分类科目）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表3. 一般公共预算支出预算表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表3-1. 一般公共预算基本支出预算表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表3-2. 一般公共预算项目支出预算表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表3-3. 一般公共预算“三公”经费支出预算表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表4. 政府性基金支出预算表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表4-1. 政府性基金预算“三公”经费支出预算表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表5. 国有资本经营预算支出预算表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第三部分   2021年部门预算绩效目标表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表1. 部门整体支出绩效目标表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表2. 部门预算项目支出绩效目标表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sz w:val="27"/>
                <w:szCs w:val="27"/>
              </w:rPr>
            </w:pPr>
            <w:r>
              <w:rPr>
                <w:rFonts w:hint="eastAsia" w:ascii="仿宋_GB2312" w:hAnsi="微软雅黑" w:eastAsia="仿宋_GB2312" w:cs="仿宋_GB2312"/>
                <w:i w:val="0"/>
                <w:iCs w:val="0"/>
                <w:caps w:val="0"/>
                <w:color w:val="333333"/>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sz w:val="27"/>
                <w:szCs w:val="27"/>
              </w:rPr>
            </w:pPr>
            <w:r>
              <w:rPr>
                <w:rFonts w:hint="eastAsia" w:ascii="仿宋_GB2312" w:hAnsi="微软雅黑" w:eastAsia="仿宋_GB2312" w:cs="仿宋_GB2312"/>
                <w:i w:val="0"/>
                <w:iCs w:val="0"/>
                <w:caps w:val="0"/>
                <w:color w:val="333333"/>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textAlignment w:val="auto"/>
              <w:rPr>
                <w:rFonts w:hint="eastAsia" w:ascii="仿宋_GB2312" w:hAnsi="微软雅黑" w:eastAsia="仿宋_GB2312" w:cs="仿宋_GB2312"/>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textAlignment w:val="auto"/>
              <w:rPr>
                <w:rFonts w:hint="eastAsia" w:ascii="仿宋_GB2312" w:hAnsi="微软雅黑" w:eastAsia="仿宋_GB2312" w:cs="仿宋_GB2312"/>
                <w:i w:val="0"/>
                <w:iCs w:val="0"/>
                <w:caps w:val="0"/>
                <w:color w:val="333333"/>
                <w:spacing w:val="0"/>
                <w:sz w:val="27"/>
                <w:szCs w:val="27"/>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textAlignment w:val="auto"/>
              <w:rPr>
                <w:rFonts w:hint="eastAsia" w:ascii="仿宋_GB2312" w:hAnsi="微软雅黑" w:eastAsia="仿宋_GB2312" w:cs="仿宋_GB2312"/>
                <w:i w:val="0"/>
                <w:iCs w:val="0"/>
                <w:caps w:val="0"/>
                <w:color w:val="333333"/>
                <w:spacing w:val="0"/>
                <w:sz w:val="27"/>
                <w:szCs w:val="27"/>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textAlignment w:val="auto"/>
              <w:rPr>
                <w:rFonts w:hint="eastAsia" w:ascii="仿宋_GB2312" w:hAnsi="微软雅黑" w:eastAsia="仿宋_GB2312" w:cs="仿宋_GB2312"/>
                <w:i w:val="0"/>
                <w:iCs w:val="0"/>
                <w:caps w:val="0"/>
                <w:color w:val="333333"/>
                <w:spacing w:val="0"/>
                <w:sz w:val="27"/>
                <w:szCs w:val="27"/>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textAlignment w:val="auto"/>
              <w:rPr>
                <w:sz w:val="27"/>
                <w:szCs w:val="27"/>
              </w:rPr>
            </w:pPr>
            <w:r>
              <w:rPr>
                <w:rFonts w:hint="eastAsia" w:ascii="仿宋_GB2312" w:hAnsi="微软雅黑" w:eastAsia="仿宋_GB2312" w:cs="仿宋_GB2312"/>
                <w:i w:val="0"/>
                <w:iCs w:val="0"/>
                <w:caps w:val="0"/>
                <w:color w:val="333333"/>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1320" w:firstLineChars="300"/>
              <w:jc w:val="both"/>
              <w:textAlignment w:val="auto"/>
              <w:rPr>
                <w:rFonts w:hint="eastAsia" w:ascii="黑体" w:hAnsi="宋体" w:eastAsia="黑体" w:cs="黑体"/>
                <w:i w:val="0"/>
                <w:iCs w:val="0"/>
                <w:caps w:val="0"/>
                <w:color w:val="333333"/>
                <w:spacing w:val="0"/>
                <w:sz w:val="44"/>
                <w:szCs w:val="44"/>
              </w:rPr>
            </w:pPr>
          </w:p>
          <w:p>
            <w:pPr>
              <w:keepNext w:val="0"/>
              <w:keepLines w:val="0"/>
              <w:pageBreakBefore w:val="0"/>
              <w:kinsoku/>
              <w:wordWrap/>
              <w:overflowPunct/>
              <w:topLinePunct w:val="0"/>
              <w:autoSpaceDE/>
              <w:autoSpaceDN/>
              <w:bidi w:val="0"/>
              <w:adjustRightInd/>
              <w:snapToGrid/>
              <w:spacing w:line="580" w:lineRule="exact"/>
              <w:ind w:firstLine="1760" w:firstLineChars="400"/>
              <w:jc w:val="both"/>
              <w:textAlignment w:val="auto"/>
              <w:rPr>
                <w:rFonts w:hint="eastAsia" w:ascii="方正小标宋简体"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80" w:lineRule="exact"/>
              <w:ind w:firstLine="1760" w:firstLineChars="400"/>
              <w:jc w:val="both"/>
              <w:textAlignment w:val="auto"/>
              <w:rPr>
                <w:rFonts w:hint="eastAsia" w:ascii="方正小标宋简体"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80" w:lineRule="exact"/>
              <w:ind w:firstLine="1760" w:firstLineChars="400"/>
              <w:jc w:val="both"/>
              <w:textAlignment w:val="auto"/>
              <w:rPr>
                <w:rFonts w:hint="eastAsia" w:ascii="方正小标宋简体"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80" w:lineRule="exact"/>
              <w:ind w:firstLine="1760" w:firstLineChars="400"/>
              <w:jc w:val="both"/>
              <w:textAlignment w:val="auto"/>
              <w:rPr>
                <w:rFonts w:hint="eastAsia" w:ascii="方正小标宋简体"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80" w:lineRule="exact"/>
              <w:ind w:firstLine="1760" w:firstLineChars="400"/>
              <w:jc w:val="both"/>
              <w:textAlignment w:val="auto"/>
              <w:rPr>
                <w:rFonts w:hint="eastAsia" w:ascii="方正小标宋简体"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80" w:lineRule="exact"/>
              <w:ind w:firstLine="1760" w:firstLineChars="400"/>
              <w:jc w:val="both"/>
              <w:textAlignment w:val="auto"/>
              <w:rPr>
                <w:rFonts w:hint="eastAsia" w:ascii="方正小标宋简体"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80" w:lineRule="exact"/>
              <w:ind w:firstLine="1760" w:firstLineChars="400"/>
              <w:jc w:val="both"/>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遂宁高新区公共投资审计中心</w:t>
            </w:r>
          </w:p>
          <w:p>
            <w:pPr>
              <w:keepNext w:val="0"/>
              <w:keepLines w:val="0"/>
              <w:pageBreakBefore w:val="0"/>
              <w:kinsoku/>
              <w:wordWrap/>
              <w:overflowPunct/>
              <w:topLinePunct w:val="0"/>
              <w:autoSpaceDE/>
              <w:autoSpaceDN/>
              <w:bidi w:val="0"/>
              <w:adjustRightInd/>
              <w:snapToGrid/>
              <w:spacing w:line="580" w:lineRule="exact"/>
              <w:ind w:firstLine="2200" w:firstLineChars="500"/>
              <w:jc w:val="both"/>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2021年部门预算编制说明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sz w:val="27"/>
                <w:szCs w:val="27"/>
              </w:rPr>
            </w:pPr>
            <w:r>
              <w:rPr>
                <w:rFonts w:hint="eastAsia" w:ascii="黑体" w:hAnsi="宋体" w:eastAsia="黑体" w:cs="黑体"/>
                <w:i w:val="0"/>
                <w:iCs w:val="0"/>
                <w:caps w:val="0"/>
                <w:color w:val="333333"/>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40" w:firstLineChars="20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一、基本职能及主要工作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4"/>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（一） 遂宁高新区公共投资审计中心职能简介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4"/>
              <w:textAlignment w:val="auto"/>
              <w:rPr>
                <w:rFonts w:hint="eastAsia" w:ascii="Times New Roman" w:hAnsi="Times New Roman" w:eastAsia="仿宋_GB2312" w:cs="Times New Roman"/>
                <w:kern w:val="2"/>
                <w:sz w:val="32"/>
                <w:szCs w:val="24"/>
                <w:lang w:val="en-US" w:eastAsia="zh-CN" w:bidi="ar-SA"/>
              </w:rPr>
            </w:pPr>
            <w:r>
              <w:rPr>
                <w:rFonts w:hint="eastAsia"/>
                <w:lang w:val="en-US" w:eastAsia="zh-CN"/>
              </w:rPr>
              <w:t xml:space="preserve"> </w:t>
            </w:r>
            <w:r>
              <w:rPr>
                <w:rFonts w:hint="eastAsia" w:ascii="Times New Roman" w:hAnsi="Times New Roman" w:eastAsia="仿宋_GB2312" w:cs="Times New Roman"/>
                <w:kern w:val="2"/>
                <w:sz w:val="32"/>
                <w:szCs w:val="24"/>
                <w:lang w:val="en-US" w:eastAsia="zh-CN" w:bidi="ar-SA"/>
              </w:rPr>
              <w:t>主要承担政府及国有企业投资项目的审计事务性工作。</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00" w:afterAutospacing="0" w:line="580" w:lineRule="exact"/>
              <w:ind w:left="0" w:right="0" w:firstLine="634"/>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遂宁高新区公共投资审计中心2021年重点工作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是扎实推进审计质控和风险防控。探索新方法新方式，进一步优化审计计划、执行、审理和整改“四分离”，全面落实好审计项目审计组织方式“两统筹”；探索审理环节提前介入项目，将质控管理关口前移，实现审理功能贯穿审计项目实施全过程，推进审计计划的严格执行；着力建立审计业务新流程和审计质量控制新机制，强化审计现场管理和跟踪管理，加强审计质量的动态监督，实现审计质控闭环管理；加大内部质量监督检查力度，实现质检常态化，完善质控奖惩机制。二是进一步创新内部审计工作。继续探索建立适应园区区情的内审工作新模式，为园区融入成渝双城经济圈提供审计支持，在“</w:t>
            </w:r>
            <w:r>
              <w:rPr>
                <w:rFonts w:hint="default" w:ascii="Times New Roman" w:hAnsi="Times New Roman" w:eastAsia="仿宋_GB2312" w:cs="Times New Roman"/>
                <w:kern w:val="2"/>
                <w:sz w:val="32"/>
                <w:szCs w:val="32"/>
                <w:lang w:val="en-US" w:eastAsia="zh-CN" w:bidi="ar-SA"/>
              </w:rPr>
              <w:t>治已病、防未病”</w:t>
            </w:r>
            <w:r>
              <w:rPr>
                <w:rFonts w:hint="eastAsia" w:ascii="Times New Roman" w:hAnsi="Times New Roman" w:eastAsia="仿宋_GB2312" w:cs="Times New Roman"/>
                <w:kern w:val="2"/>
                <w:sz w:val="32"/>
                <w:szCs w:val="32"/>
                <w:lang w:val="en-US" w:eastAsia="zh-CN" w:bidi="ar-SA"/>
              </w:rPr>
              <w:t>上下狠功夫。进一步强化对内部审计工作的指导和监督；落实推进内审工作深调研成果转化；整合内审力量，探索内审部门之间交叉审计，充分发挥投资审计中心监督职能，推进审计全覆盖，实现应审尽审，完成2021年年度审计计划。三是持续推进精细化管理和队伍建设。进一步提升队伍业务素质和综合能力，持续加强队伍思想和作风建设，重视党风廉政建设；更加注重内部精细化管理，加强行政、廉政风险管控；以“学习提能、实战锻能、帮带促能”为目标，开展全方位学习提升培训，推进审计队伍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right="0" w:firstLine="640" w:firstLineChars="20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二、预算单位基本情况</w:t>
            </w:r>
          </w:p>
          <w:p>
            <w:pPr>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遂宁高新区公共投资审计中心</w:t>
            </w:r>
            <w:r>
              <w:rPr>
                <w:rFonts w:hint="eastAsia" w:ascii="Times New Roman" w:hAnsi="Times New Roman" w:eastAsia="仿宋_GB2312"/>
                <w:sz w:val="32"/>
                <w:szCs w:val="32"/>
              </w:rPr>
              <w:t>下属二级预算单位</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个，其中行政单位</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个，参照公务员法管理的事业单位</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个，其他事业单位</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right="0" w:firstLine="640" w:firstLineChars="20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三、收支预算情况说明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640" w:firstLineChars="200"/>
              <w:textAlignment w:val="auto"/>
              <w:rPr>
                <w:rFonts w:hint="default"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按照综合预算的原则，遂宁高新区公共投资审计中心所有收入和支出均纳入部门预算管理。收入包括：一般公共预算拨款收入；支出包括：一般公共服务支出。遂宁高新区公共投资审计中心2021年收支总预算232.51万元，较2020年收支预算总数减少287.7万元，主要是2021年基本支出中人员经费减少、项目支出减少。</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321" w:firstLineChars="100"/>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（一）收入预算情况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640" w:firstLineChars="200"/>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遂宁高新区公共投资审计中心2021年收入预算232.51万元，其中：一般公共预算拨款收入232.51万元，占100%。</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321" w:firstLineChars="100"/>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（二）支出预算情况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default" w:eastAsia="仿宋_GB2312"/>
                <w:sz w:val="27"/>
                <w:szCs w:val="27"/>
                <w:lang w:val="en-US" w:eastAsia="zh-CN"/>
              </w:rPr>
            </w:pPr>
            <w:r>
              <w:rPr>
                <w:rFonts w:hint="eastAsia" w:ascii="Times New Roman" w:hAnsi="Times New Roman" w:eastAsia="仿宋_GB2312" w:cstheme="minorBidi"/>
                <w:kern w:val="2"/>
                <w:sz w:val="32"/>
                <w:szCs w:val="32"/>
                <w:lang w:val="en-US" w:eastAsia="zh-CN" w:bidi="ar-SA"/>
              </w:rPr>
              <w:t>遂宁高新区公共投资审计中心2021年支出预算232.51万元，其中：基本支出20.44万元，占8.80%；项目支出212.07万元，占91.20%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40" w:firstLineChars="20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四、财政拨款收支预算情况说明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right="0"/>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遂宁高新区公共投资审计中心，2021年收支总预算232.51万元，较2020年收支预算总数减少287.7万元，主要是2021年基本支出中人员经费减少、项目支出减少。</w:t>
            </w:r>
            <w:bookmarkStart w:id="0" w:name="_GoBack"/>
            <w:bookmarkEnd w:id="0"/>
            <w:r>
              <w:rPr>
                <w:rFonts w:hint="eastAsia" w:ascii="Times New Roman" w:hAnsi="Times New Roman" w:eastAsia="仿宋_GB2312" w:cstheme="minorBidi"/>
                <w:kern w:val="2"/>
                <w:sz w:val="32"/>
                <w:szCs w:val="32"/>
                <w:lang w:val="en-US" w:eastAsia="zh-CN" w:bidi="ar-SA"/>
              </w:rPr>
              <w:t>收入包括：本年一般公共预算拨款收入232.51万元；支出包括：一般公共服务支出232.51万元。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40" w:firstLineChars="20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五、一般公共预算当年拨款情况说明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321" w:firstLineChars="100"/>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（一）一般公共预算当年拨款规模变化情况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遂宁高新区公共投资审计中心，2021年收支总预算232.51万元，较2020年收支预算总数减少287.7万元，主要是2021年基本支出中人员经费减少、项目支出减少。</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321" w:firstLineChars="100"/>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（二）一般公共预算当年拨款结构情况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right="0" w:firstLine="320" w:firstLineChars="100"/>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一般公共服务支出232.51万元，占100%。</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321" w:firstLineChars="100"/>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（三）一般公共预算当年拨款具体使用情况</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1. 一般公共服务（类）审计事务（款）事业运行（项）2021年预算数为18.68万元，主要用于：单位机构正常运行、开展日常工作的基本支出，包括其他工资福利支出等人员经费以及办公费、印刷费、邮电费、差旅费、培训费、其他交通费、其他商品和服务支出等日常公用经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2. 一般公共服务（类）审计事务（款）行政运行（项）2021年预算数为1.76万元，主要用于：公务接待、福利费。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3.一般公共服务（类）审计事务（款）审计业务（项）2021年预算数为212.07万元，主要用于：咨询服务费、劳务费等。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right="0" w:firstLine="640" w:firstLineChars="20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六、一般公共预算基本支出情况说明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遂宁高新区公共投资审计中心，2021年一般公共预算基本支出20.44万元，其中：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default"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人员经费2.4万元，主要包括：其他工资福利支出。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公用经费18.04万元，主要包括：邮电费差旅费、维修（护）费、培训费、福利费、其他商品和服务支出等。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40" w:firstLineChars="20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七、“三公”经费财政拨款预算安排情况说明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遂宁高新区公共投资审计中心2021年“三公”经费财政拨款预算数0.9万元，其中：因公出国（境）经费0万元，公务接待费0.9万元，公务用车购置及运行维护费0万元。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（一）因公出国（境）经费与上年持平，主要原因两年年初均未预算因公出国（境）。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（二）公务接待费公务接待费与上年减少0.6万元。主要原因是2021年公务接待减少。2021年公务接待费计划用于公务接待活动中开支的用餐费等。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（三）公务用车购置及运行维护费。部门现有公务用车0辆，其中：轿车0辆，越野车0辆，大型客、货车0辆。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2021年未安排公务用车购置费。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2021年未安排公务用车运行维护费。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40" w:firstLineChars="20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八、“会议费”“培训费”“差旅费”财政拨款预算安排情况说明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遂宁高新区公共投资审计中心2021年“会议费”“培训费”“差旅费”财政拨款预算数4.1万元，其中：会议费0万元，培训费1.3万元，差旅费2.8万元。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（一）会议费较2020年预算保持不变。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default"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（二）培训费较2020年预算增加0.6万元，主要是2021年培训业务增多。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default"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（三）差旅费较2020年预算减少1.84万元，主要是2021年出差减少。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40" w:firstLineChars="20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九、政府性基金预算支出情况说明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遂宁高新区公共投资审计中心2021年没有使用政府性基金预算拨款安排的支出。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40" w:firstLineChars="20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十、国有资本经营预算支出情况说明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遂宁高新区公共投资审计中心2021年没有使用国有资本经营预算拨款安排的支出。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40" w:firstLineChars="200"/>
              <w:textAlignment w:val="auto"/>
              <w:rPr>
                <w:rFonts w:hint="eastAsia" w:ascii="黑体" w:hAnsi="黑体" w:eastAsia="黑体" w:cs="Times New Roman"/>
                <w:kern w:val="2"/>
                <w:sz w:val="32"/>
                <w:szCs w:val="44"/>
                <w:lang w:val="en-US" w:eastAsia="zh-CN" w:bidi="ar-SA"/>
              </w:rPr>
            </w:pPr>
            <w:r>
              <w:rPr>
                <w:rFonts w:hint="eastAsia" w:ascii="黑体" w:hAnsi="黑体" w:eastAsia="黑体" w:cs="Times New Roman"/>
                <w:kern w:val="2"/>
                <w:sz w:val="32"/>
                <w:szCs w:val="44"/>
                <w:lang w:val="en-US" w:eastAsia="zh-CN" w:bidi="ar-SA"/>
              </w:rPr>
              <w:t>十一、其他重要事项的情况说明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643" w:firstLineChars="200"/>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（一）机关运行经费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遂宁高新区公共投资审计中心为事业单位，按规定未使用机关运行的相关科目。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643" w:firstLineChars="200"/>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（二）政府采购情况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default" w:ascii="Times New Roman" w:hAnsi="Times New Roman" w:eastAsia="仿宋_GB2312" w:cstheme="minorBidi"/>
                <w:kern w:val="2"/>
                <w:sz w:val="32"/>
                <w:szCs w:val="32"/>
                <w:lang w:val="en-US" w:eastAsia="zh-CN" w:bidi="ar-SA"/>
              </w:rPr>
            </w:pPr>
            <w:r>
              <w:rPr>
                <w:rFonts w:hint="eastAsia" w:ascii="仿宋_GB2312" w:hAnsi="Times New Roman" w:eastAsia="仿宋_GB2312" w:cs="Times New Roman"/>
                <w:kern w:val="2"/>
                <w:sz w:val="32"/>
                <w:szCs w:val="44"/>
                <w:lang w:val="en-US" w:eastAsia="zh-CN" w:bidi="ar-SA"/>
              </w:rPr>
              <w:t>遂宁高新区公共投资审计中心2021年安排政府采购预算0.84万元，较2020年减少13.16万元，主要是2021年政府采购项目减少。</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643" w:firstLineChars="200"/>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（三）国有资产占有使用情况</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截至2020年底，遂宁高新区公共投资审计中心共有车辆0辆，其中，地厅级领导干部用车0辆、定向保障用车0辆、执法执勤用车0辆。单位价值200万元以上大型设备0台（套）。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right="0" w:firstLine="640" w:firstLineChars="200"/>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2021年部门预算未安排购置车辆及单位价值200万元以上大型设备。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643" w:firstLineChars="200"/>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（四）绩效目标设置情况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632"/>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绩效目标是预算编制的前提和基础，按照“费随事定”的原则，2021年遂宁高新区公共投资审计中心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0" w:afterAutospacing="0" w:line="580" w:lineRule="exact"/>
              <w:ind w:right="0" w:rightChars="0" w:firstLine="643" w:firstLineChars="200"/>
              <w:textAlignment w:val="auto"/>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十二、名词解释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1. 一般公共预算拨款收入：指市本级财政当年拨付的资金。</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2.一般公共服务（类）政府办公厅（室）及相关机构事务（款）事业运行（项）：指事业单位用于保障机构正常运行、开展日常工作的基本支出。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3.教育（类）进修及培训（款）培训支出（项）：指为配合部门业务开展，用于部门内部在职人员参加相关业务工作外部培训的经费支出。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4. 基本支出：指为保证机构正常运转，完成日常工作任务而发生的人员支出和公用支出。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5. 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2"/>
                <w:sz w:val="32"/>
                <w:szCs w:val="44"/>
                <w:lang w:val="en-US" w:eastAsia="zh-CN" w:bidi="ar-SA"/>
              </w:rPr>
            </w:pPr>
            <w:r>
              <w:rPr>
                <w:rFonts w:hint="eastAsia" w:ascii="仿宋_GB2312" w:hAnsi="Times New Roman" w:eastAsia="仿宋_GB2312" w:cs="Times New Roman"/>
                <w:kern w:val="2"/>
                <w:sz w:val="32"/>
                <w:szCs w:val="44"/>
                <w:lang w:val="en-US" w:eastAsia="zh-CN" w:bidi="ar-SA"/>
              </w:rPr>
              <w:t>6.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2"/>
                <w:sz w:val="32"/>
                <w:szCs w:val="44"/>
                <w:lang w:val="en-US" w:eastAsia="zh-CN" w:bidi="ar-SA"/>
              </w:rPr>
            </w:pPr>
          </w:p>
          <w:p>
            <w:pPr>
              <w:keepNext w:val="0"/>
              <w:keepLines w:val="0"/>
              <w:pageBreakBefore w:val="0"/>
              <w:kinsoku/>
              <w:wordWrap/>
              <w:overflowPunct/>
              <w:topLinePunct w:val="0"/>
              <w:autoSpaceDE/>
              <w:autoSpaceDN/>
              <w:bidi w:val="0"/>
              <w:adjustRightInd/>
              <w:snapToGrid/>
              <w:spacing w:line="580" w:lineRule="exact"/>
              <w:ind w:firstLine="1273" w:firstLineChars="398"/>
              <w:textAlignment w:val="auto"/>
              <w:rPr>
                <w:rFonts w:hint="eastAsia" w:ascii="仿宋_GB2312" w:hAnsi="Times New Roman" w:eastAsia="仿宋_GB2312" w:cs="Times New Roman"/>
                <w:kern w:val="2"/>
                <w:sz w:val="32"/>
                <w:szCs w:val="44"/>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80" w:lineRule="exact"/>
              <w:ind w:left="0" w:right="0" w:firstLine="1257"/>
              <w:textAlignment w:val="auto"/>
              <w:rPr>
                <w:sz w:val="27"/>
                <w:szCs w:val="27"/>
              </w:rPr>
            </w:pPr>
          </w:p>
        </w:tc>
      </w:tr>
    </w:tbl>
    <w:p>
      <w:pPr>
        <w:jc w:val="center"/>
        <w:rPr>
          <w:rFonts w:hint="eastAsia" w:ascii="方正小标宋简体" w:eastAsia="方正小标宋简体"/>
          <w:sz w:val="52"/>
          <w:szCs w:val="5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63A485"/>
    <w:multiLevelType w:val="singleLevel"/>
    <w:tmpl w:val="3863A4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165C9"/>
    <w:rsid w:val="007466A5"/>
    <w:rsid w:val="01445F8B"/>
    <w:rsid w:val="019E5229"/>
    <w:rsid w:val="02365E49"/>
    <w:rsid w:val="025435BA"/>
    <w:rsid w:val="02DC23CF"/>
    <w:rsid w:val="02DF76FD"/>
    <w:rsid w:val="02F90FF1"/>
    <w:rsid w:val="03197CF7"/>
    <w:rsid w:val="035857A2"/>
    <w:rsid w:val="03A01F93"/>
    <w:rsid w:val="046A6333"/>
    <w:rsid w:val="048E5B3B"/>
    <w:rsid w:val="06805FD3"/>
    <w:rsid w:val="07A0643D"/>
    <w:rsid w:val="07BF467F"/>
    <w:rsid w:val="08935955"/>
    <w:rsid w:val="08966EB8"/>
    <w:rsid w:val="08A619F2"/>
    <w:rsid w:val="08B71668"/>
    <w:rsid w:val="08D73B88"/>
    <w:rsid w:val="09A51B1F"/>
    <w:rsid w:val="0A0F0314"/>
    <w:rsid w:val="0A0F1793"/>
    <w:rsid w:val="0A4A2A83"/>
    <w:rsid w:val="0A7B504A"/>
    <w:rsid w:val="0ADC09DF"/>
    <w:rsid w:val="0B1F7185"/>
    <w:rsid w:val="0BAF0C1E"/>
    <w:rsid w:val="0BCF3419"/>
    <w:rsid w:val="0BCF6FB4"/>
    <w:rsid w:val="0C8E2869"/>
    <w:rsid w:val="0CED16B7"/>
    <w:rsid w:val="0D572186"/>
    <w:rsid w:val="0E156ED2"/>
    <w:rsid w:val="0E9742E5"/>
    <w:rsid w:val="0EAE3032"/>
    <w:rsid w:val="0F355A8B"/>
    <w:rsid w:val="0F6D59B2"/>
    <w:rsid w:val="0F8238C4"/>
    <w:rsid w:val="0FBA0333"/>
    <w:rsid w:val="10132280"/>
    <w:rsid w:val="119F55B4"/>
    <w:rsid w:val="11A07615"/>
    <w:rsid w:val="12296A65"/>
    <w:rsid w:val="130E6FF9"/>
    <w:rsid w:val="14043943"/>
    <w:rsid w:val="14AE02D0"/>
    <w:rsid w:val="15645BA4"/>
    <w:rsid w:val="15E92DC1"/>
    <w:rsid w:val="162256BA"/>
    <w:rsid w:val="16E030BF"/>
    <w:rsid w:val="178824F8"/>
    <w:rsid w:val="18963AFC"/>
    <w:rsid w:val="18B92455"/>
    <w:rsid w:val="19975F7F"/>
    <w:rsid w:val="1A9521AF"/>
    <w:rsid w:val="1B743220"/>
    <w:rsid w:val="1C4D1D78"/>
    <w:rsid w:val="1D1E3AC1"/>
    <w:rsid w:val="1D83196D"/>
    <w:rsid w:val="1DAF42C2"/>
    <w:rsid w:val="1E6E631A"/>
    <w:rsid w:val="1ED84A16"/>
    <w:rsid w:val="1EDC5290"/>
    <w:rsid w:val="203A34BD"/>
    <w:rsid w:val="20A96E72"/>
    <w:rsid w:val="216711B9"/>
    <w:rsid w:val="220F38DB"/>
    <w:rsid w:val="228B1653"/>
    <w:rsid w:val="230A1717"/>
    <w:rsid w:val="235444D8"/>
    <w:rsid w:val="239F5878"/>
    <w:rsid w:val="24927AD1"/>
    <w:rsid w:val="25495A60"/>
    <w:rsid w:val="26DC587E"/>
    <w:rsid w:val="279152E6"/>
    <w:rsid w:val="28677BEA"/>
    <w:rsid w:val="2A967A01"/>
    <w:rsid w:val="2B625FF0"/>
    <w:rsid w:val="2BE33CAB"/>
    <w:rsid w:val="2C5D4D6A"/>
    <w:rsid w:val="2C857B53"/>
    <w:rsid w:val="2C912A26"/>
    <w:rsid w:val="2C9D16BD"/>
    <w:rsid w:val="2CBE4B39"/>
    <w:rsid w:val="2D137936"/>
    <w:rsid w:val="2E030BBB"/>
    <w:rsid w:val="2F4D6503"/>
    <w:rsid w:val="31415F17"/>
    <w:rsid w:val="31B638A2"/>
    <w:rsid w:val="32041DFE"/>
    <w:rsid w:val="34A33EBE"/>
    <w:rsid w:val="34F03A05"/>
    <w:rsid w:val="350D7233"/>
    <w:rsid w:val="35450AD4"/>
    <w:rsid w:val="35613672"/>
    <w:rsid w:val="35D252FE"/>
    <w:rsid w:val="36B41BC2"/>
    <w:rsid w:val="37987B36"/>
    <w:rsid w:val="37D706D5"/>
    <w:rsid w:val="39516961"/>
    <w:rsid w:val="39B242AE"/>
    <w:rsid w:val="3A1A645C"/>
    <w:rsid w:val="3C1F5E3F"/>
    <w:rsid w:val="3C830891"/>
    <w:rsid w:val="3D1E262D"/>
    <w:rsid w:val="3D3B57C4"/>
    <w:rsid w:val="3D4409F2"/>
    <w:rsid w:val="3D585CBD"/>
    <w:rsid w:val="3D593015"/>
    <w:rsid w:val="3DB35438"/>
    <w:rsid w:val="3DB57991"/>
    <w:rsid w:val="3E3E3377"/>
    <w:rsid w:val="3E7131BF"/>
    <w:rsid w:val="3EC72A69"/>
    <w:rsid w:val="404A5DC5"/>
    <w:rsid w:val="410A79E9"/>
    <w:rsid w:val="426F1DB8"/>
    <w:rsid w:val="42E14518"/>
    <w:rsid w:val="433F4940"/>
    <w:rsid w:val="445409CE"/>
    <w:rsid w:val="446C551B"/>
    <w:rsid w:val="449A2E03"/>
    <w:rsid w:val="450F4585"/>
    <w:rsid w:val="463571F5"/>
    <w:rsid w:val="465658C2"/>
    <w:rsid w:val="46B704FC"/>
    <w:rsid w:val="46D20DAA"/>
    <w:rsid w:val="47150FD9"/>
    <w:rsid w:val="4739700F"/>
    <w:rsid w:val="49427E73"/>
    <w:rsid w:val="49726C7D"/>
    <w:rsid w:val="4A1F0BA6"/>
    <w:rsid w:val="4A402EEC"/>
    <w:rsid w:val="4AC31867"/>
    <w:rsid w:val="4B9D1520"/>
    <w:rsid w:val="4CD33BDD"/>
    <w:rsid w:val="4CF40B51"/>
    <w:rsid w:val="4DCF3626"/>
    <w:rsid w:val="4E0B0BC0"/>
    <w:rsid w:val="4EA42AD3"/>
    <w:rsid w:val="52EB643C"/>
    <w:rsid w:val="530B4818"/>
    <w:rsid w:val="53643A14"/>
    <w:rsid w:val="541A526B"/>
    <w:rsid w:val="552F0EF4"/>
    <w:rsid w:val="55930565"/>
    <w:rsid w:val="55D673A9"/>
    <w:rsid w:val="55E75B4F"/>
    <w:rsid w:val="560E37A9"/>
    <w:rsid w:val="570D2247"/>
    <w:rsid w:val="571F2724"/>
    <w:rsid w:val="573F7097"/>
    <w:rsid w:val="57DE2348"/>
    <w:rsid w:val="59446663"/>
    <w:rsid w:val="59FA5AB5"/>
    <w:rsid w:val="5A2C1EAF"/>
    <w:rsid w:val="5AB4181F"/>
    <w:rsid w:val="5B1E243D"/>
    <w:rsid w:val="5BEC2F33"/>
    <w:rsid w:val="5D413D19"/>
    <w:rsid w:val="5DDF1D0E"/>
    <w:rsid w:val="5DEF0AE1"/>
    <w:rsid w:val="5E813150"/>
    <w:rsid w:val="5E970B1F"/>
    <w:rsid w:val="5EE751D2"/>
    <w:rsid w:val="5EF551A3"/>
    <w:rsid w:val="5F8C4BBB"/>
    <w:rsid w:val="618F669C"/>
    <w:rsid w:val="623165C9"/>
    <w:rsid w:val="62B515EA"/>
    <w:rsid w:val="62FA4DB5"/>
    <w:rsid w:val="63591B67"/>
    <w:rsid w:val="63FF5023"/>
    <w:rsid w:val="64C01845"/>
    <w:rsid w:val="64C50F37"/>
    <w:rsid w:val="651E2046"/>
    <w:rsid w:val="66221004"/>
    <w:rsid w:val="66440E98"/>
    <w:rsid w:val="664535B5"/>
    <w:rsid w:val="66C51124"/>
    <w:rsid w:val="66E04B20"/>
    <w:rsid w:val="67000F06"/>
    <w:rsid w:val="67691044"/>
    <w:rsid w:val="689B3B7C"/>
    <w:rsid w:val="69307A70"/>
    <w:rsid w:val="69C377BA"/>
    <w:rsid w:val="69CB61A7"/>
    <w:rsid w:val="6A506881"/>
    <w:rsid w:val="6A8D21FD"/>
    <w:rsid w:val="6AD46931"/>
    <w:rsid w:val="6C7049AA"/>
    <w:rsid w:val="6CBD5919"/>
    <w:rsid w:val="6CC63B64"/>
    <w:rsid w:val="6E897207"/>
    <w:rsid w:val="6F156E73"/>
    <w:rsid w:val="6F50730F"/>
    <w:rsid w:val="6F831BB8"/>
    <w:rsid w:val="6F9B0714"/>
    <w:rsid w:val="70394C98"/>
    <w:rsid w:val="711C0A8A"/>
    <w:rsid w:val="71C95F5E"/>
    <w:rsid w:val="727824D5"/>
    <w:rsid w:val="72B7291B"/>
    <w:rsid w:val="72BF73C6"/>
    <w:rsid w:val="73E26383"/>
    <w:rsid w:val="73FE32F2"/>
    <w:rsid w:val="741075CB"/>
    <w:rsid w:val="74B4169A"/>
    <w:rsid w:val="74D73ADC"/>
    <w:rsid w:val="76EE596B"/>
    <w:rsid w:val="78073194"/>
    <w:rsid w:val="78AE3CFD"/>
    <w:rsid w:val="79545D7C"/>
    <w:rsid w:val="79945A1B"/>
    <w:rsid w:val="79FA2753"/>
    <w:rsid w:val="7A0B7E0A"/>
    <w:rsid w:val="7BDC1320"/>
    <w:rsid w:val="7D246988"/>
    <w:rsid w:val="7D681BEF"/>
    <w:rsid w:val="7F165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章标题"/>
    <w:basedOn w:val="1"/>
    <w:next w:val="3"/>
    <w:qFormat/>
    <w:uiPriority w:val="0"/>
    <w:pPr>
      <w:spacing w:before="158" w:after="153" w:line="323" w:lineRule="atLeast"/>
      <w:ind w:right="-120"/>
      <w:jc w:val="center"/>
      <w:textAlignment w:val="baseline"/>
    </w:pPr>
    <w:rPr>
      <w:rFonts w:ascii="Times New Roman" w:hAnsi="Times New Roman" w:eastAsia="宋体" w:cs="Times New Roman"/>
      <w:color w:val="FF0000"/>
      <w:sz w:val="18"/>
    </w:rPr>
  </w:style>
  <w:style w:type="paragraph" w:customStyle="1" w:styleId="3">
    <w:name w:val="节标题"/>
    <w:basedOn w:val="1"/>
    <w:next w:val="1"/>
    <w:qFormat/>
    <w:uiPriority w:val="0"/>
    <w:pPr>
      <w:spacing w:line="289" w:lineRule="atLeast"/>
      <w:jc w:val="center"/>
      <w:textAlignment w:val="baseline"/>
    </w:pPr>
    <w:rPr>
      <w:rFonts w:ascii="Times New Roman" w:hAnsi="Times New Roman" w:eastAsia="宋体" w:cs="Times New Roman"/>
      <w:color w:val="000000"/>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2021-06-08T01:23:00Z</dcterms:created>
  <dc:creator>霖霖</dc:creator>
  <cp:lastModifiedBy>一抹绿的微笑</cp:lastModifiedBy>
  <dcterms:modified xsi:type="dcterms:W3CDTF">2021-06-09T03:04:22Z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2D508278E9EE4089B9041153F6074A03</vt:lpwstr>
  </property>
</Properties>
</file>