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ind w:left="640" w:hanging="880" w:hanging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学区内学生的界定及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办法</w:t>
      </w:r>
    </w:p>
    <w:p>
      <w:pPr>
        <w:spacing w:line="560" w:lineRule="exact"/>
        <w:ind w:left="640" w:hanging="880" w:hanging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户籍和房产都在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学区内的学生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提供适龄儿童与其法定监护人的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户口簿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法定监护人所有权在51%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以上的实名所属房产证或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产调记录</w:t>
      </w:r>
      <w:r>
        <w:rPr>
          <w:rFonts w:hint="eastAsia" w:ascii="仿宋_GB2312" w:eastAsia="仿宋_GB2312"/>
          <w:sz w:val="32"/>
          <w:szCs w:val="32"/>
        </w:rPr>
        <w:t>；实际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入住</w:t>
      </w:r>
      <w:r>
        <w:rPr>
          <w:rFonts w:hint="eastAsia" w:ascii="仿宋_GB2312" w:eastAsia="仿宋_GB2312"/>
          <w:sz w:val="32"/>
          <w:szCs w:val="32"/>
        </w:rPr>
        <w:t>证明（近3个月水电气缴费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</w:t>
      </w:r>
      <w:r>
        <w:rPr>
          <w:rFonts w:hint="eastAsia" w:ascii="仿宋_GB2312" w:eastAsia="仿宋_GB2312"/>
          <w:sz w:val="32"/>
          <w:szCs w:val="32"/>
        </w:rPr>
        <w:t>）。如属三代同堂，房产为祖父母或外祖父母所有，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则还需</w:t>
      </w:r>
      <w:r>
        <w:rPr>
          <w:rFonts w:hint="eastAsia" w:ascii="仿宋_GB2312" w:eastAsia="仿宋_GB2312"/>
          <w:sz w:val="32"/>
          <w:szCs w:val="32"/>
        </w:rPr>
        <w:t>提供其法定监护人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无房证明，三代人同一户籍的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户口簿及共同居住证明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户籍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房产在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学区内的学生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户籍在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范围内的：</w:t>
      </w:r>
      <w:r>
        <w:rPr>
          <w:rFonts w:hint="eastAsia" w:ascii="仿宋_GB2312" w:eastAsia="仿宋_GB2312"/>
          <w:sz w:val="32"/>
          <w:szCs w:val="32"/>
        </w:rPr>
        <w:t>提供适龄儿童与其法定监护人的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户口簿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学区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合法稳定住所证明（如租房</w:t>
      </w:r>
      <w:r>
        <w:rPr>
          <w:rFonts w:hint="eastAsia" w:ascii="仿宋_GB2312" w:eastAsia="仿宋_GB2312"/>
          <w:sz w:val="32"/>
          <w:szCs w:val="32"/>
        </w:rPr>
        <w:t>合同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水电气缴费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单等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房产在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范围内的：</w:t>
      </w:r>
      <w:r>
        <w:rPr>
          <w:rFonts w:hint="eastAsia" w:ascii="仿宋_GB2312" w:eastAsia="仿宋_GB2312"/>
          <w:sz w:val="32"/>
          <w:szCs w:val="32"/>
        </w:rPr>
        <w:t>提供适龄儿童与其法定监护人的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户口簿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法定监护人所有权在51%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以上的实名所属房产证或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产调记录</w:t>
      </w:r>
      <w:r>
        <w:rPr>
          <w:rFonts w:hint="eastAsia" w:ascii="仿宋_GB2312" w:eastAsia="仿宋_GB2312"/>
          <w:sz w:val="32"/>
          <w:szCs w:val="32"/>
        </w:rPr>
        <w:t>；实际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入住</w:t>
      </w:r>
      <w:r>
        <w:rPr>
          <w:rFonts w:hint="eastAsia" w:ascii="仿宋_GB2312" w:eastAsia="仿宋_GB2312"/>
          <w:sz w:val="32"/>
          <w:szCs w:val="32"/>
        </w:rPr>
        <w:t>证明（近3个月水电气缴费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</w:t>
      </w:r>
      <w:r>
        <w:rPr>
          <w:rFonts w:hint="eastAsia" w:ascii="仿宋_GB2312" w:eastAsia="仿宋_GB2312"/>
          <w:sz w:val="32"/>
          <w:szCs w:val="32"/>
        </w:rPr>
        <w:t>）。如属三代同堂，房产为祖父母或外祖父母所有，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则还需</w:t>
      </w:r>
      <w:r>
        <w:rPr>
          <w:rFonts w:hint="eastAsia" w:ascii="仿宋_GB2312" w:eastAsia="仿宋_GB2312"/>
          <w:sz w:val="32"/>
          <w:szCs w:val="32"/>
        </w:rPr>
        <w:t>提供其法定监护人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无房证明，三代人同一户籍的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户口簿及共同居住证明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三、学区内的拆迁安置户子女</w:t>
      </w:r>
    </w:p>
    <w:p>
      <w:pPr>
        <w:numPr>
          <w:ilvl w:val="0"/>
          <w:numId w:val="0"/>
        </w:numPr>
        <w:spacing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（一）已签订协议并已安置的：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/>
          <w:sz w:val="32"/>
          <w:szCs w:val="32"/>
        </w:rPr>
        <w:t>适龄儿童与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法定监护人的户口簿；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法定监护人持有的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合法有效拆迁协议或接房手续。</w:t>
      </w:r>
    </w:p>
    <w:p>
      <w:pPr>
        <w:numPr>
          <w:ilvl w:val="0"/>
          <w:numId w:val="0"/>
        </w:numPr>
        <w:spacing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（二）已签订协议尚未安置的：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/>
          <w:sz w:val="32"/>
          <w:szCs w:val="32"/>
        </w:rPr>
        <w:t>适龄儿童与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法定监护人的户口簿；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法定监护人持有的合法有效拆迁协议（如拆迁协议中未明确安置地，以城乡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eastAsia="仿宋_GB2312"/>
          <w:sz w:val="32"/>
          <w:szCs w:val="32"/>
        </w:rPr>
        <w:t>中心出具的意见为准）。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四、优抚对象和随迁子女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（一）优抚对象子女入学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现役军人子女、烈士子女、公安英模和因公牺牲伤残警察子女、部分退役军人子女、高层次人才子女、 国家综合性消防救援队伍人员子女、直接参与救治新冠肺炎患者的一线医务工作者子女、遂州英才卡持卡人子女、港澳台同胞子女、援藏干部子女及其他优抚对象，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按有关文件予以确认后，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参照相关优待政策保障其入学。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/>
          <w:sz w:val="32"/>
          <w:szCs w:val="32"/>
        </w:rPr>
        <w:t>适龄儿童与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法定监护人的户口簿；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法定监护人所在单位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主管部门出具的证明特殊优待人员身份的文件、批文、证书等。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随迁子女入学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/>
          <w:sz w:val="32"/>
          <w:szCs w:val="32"/>
        </w:rPr>
        <w:t>适龄儿童与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法定监护人的户口簿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</w:rPr>
        <w:t>其法定监护人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在学区范围内的</w:t>
      </w:r>
      <w:r>
        <w:rPr>
          <w:rFonts w:hint="eastAsia" w:ascii="仿宋_GB2312" w:eastAsia="仿宋_GB2312"/>
          <w:sz w:val="32"/>
          <w:szCs w:val="32"/>
        </w:rPr>
        <w:t>居住证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</w:rPr>
        <w:t>其法定监护人与用人单位依法签订的劳动合同或工商营业执照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;学区</w:t>
      </w:r>
      <w:r>
        <w:rPr>
          <w:rFonts w:hint="eastAsia" w:ascii="仿宋_GB2312" w:eastAsia="仿宋_GB2312"/>
          <w:sz w:val="32"/>
          <w:szCs w:val="32"/>
        </w:rPr>
        <w:t>范围内的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租房</w:t>
      </w:r>
      <w:r>
        <w:rPr>
          <w:rFonts w:hint="eastAsia" w:ascii="仿宋_GB2312" w:eastAsia="仿宋_GB2312"/>
          <w:sz w:val="32"/>
          <w:szCs w:val="32"/>
        </w:rPr>
        <w:t>合同。</w:t>
      </w:r>
      <w:r>
        <w:rPr>
          <w:rFonts w:hint="default" w:ascii="仿宋_GB2312" w:eastAsia="仿宋_GB2312"/>
          <w:sz w:val="32"/>
          <w:szCs w:val="32"/>
        </w:rPr>
        <w:t>经审核符合入学条件的学生，由社事群工局根据学校学位空余情况统筹安排保障其入学。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DM5ZmZkMmYzNmMxZGFiZTRiYmRhOWU0OTM2MzYifQ=="/>
  </w:docVars>
  <w:rsids>
    <w:rsidRoot w:val="02F84078"/>
    <w:rsid w:val="01F22209"/>
    <w:rsid w:val="02F84078"/>
    <w:rsid w:val="286914E7"/>
    <w:rsid w:val="504B134F"/>
    <w:rsid w:val="533D70C1"/>
    <w:rsid w:val="70D27883"/>
    <w:rsid w:val="7D633EFF"/>
    <w:rsid w:val="F06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853</Words>
  <Characters>857</Characters>
  <Lines>0</Lines>
  <Paragraphs>0</Paragraphs>
  <TotalTime>11</TotalTime>
  <ScaleCrop>false</ScaleCrop>
  <LinksUpToDate>false</LinksUpToDate>
  <CharactersWithSpaces>858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2023-05-19T16:08:00Z</dcterms:created>
  <dc:creator>似水流年</dc:creator>
  <cp:lastModifiedBy>似水流年</cp:lastModifiedBy>
  <dcterms:modified xsi:type="dcterms:W3CDTF">2023-05-24T07:21:48Z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B6651247A0B34598BA5058D2B2D808E1_11</vt:lpwstr>
  </property>
</Properties>
</file>