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bookmarkStart w:id="0" w:name="_GoBack"/>
      <w:bookmarkEnd w:id="0"/>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遂宁高新技术产业园区管理委员会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2019</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年度财政决算</w:t>
      </w: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pPr>
    </w:p>
    <w:p>
      <w:pPr>
        <w:keepNext w:val="0"/>
        <w:keepLines w:val="0"/>
        <w:pageBreakBefore w:val="0"/>
        <w:kinsoku/>
        <w:wordWrap/>
        <w:overflowPunct/>
        <w:topLinePunct w:val="0"/>
        <w:autoSpaceDE w:val="0"/>
        <w:autoSpaceDN w:val="0"/>
        <w:bidi w:val="0"/>
        <w:spacing w:line="560" w:lineRule="exact"/>
        <w:ind w:firstLine="640" w:firstLineChars="200"/>
        <w:textAlignment w:val="bottom"/>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遂宁</w:t>
      </w:r>
      <w:r>
        <w:rPr>
          <w:rFonts w:hint="default" w:ascii="Times New Roman" w:hAnsi="Times New Roman" w:eastAsia="仿宋_GB2312" w:cs="Times New Roman"/>
          <w:color w:val="000000" w:themeColor="text1"/>
          <w:sz w:val="32"/>
          <w:szCs w:val="32"/>
          <w14:textFill>
            <w14:solidFill>
              <w14:schemeClr w14:val="tx1"/>
            </w14:solidFill>
          </w14:textFill>
        </w:rPr>
        <w:t>高新区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于</w:t>
      </w:r>
      <w:r>
        <w:rPr>
          <w:rFonts w:hint="default" w:ascii="Times New Roman" w:hAnsi="Times New Roman" w:eastAsia="仿宋_GB2312" w:cs="Times New Roman"/>
          <w:color w:val="000000" w:themeColor="text1"/>
          <w:sz w:val="32"/>
          <w:szCs w:val="32"/>
          <w14:textFill>
            <w14:solidFill>
              <w14:schemeClr w14:val="tx1"/>
            </w14:solidFill>
          </w14:textFill>
        </w:rPr>
        <w:t>2019年3月18日正式成立，按照《遂宁高新技术产业园区财政体制实施方案》</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遂府函〔2019〕56号</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文件</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要求</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遂宁高新区自</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2019年1月1日起</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执行区县级财政制度，</w:t>
      </w:r>
      <w:r>
        <w:rPr>
          <w:rFonts w:hint="default" w:ascii="Times New Roman" w:hAnsi="Times New Roman" w:eastAsia="仿宋_GB2312" w:cs="Times New Roman"/>
          <w:color w:val="000000" w:themeColor="text1"/>
          <w:sz w:val="32"/>
          <w:szCs w:val="32"/>
          <w14:textFill>
            <w14:solidFill>
              <w14:schemeClr w14:val="tx1"/>
            </w14:solidFill>
          </w14:textFill>
        </w:rPr>
        <w:t>独立上报区本级财政决算和预算。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2019年</w:t>
      </w:r>
      <w:r>
        <w:rPr>
          <w:rFonts w:hint="default" w:ascii="Times New Roman" w:hAnsi="Times New Roman" w:eastAsia="仿宋_GB2312" w:cs="Times New Roman"/>
          <w:bCs/>
          <w:color w:val="000000" w:themeColor="text1"/>
          <w:kern w:val="0"/>
          <w:sz w:val="32"/>
          <w:szCs w:val="32"/>
          <w:lang w:eastAsia="zh-CN"/>
          <w14:textFill>
            <w14:solidFill>
              <w14:schemeClr w14:val="tx1"/>
            </w14:solidFill>
          </w14:textFill>
        </w:rPr>
        <w:t>在市委、市政府、市人大、市政协和高新区党工委的坚强领导和各级各</w:t>
      </w:r>
      <w:r>
        <w:rPr>
          <w:rFonts w:hint="default" w:ascii="Times New Roman" w:hAnsi="Times New Roman" w:eastAsia="仿宋_GB2312" w:cs="Times New Roman"/>
          <w:color w:val="000000" w:themeColor="text1"/>
          <w:sz w:val="32"/>
          <w:szCs w:val="32"/>
          <w:lang w:val="zh-CN" w:eastAsia="zh-CN"/>
          <w14:textFill>
            <w14:solidFill>
              <w14:schemeClr w14:val="tx1"/>
            </w14:solidFill>
          </w14:textFill>
        </w:rPr>
        <w:t>部门大力支持下</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我委</w:t>
      </w:r>
      <w:r>
        <w:rPr>
          <w:rFonts w:hint="default" w:ascii="Times New Roman" w:hAnsi="Times New Roman" w:eastAsia="仿宋_GB2312" w:cs="Times New Roman"/>
          <w:color w:val="000000" w:themeColor="text1"/>
          <w:sz w:val="32"/>
          <w:szCs w:val="32"/>
          <w14:textFill>
            <w14:solidFill>
              <w14:schemeClr w14:val="tx1"/>
            </w14:solidFill>
          </w14:textFill>
        </w:rPr>
        <w:t>已完成</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区县级</w:t>
      </w:r>
      <w:r>
        <w:rPr>
          <w:rFonts w:hint="default" w:ascii="Times New Roman" w:hAnsi="Times New Roman" w:eastAsia="仿宋_GB2312" w:cs="Times New Roman"/>
          <w:color w:val="000000" w:themeColor="text1"/>
          <w:sz w:val="32"/>
          <w:szCs w:val="32"/>
          <w14:textFill>
            <w14:solidFill>
              <w14:schemeClr w14:val="tx1"/>
            </w14:solidFill>
          </w14:textFill>
        </w:rPr>
        <w:t>金库建立、各预算单位银行账户开设、债权债务审计和</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部分</w:t>
      </w:r>
      <w:r>
        <w:rPr>
          <w:rFonts w:hint="default" w:ascii="Times New Roman" w:hAnsi="Times New Roman" w:eastAsia="仿宋_GB2312" w:cs="Times New Roman"/>
          <w:color w:val="000000" w:themeColor="text1"/>
          <w:sz w:val="32"/>
          <w:szCs w:val="32"/>
          <w14:textFill>
            <w14:solidFill>
              <w14:schemeClr w14:val="tx1"/>
            </w14:solidFill>
          </w14:textFill>
        </w:rPr>
        <w:t>财政财务管理制度的建立等工作，实现了大平台支付业务正常运行</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。并进一步强化税收管理，努力提高税收收入比重，优化支出结构，加快公共财政体系建设，顺利完成了年度目标任务。</w:t>
      </w:r>
    </w:p>
    <w:p>
      <w:pPr>
        <w:keepNext w:val="0"/>
        <w:keepLines w:val="0"/>
        <w:pageBreakBefore w:val="0"/>
        <w:kinsoku/>
        <w:wordWrap/>
        <w:overflowPunct/>
        <w:topLinePunct w:val="0"/>
        <w:autoSpaceDE w:val="0"/>
        <w:autoSpaceDN w:val="0"/>
        <w:bidi w:val="0"/>
        <w:spacing w:line="560" w:lineRule="exact"/>
        <w:ind w:firstLine="640" w:firstLineChars="200"/>
        <w:textAlignment w:val="bottom"/>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一、201</w:t>
      </w:r>
      <w:r>
        <w:rPr>
          <w:rFonts w:hint="eastAsia" w:ascii="黑体" w:hAnsi="黑体" w:eastAsia="黑体" w:cs="黑体"/>
          <w:b w:val="0"/>
          <w:bCs/>
          <w:color w:val="000000" w:themeColor="text1"/>
          <w:sz w:val="32"/>
          <w:szCs w:val="32"/>
          <w:lang w:val="en-US" w:eastAsia="zh-CN"/>
          <w14:textFill>
            <w14:solidFill>
              <w14:schemeClr w14:val="tx1"/>
            </w14:solidFill>
          </w14:textFill>
        </w:rPr>
        <w:t>9</w:t>
      </w:r>
      <w:r>
        <w:rPr>
          <w:rFonts w:hint="eastAsia" w:ascii="黑体" w:hAnsi="黑体" w:eastAsia="黑体" w:cs="黑体"/>
          <w:b w:val="0"/>
          <w:bCs/>
          <w:color w:val="000000" w:themeColor="text1"/>
          <w:sz w:val="32"/>
          <w:szCs w:val="32"/>
          <w14:textFill>
            <w14:solidFill>
              <w14:schemeClr w14:val="tx1"/>
            </w14:solidFill>
          </w14:textFill>
        </w:rPr>
        <w:t>年度国民经济运行总体情况</w:t>
      </w:r>
    </w:p>
    <w:p>
      <w:pPr>
        <w:keepNext w:val="0"/>
        <w:keepLines w:val="0"/>
        <w:pageBreakBefore w:val="0"/>
        <w:tabs>
          <w:tab w:val="left" w:pos="6406"/>
        </w:tabs>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2019年1月9日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经省编委会13次全体会议批准设立</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川编发〔2019〕5号</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遂宁高新区</w:t>
      </w:r>
      <w:r>
        <w:rPr>
          <w:rFonts w:hint="default" w:ascii="Times New Roman" w:hAnsi="Times New Roman" w:eastAsia="仿宋_GB2312" w:cs="Times New Roman"/>
          <w:color w:val="000000" w:themeColor="text1"/>
          <w:sz w:val="32"/>
          <w:szCs w:val="32"/>
          <w14:textFill>
            <w14:solidFill>
              <w14:schemeClr w14:val="tx1"/>
            </w14:solidFill>
          </w14:textFill>
        </w:rPr>
        <w:t>，但因机构调整、人员编制划转等原因，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截</w:t>
      </w:r>
      <w:r>
        <w:rPr>
          <w:rFonts w:hint="default" w:ascii="Times New Roman" w:hAnsi="Times New Roman" w:eastAsia="仿宋_GB2312" w:cs="Times New Roman"/>
          <w:color w:val="000000" w:themeColor="text1"/>
          <w:sz w:val="32"/>
          <w:szCs w:val="32"/>
          <w14:textFill>
            <w14:solidFill>
              <w14:schemeClr w14:val="tx1"/>
            </w14:solidFill>
          </w14:textFill>
        </w:rPr>
        <w:t>至2019年10月底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，我委</w:t>
      </w:r>
      <w:r>
        <w:rPr>
          <w:rFonts w:hint="default" w:ascii="Times New Roman" w:hAnsi="Times New Roman" w:eastAsia="仿宋_GB2312" w:cs="Times New Roman"/>
          <w:color w:val="000000" w:themeColor="text1"/>
          <w:sz w:val="32"/>
          <w:szCs w:val="32"/>
          <w14:textFill>
            <w14:solidFill>
              <w14:schemeClr w14:val="tx1"/>
            </w14:solidFill>
          </w14:textFill>
        </w:rPr>
        <w:t>未单独编制年初财政总预算及部门预算，所有财政收支仍沿袭以前</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的</w:t>
      </w:r>
      <w:r>
        <w:rPr>
          <w:rFonts w:hint="default" w:ascii="Times New Roman" w:hAnsi="Times New Roman" w:eastAsia="仿宋_GB2312" w:cs="Times New Roman"/>
          <w:color w:val="000000" w:themeColor="text1"/>
          <w:sz w:val="32"/>
          <w:szCs w:val="32"/>
          <w14:textFill>
            <w14:solidFill>
              <w14:schemeClr w14:val="tx1"/>
            </w14:solidFill>
          </w14:textFill>
        </w:rPr>
        <w:t>管理模式</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。遂宁高新区前身（原中国西部现代物流港管理委员会）</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、保升、西宁的</w:t>
      </w:r>
      <w:r>
        <w:rPr>
          <w:rFonts w:hint="default" w:ascii="Times New Roman" w:hAnsi="Times New Roman" w:eastAsia="仿宋_GB2312" w:cs="Times New Roman"/>
          <w:color w:val="000000" w:themeColor="text1"/>
          <w:sz w:val="32"/>
          <w:szCs w:val="32"/>
          <w14:textFill>
            <w14:solidFill>
              <w14:schemeClr w14:val="tx1"/>
            </w14:solidFill>
          </w14:textFill>
        </w:rPr>
        <w:t>支出</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由</w:t>
      </w:r>
      <w:r>
        <w:rPr>
          <w:rFonts w:hint="default" w:ascii="Times New Roman" w:hAnsi="Times New Roman" w:eastAsia="仿宋_GB2312" w:cs="Times New Roman"/>
          <w:color w:val="000000" w:themeColor="text1"/>
          <w:sz w:val="32"/>
          <w:szCs w:val="32"/>
          <w14:textFill>
            <w14:solidFill>
              <w14:schemeClr w14:val="tx1"/>
            </w14:solidFill>
          </w14:textFill>
        </w:rPr>
        <w:t>船山区保障到2019年12月底，区划调整后并入的聚贤</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镇</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会龙</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镇</w:t>
      </w:r>
      <w:r>
        <w:rPr>
          <w:rFonts w:hint="default" w:ascii="Times New Roman" w:hAnsi="Times New Roman" w:eastAsia="仿宋_GB2312" w:cs="Times New Roman"/>
          <w:color w:val="000000" w:themeColor="text1"/>
          <w:sz w:val="32"/>
          <w:szCs w:val="32"/>
          <w14:textFill>
            <w14:solidFill>
              <w14:schemeClr w14:val="tx1"/>
            </w14:solidFill>
          </w14:textFill>
        </w:rPr>
        <w:t>和临港产业园区管委会支出由安居区保障到2019年12月底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由于现行行政区划调整政策方面原因，安居区划入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我委</w:t>
      </w:r>
      <w:r>
        <w:rPr>
          <w:rFonts w:hint="default" w:ascii="Times New Roman" w:hAnsi="Times New Roman" w:eastAsia="仿宋_GB2312" w:cs="Times New Roman"/>
          <w:color w:val="000000" w:themeColor="text1"/>
          <w:sz w:val="32"/>
          <w:szCs w:val="32"/>
          <w14:textFill>
            <w14:solidFill>
              <w14:schemeClr w14:val="tx1"/>
            </w14:solidFill>
          </w14:textFill>
        </w:rPr>
        <w:t>预算单位收支无法纳入我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委</w:t>
      </w:r>
      <w:r>
        <w:rPr>
          <w:rFonts w:hint="default" w:ascii="Times New Roman" w:hAnsi="Times New Roman" w:eastAsia="仿宋_GB2312" w:cs="Times New Roman"/>
          <w:color w:val="000000" w:themeColor="text1"/>
          <w:sz w:val="32"/>
          <w:szCs w:val="32"/>
          <w14:textFill>
            <w14:solidFill>
              <w14:schemeClr w14:val="tx1"/>
            </w14:solidFill>
          </w14:textFill>
        </w:rPr>
        <w:t>2019年财政收支决算，我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委</w:t>
      </w:r>
      <w:r>
        <w:rPr>
          <w:rFonts w:hint="default" w:ascii="Times New Roman" w:hAnsi="Times New Roman" w:eastAsia="仿宋_GB2312" w:cs="Times New Roman"/>
          <w:color w:val="000000" w:themeColor="text1"/>
          <w:sz w:val="32"/>
          <w:szCs w:val="32"/>
          <w14:textFill>
            <w14:solidFill>
              <w14:schemeClr w14:val="tx1"/>
            </w14:solidFill>
          </w14:textFill>
        </w:rPr>
        <w:t>2019年</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财政总决算</w:t>
      </w:r>
      <w:r>
        <w:rPr>
          <w:rFonts w:hint="default" w:ascii="Times New Roman" w:hAnsi="Times New Roman" w:eastAsia="仿宋_GB2312" w:cs="Times New Roman"/>
          <w:color w:val="000000" w:themeColor="text1"/>
          <w:sz w:val="32"/>
          <w:szCs w:val="32"/>
          <w14:textFill>
            <w14:solidFill>
              <w14:schemeClr w14:val="tx1"/>
            </w14:solidFill>
          </w14:textFill>
        </w:rPr>
        <w:t>仅包含船山区划入部分。</w:t>
      </w:r>
    </w:p>
    <w:p>
      <w:pPr>
        <w:keepNext w:val="0"/>
        <w:keepLines w:val="0"/>
        <w:pageBreakBefore w:val="0"/>
        <w:kinsoku/>
        <w:wordWrap/>
        <w:overflowPunct/>
        <w:topLinePunct w:val="0"/>
        <w:bidi w:val="0"/>
        <w:spacing w:line="560" w:lineRule="exact"/>
        <w:ind w:firstLine="643" w:firstLineChars="200"/>
        <w:rPr>
          <w:rFonts w:hint="eastAsia" w:ascii="楷体_GB2312" w:hAnsi="楷体_GB2312" w:eastAsia="楷体_GB2312" w:cs="楷体_GB2312"/>
          <w:b/>
          <w:color w:val="000000" w:themeColor="text1"/>
          <w:kern w:val="0"/>
          <w:sz w:val="32"/>
          <w:szCs w:val="32"/>
          <w14:textFill>
            <w14:solidFill>
              <w14:schemeClr w14:val="tx1"/>
            </w14:solidFill>
          </w14:textFill>
        </w:rPr>
      </w:pPr>
      <w:r>
        <w:rPr>
          <w:rFonts w:hint="eastAsia" w:ascii="楷体_GB2312" w:hAnsi="楷体_GB2312" w:eastAsia="楷体_GB2312" w:cs="楷体_GB2312"/>
          <w:b/>
          <w:color w:val="000000" w:themeColor="text1"/>
          <w:kern w:val="0"/>
          <w:sz w:val="32"/>
          <w:szCs w:val="32"/>
          <w14:textFill>
            <w14:solidFill>
              <w14:schemeClr w14:val="tx1"/>
            </w14:solidFill>
          </w14:textFill>
        </w:rPr>
        <w:t>（一）着力稳增长，经济发展稳中有进</w:t>
      </w:r>
    </w:p>
    <w:p>
      <w:pPr>
        <w:keepNext w:val="0"/>
        <w:keepLines w:val="0"/>
        <w:pageBreakBefore w:val="0"/>
        <w:kinsoku/>
        <w:wordWrap/>
        <w:overflowPunct/>
        <w:topLinePunct w:val="0"/>
        <w:bidi w:val="0"/>
        <w:adjustRightInd w:val="0"/>
        <w:snapToGrid w:val="0"/>
        <w:spacing w:line="560" w:lineRule="exact"/>
        <w:ind w:firstLine="640"/>
        <w:rPr>
          <w:rFonts w:hint="default" w:ascii="Times New Roman" w:hAnsi="Times New Roman" w:eastAsia="仿宋_GB2312" w:cs="Times New Roman"/>
          <w:color w:val="000000" w:themeColor="text1"/>
          <w:kern w:val="32"/>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全区</w:t>
      </w:r>
      <w:r>
        <w:rPr>
          <w:rFonts w:hint="default" w:ascii="Times New Roman" w:hAnsi="Times New Roman" w:eastAsia="仿宋_GB2312" w:cs="Times New Roman"/>
          <w:color w:val="000000" w:themeColor="text1"/>
          <w:kern w:val="32"/>
          <w:sz w:val="32"/>
          <w:szCs w:val="32"/>
          <w14:textFill>
            <w14:solidFill>
              <w14:schemeClr w14:val="tx1"/>
            </w14:solidFill>
          </w14:textFill>
        </w:rPr>
        <w:t>地区生产总值完成</w:t>
      </w:r>
      <w:r>
        <w:rPr>
          <w:rFonts w:hint="default" w:ascii="Times New Roman" w:hAnsi="Times New Roman" w:eastAsia="仿宋_GB2312" w:cs="Times New Roman"/>
          <w:color w:val="000000" w:themeColor="text1"/>
          <w:kern w:val="32"/>
          <w:sz w:val="32"/>
          <w:szCs w:val="32"/>
          <w:lang w:val="en-US" w:eastAsia="zh-CN"/>
          <w14:textFill>
            <w14:solidFill>
              <w14:schemeClr w14:val="tx1"/>
            </w14:solidFill>
          </w14:textFill>
        </w:rPr>
        <w:t>47.71</w:t>
      </w:r>
      <w:r>
        <w:rPr>
          <w:rFonts w:hint="default" w:ascii="Times New Roman" w:hAnsi="Times New Roman" w:eastAsia="仿宋_GB2312" w:cs="Times New Roman"/>
          <w:color w:val="000000" w:themeColor="text1"/>
          <w:kern w:val="32"/>
          <w:sz w:val="32"/>
          <w:szCs w:val="32"/>
          <w14:textFill>
            <w14:solidFill>
              <w14:schemeClr w14:val="tx1"/>
            </w14:solidFill>
          </w14:textFill>
        </w:rPr>
        <w:t>亿元，增长</w:t>
      </w:r>
      <w:r>
        <w:rPr>
          <w:rFonts w:hint="default" w:ascii="Times New Roman" w:hAnsi="Times New Roman" w:eastAsia="仿宋_GB2312" w:cs="Times New Roman"/>
          <w:color w:val="000000" w:themeColor="text1"/>
          <w:kern w:val="32"/>
          <w:sz w:val="32"/>
          <w:szCs w:val="32"/>
          <w:lang w:val="en-US" w:eastAsia="zh-CN"/>
          <w14:textFill>
            <w14:solidFill>
              <w14:schemeClr w14:val="tx1"/>
            </w14:solidFill>
          </w14:textFill>
        </w:rPr>
        <w:t>8.1</w:t>
      </w:r>
      <w:r>
        <w:rPr>
          <w:rFonts w:hint="default" w:ascii="Times New Roman" w:hAnsi="Times New Roman" w:eastAsia="仿宋_GB2312" w:cs="Times New Roman"/>
          <w:color w:val="000000" w:themeColor="text1"/>
          <w:kern w:val="32"/>
          <w:sz w:val="32"/>
          <w:szCs w:val="32"/>
          <w14:textFill>
            <w14:solidFill>
              <w14:schemeClr w14:val="tx1"/>
            </w14:solidFill>
          </w14:textFill>
        </w:rPr>
        <w:t>%；规模以上工业增加值增长</w:t>
      </w:r>
      <w:r>
        <w:rPr>
          <w:rFonts w:hint="default" w:ascii="Times New Roman" w:hAnsi="Times New Roman" w:eastAsia="仿宋_GB2312" w:cs="Times New Roman"/>
          <w:color w:val="000000" w:themeColor="text1"/>
          <w:kern w:val="32"/>
          <w:sz w:val="32"/>
          <w:szCs w:val="32"/>
          <w:lang w:val="en-US" w:eastAsia="zh-CN"/>
          <w14:textFill>
            <w14:solidFill>
              <w14:schemeClr w14:val="tx1"/>
            </w14:solidFill>
          </w14:textFill>
        </w:rPr>
        <w:t>9.7</w:t>
      </w:r>
      <w:r>
        <w:rPr>
          <w:rFonts w:hint="default" w:ascii="Times New Roman" w:hAnsi="Times New Roman" w:eastAsia="仿宋_GB2312" w:cs="Times New Roman"/>
          <w:color w:val="000000" w:themeColor="text1"/>
          <w:kern w:val="32"/>
          <w:sz w:val="32"/>
          <w:szCs w:val="32"/>
          <w14:textFill>
            <w14:solidFill>
              <w14:schemeClr w14:val="tx1"/>
            </w14:solidFill>
          </w14:textFill>
        </w:rPr>
        <w:t>%；固定资产投资完成</w:t>
      </w:r>
      <w:r>
        <w:rPr>
          <w:rFonts w:hint="default" w:ascii="Times New Roman" w:hAnsi="Times New Roman" w:eastAsia="仿宋_GB2312" w:cs="Times New Roman"/>
          <w:color w:val="000000" w:themeColor="text1"/>
          <w:kern w:val="32"/>
          <w:sz w:val="32"/>
          <w:szCs w:val="32"/>
          <w:lang w:val="en-US" w:eastAsia="zh-CN"/>
          <w14:textFill>
            <w14:solidFill>
              <w14:schemeClr w14:val="tx1"/>
            </w14:solidFill>
          </w14:textFill>
        </w:rPr>
        <w:t>87.6</w:t>
      </w:r>
      <w:r>
        <w:rPr>
          <w:rFonts w:hint="default" w:ascii="Times New Roman" w:hAnsi="Times New Roman" w:eastAsia="仿宋_GB2312" w:cs="Times New Roman"/>
          <w:color w:val="000000" w:themeColor="text1"/>
          <w:kern w:val="32"/>
          <w:sz w:val="32"/>
          <w:szCs w:val="32"/>
          <w14:textFill>
            <w14:solidFill>
              <w14:schemeClr w14:val="tx1"/>
            </w14:solidFill>
          </w14:textFill>
        </w:rPr>
        <w:t>亿元，增长</w:t>
      </w:r>
      <w:r>
        <w:rPr>
          <w:rFonts w:hint="default" w:ascii="Times New Roman" w:hAnsi="Times New Roman" w:eastAsia="仿宋_GB2312" w:cs="Times New Roman"/>
          <w:color w:val="000000" w:themeColor="text1"/>
          <w:kern w:val="32"/>
          <w:sz w:val="32"/>
          <w:szCs w:val="32"/>
          <w:lang w:val="en-US" w:eastAsia="zh-CN"/>
          <w14:textFill>
            <w14:solidFill>
              <w14:schemeClr w14:val="tx1"/>
            </w14:solidFill>
          </w14:textFill>
        </w:rPr>
        <w:t>11.8</w:t>
      </w:r>
      <w:r>
        <w:rPr>
          <w:rFonts w:hint="default" w:ascii="Times New Roman" w:hAnsi="Times New Roman" w:eastAsia="仿宋_GB2312" w:cs="Times New Roman"/>
          <w:color w:val="000000" w:themeColor="text1"/>
          <w:kern w:val="32"/>
          <w:sz w:val="32"/>
          <w:szCs w:val="32"/>
          <w14:textFill>
            <w14:solidFill>
              <w14:schemeClr w14:val="tx1"/>
            </w14:solidFill>
          </w14:textFill>
        </w:rPr>
        <w:t>%；社会消费品零售总额完成</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50.8</w:t>
      </w:r>
      <w:r>
        <w:rPr>
          <w:rFonts w:hint="default" w:ascii="Times New Roman" w:hAnsi="Times New Roman" w:eastAsia="仿宋_GB2312" w:cs="Times New Roman"/>
          <w:color w:val="000000" w:themeColor="text1"/>
          <w:kern w:val="32"/>
          <w:sz w:val="32"/>
          <w:szCs w:val="32"/>
          <w14:textFill>
            <w14:solidFill>
              <w14:schemeClr w14:val="tx1"/>
            </w14:solidFill>
          </w14:textFill>
        </w:rPr>
        <w:t>亿元，增长</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9.6</w:t>
      </w:r>
      <w:r>
        <w:rPr>
          <w:rFonts w:hint="default" w:ascii="Times New Roman" w:hAnsi="Times New Roman" w:eastAsia="仿宋_GB2312" w:cs="Times New Roman"/>
          <w:color w:val="000000" w:themeColor="text1"/>
          <w:kern w:val="32"/>
          <w:sz w:val="32"/>
          <w:szCs w:val="32"/>
          <w14:textFill>
            <w14:solidFill>
              <w14:schemeClr w14:val="tx1"/>
            </w14:solidFill>
          </w14:textFill>
        </w:rPr>
        <w:t>%；进出口总额完成</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0.4</w:t>
      </w:r>
      <w:r>
        <w:rPr>
          <w:rFonts w:hint="default" w:ascii="Times New Roman" w:hAnsi="Times New Roman" w:eastAsia="仿宋_GB2312" w:cs="Times New Roman"/>
          <w:color w:val="000000" w:themeColor="text1"/>
          <w:kern w:val="32"/>
          <w:sz w:val="32"/>
          <w:szCs w:val="32"/>
          <w14:textFill>
            <w14:solidFill>
              <w14:schemeClr w14:val="tx1"/>
            </w14:solidFill>
          </w14:textFill>
        </w:rPr>
        <w:t>亿元；一般公共预算收入完成</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3.68</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 </w:t>
      </w:r>
      <w:r>
        <w:rPr>
          <w:rFonts w:hint="default" w:ascii="Times New Roman" w:hAnsi="Times New Roman" w:eastAsia="仿宋_GB2312" w:cs="Times New Roman"/>
          <w:color w:val="000000" w:themeColor="text1"/>
          <w:kern w:val="32"/>
          <w:sz w:val="32"/>
          <w:szCs w:val="32"/>
          <w14:textFill>
            <w14:solidFill>
              <w14:schemeClr w14:val="tx1"/>
            </w14:solidFill>
          </w14:textFill>
        </w:rPr>
        <w:t>亿元</w:t>
      </w:r>
      <w:r>
        <w:rPr>
          <w:rFonts w:hint="default" w:ascii="Times New Roman" w:hAnsi="Times New Roman" w:eastAsia="仿宋_GB2312" w:cs="Times New Roman"/>
          <w:color w:val="000000" w:themeColor="text1"/>
          <w:kern w:val="32"/>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32"/>
          <w:sz w:val="32"/>
          <w:szCs w:val="32"/>
          <w:lang w:val="en-US" w:eastAsia="zh-CN"/>
          <w14:textFill>
            <w14:solidFill>
              <w14:schemeClr w14:val="tx1"/>
            </w14:solidFill>
          </w14:textFill>
        </w:rPr>
        <w:t xml:space="preserve">  </w:t>
      </w:r>
    </w:p>
    <w:p>
      <w:pPr>
        <w:keepNext w:val="0"/>
        <w:keepLines w:val="0"/>
        <w:pageBreakBefore w:val="0"/>
        <w:kinsoku/>
        <w:wordWrap/>
        <w:overflowPunct/>
        <w:topLinePunct w:val="0"/>
        <w:bidi w:val="0"/>
        <w:spacing w:line="560" w:lineRule="exact"/>
        <w:ind w:firstLine="643" w:firstLineChars="200"/>
        <w:rPr>
          <w:rFonts w:hint="default" w:ascii="楷体_GB2312" w:hAnsi="楷体_GB2312" w:eastAsia="楷体_GB2312" w:cs="楷体_GB2312"/>
          <w:b/>
          <w:color w:val="000000" w:themeColor="text1"/>
          <w:kern w:val="0"/>
          <w:sz w:val="32"/>
          <w:szCs w:val="32"/>
          <w14:textFill>
            <w14:solidFill>
              <w14:schemeClr w14:val="tx1"/>
            </w14:solidFill>
          </w14:textFill>
        </w:rPr>
      </w:pPr>
      <w:r>
        <w:rPr>
          <w:rFonts w:hint="default" w:ascii="楷体_GB2312" w:hAnsi="楷体_GB2312" w:eastAsia="楷体_GB2312" w:cs="楷体_GB2312"/>
          <w:b/>
          <w:color w:val="000000" w:themeColor="text1"/>
          <w:kern w:val="0"/>
          <w:sz w:val="32"/>
          <w:szCs w:val="32"/>
          <w:lang w:eastAsia="zh-CN"/>
          <w14:textFill>
            <w14:solidFill>
              <w14:schemeClr w14:val="tx1"/>
            </w14:solidFill>
          </w14:textFill>
        </w:rPr>
        <w:t>（二）</w:t>
      </w:r>
      <w:r>
        <w:rPr>
          <w:rFonts w:hint="default" w:ascii="楷体_GB2312" w:hAnsi="楷体_GB2312" w:eastAsia="楷体_GB2312" w:cs="楷体_GB2312"/>
          <w:b/>
          <w:color w:val="000000" w:themeColor="text1"/>
          <w:kern w:val="0"/>
          <w:sz w:val="32"/>
          <w:szCs w:val="32"/>
          <w14:textFill>
            <w14:solidFill>
              <w14:schemeClr w14:val="tx1"/>
            </w14:solidFill>
          </w14:textFill>
        </w:rPr>
        <w:t>集中精力打好项目攻坚战，</w:t>
      </w:r>
      <w:r>
        <w:rPr>
          <w:rFonts w:hint="default" w:ascii="楷体_GB2312" w:hAnsi="楷体_GB2312" w:eastAsia="楷体_GB2312" w:cs="楷体_GB2312"/>
          <w:b/>
          <w:color w:val="000000" w:themeColor="text1"/>
          <w:kern w:val="0"/>
          <w:sz w:val="32"/>
          <w:szCs w:val="32"/>
          <w:lang w:eastAsia="zh-CN"/>
          <w14:textFill>
            <w14:solidFill>
              <w14:schemeClr w14:val="tx1"/>
            </w14:solidFill>
          </w14:textFill>
        </w:rPr>
        <w:t>各</w:t>
      </w:r>
      <w:r>
        <w:rPr>
          <w:rFonts w:hint="default" w:ascii="楷体_GB2312" w:hAnsi="楷体_GB2312" w:eastAsia="楷体_GB2312" w:cs="楷体_GB2312"/>
          <w:b/>
          <w:color w:val="000000" w:themeColor="text1"/>
          <w:kern w:val="0"/>
          <w:sz w:val="32"/>
          <w:szCs w:val="32"/>
          <w14:textFill>
            <w14:solidFill>
              <w14:schemeClr w14:val="tx1"/>
            </w14:solidFill>
          </w14:textFill>
        </w:rPr>
        <w:t>大产业协调发展。</w:t>
      </w:r>
    </w:p>
    <w:p>
      <w:pPr>
        <w:keepNext w:val="0"/>
        <w:keepLines w:val="0"/>
        <w:pageBreakBefore w:val="0"/>
        <w:kinsoku/>
        <w:wordWrap/>
        <w:overflowPunct/>
        <w:topLinePunct w:val="0"/>
        <w:bidi w:val="0"/>
        <w:spacing w:line="560" w:lineRule="exact"/>
        <w:ind w:firstLine="643" w:firstLineChars="200"/>
        <w:rPr>
          <w:rFonts w:hint="default" w:ascii="Times New Roman" w:hAnsi="Times New Roman" w:eastAsia="仿宋_GB2312" w:cs="Times New Roman"/>
          <w:bCs/>
          <w:color w:val="000000" w:themeColor="text1"/>
          <w:kern w:val="0"/>
          <w:sz w:val="32"/>
          <w:szCs w:val="32"/>
          <w14:textFill>
            <w14:solidFill>
              <w14:schemeClr w14:val="tx1"/>
            </w14:solidFill>
          </w14:textFill>
        </w:rPr>
      </w:pPr>
      <w:r>
        <w:rPr>
          <w:rFonts w:hint="default" w:ascii="Times New Roman" w:hAnsi="Times New Roman" w:eastAsia="仿宋_GB2312" w:cs="Times New Roman"/>
          <w:b/>
          <w:bCs/>
          <w:color w:val="000000" w:themeColor="text1"/>
          <w:kern w:val="32"/>
          <w:sz w:val="32"/>
          <w:szCs w:val="32"/>
          <w:lang w:val="en-US" w:eastAsia="zh-CN"/>
          <w14:textFill>
            <w14:solidFill>
              <w14:schemeClr w14:val="tx1"/>
            </w14:solidFill>
          </w14:textFill>
        </w:rPr>
        <w:t>1、</w:t>
      </w:r>
      <w:r>
        <w:rPr>
          <w:rFonts w:hint="default" w:ascii="Times New Roman" w:hAnsi="Times New Roman" w:eastAsia="仿宋_GB2312" w:cs="Times New Roman"/>
          <w:b/>
          <w:bCs/>
          <w:color w:val="000000" w:themeColor="text1"/>
          <w:kern w:val="32"/>
          <w:sz w:val="32"/>
          <w:szCs w:val="32"/>
          <w14:textFill>
            <w14:solidFill>
              <w14:schemeClr w14:val="tx1"/>
            </w14:solidFill>
          </w14:textFill>
        </w:rPr>
        <w:t>包装储备项目。</w:t>
      </w:r>
      <w:r>
        <w:rPr>
          <w:rFonts w:hint="default" w:ascii="Times New Roman" w:hAnsi="Times New Roman" w:eastAsia="仿宋_GB2312" w:cs="Times New Roman"/>
          <w:color w:val="000000" w:themeColor="text1"/>
          <w:kern w:val="32"/>
          <w:sz w:val="32"/>
          <w:szCs w:val="32"/>
          <w14:textFill>
            <w14:solidFill>
              <w14:schemeClr w14:val="tx1"/>
            </w14:solidFill>
          </w14:textFill>
        </w:rPr>
        <w:t>围绕</w:t>
      </w:r>
      <w:r>
        <w:rPr>
          <w:rFonts w:hint="eastAsia" w:ascii="Times New Roman" w:hAnsi="Times New Roman" w:eastAsia="仿宋_GB2312" w:cs="Times New Roman"/>
          <w:color w:val="000000" w:themeColor="text1"/>
          <w:kern w:val="32"/>
          <w:sz w:val="32"/>
          <w:szCs w:val="32"/>
          <w:lang w:eastAsia="zh-CN"/>
          <w14:textFill>
            <w14:solidFill>
              <w14:schemeClr w14:val="tx1"/>
            </w14:solidFill>
          </w14:textFill>
        </w:rPr>
        <w:t>遂宁高新区总体</w:t>
      </w:r>
      <w:r>
        <w:rPr>
          <w:rFonts w:hint="default" w:ascii="Times New Roman" w:hAnsi="Times New Roman" w:eastAsia="仿宋_GB2312" w:cs="Times New Roman"/>
          <w:color w:val="000000" w:themeColor="text1"/>
          <w:kern w:val="32"/>
          <w:sz w:val="32"/>
          <w:szCs w:val="32"/>
          <w14:textFill>
            <w14:solidFill>
              <w14:schemeClr w14:val="tx1"/>
            </w14:solidFill>
          </w14:textFill>
        </w:rPr>
        <w:t>规划</w:t>
      </w:r>
      <w:r>
        <w:rPr>
          <w:rFonts w:hint="default" w:ascii="Times New Roman" w:hAnsi="Times New Roman" w:eastAsia="仿宋_GB2312" w:cs="Times New Roman"/>
          <w:bCs/>
          <w:color w:val="000000" w:themeColor="text1"/>
          <w:kern w:val="0"/>
          <w:sz w:val="32"/>
          <w:szCs w:val="32"/>
          <w14:textFill>
            <w14:solidFill>
              <w14:schemeClr w14:val="tx1"/>
            </w14:solidFill>
          </w14:textFill>
        </w:rPr>
        <w:t>，包装</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了</w:t>
      </w:r>
      <w:r>
        <w:rPr>
          <w:rFonts w:hint="default" w:ascii="Times New Roman" w:hAnsi="Times New Roman" w:eastAsia="仿宋_GB2312" w:cs="Times New Roman"/>
          <w:bCs/>
          <w:color w:val="000000" w:themeColor="text1"/>
          <w:kern w:val="0"/>
          <w:sz w:val="32"/>
          <w:szCs w:val="32"/>
          <w14:textFill>
            <w14:solidFill>
              <w14:schemeClr w14:val="tx1"/>
            </w14:solidFill>
          </w14:textFill>
        </w:rPr>
        <w:t>基础设施、城市功能、乡村振兴、生态环境等66个项目</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总投资达513亿元。建立重点项目储备库，实行动态管理、常态调整，保持储备项目质量不减、投资不变。</w:t>
      </w:r>
    </w:p>
    <w:p>
      <w:pPr>
        <w:keepNext w:val="0"/>
        <w:keepLines w:val="0"/>
        <w:pageBreakBefore w:val="0"/>
        <w:kinsoku/>
        <w:wordWrap/>
        <w:overflowPunct/>
        <w:topLinePunct w:val="0"/>
        <w:bidi w:val="0"/>
        <w:adjustRightInd w:val="0"/>
        <w:snapToGrid w:val="0"/>
        <w:spacing w:line="560" w:lineRule="exact"/>
        <w:ind w:firstLine="643" w:firstLineChars="200"/>
        <w:rPr>
          <w:rFonts w:hint="default" w:ascii="Times New Roman" w:hAnsi="Times New Roman" w:eastAsia="仿宋_GB2312"/>
          <w:bCs/>
          <w:color w:val="000000" w:themeColor="text1"/>
          <w:kern w:val="0"/>
          <w:sz w:val="32"/>
          <w:szCs w:val="32"/>
          <w14:textFill>
            <w14:solidFill>
              <w14:schemeClr w14:val="tx1"/>
            </w14:solidFill>
          </w14:textFill>
        </w:rPr>
      </w:pPr>
      <w:r>
        <w:rPr>
          <w:rFonts w:hint="default" w:ascii="Times New Roman" w:hAnsi="Times New Roman" w:eastAsia="仿宋_GB2312" w:cs="Times New Roman"/>
          <w:b/>
          <w:bCs w:val="0"/>
          <w:color w:val="000000" w:themeColor="text1"/>
          <w:kern w:val="0"/>
          <w:sz w:val="32"/>
          <w:szCs w:val="32"/>
          <w:lang w:val="en-US" w:eastAsia="zh-CN"/>
          <w14:textFill>
            <w14:solidFill>
              <w14:schemeClr w14:val="tx1"/>
            </w14:solidFill>
          </w14:textFill>
        </w:rPr>
        <w:t>2、</w:t>
      </w:r>
      <w:r>
        <w:rPr>
          <w:rFonts w:hint="default" w:ascii="Times New Roman" w:hAnsi="Times New Roman" w:eastAsia="仿宋_GB2312" w:cs="Times New Roman"/>
          <w:b/>
          <w:bCs w:val="0"/>
          <w:color w:val="000000" w:themeColor="text1"/>
          <w:kern w:val="0"/>
          <w:sz w:val="32"/>
          <w:szCs w:val="32"/>
          <w14:textFill>
            <w14:solidFill>
              <w14:schemeClr w14:val="tx1"/>
            </w14:solidFill>
          </w14:textFill>
        </w:rPr>
        <w:t>狠抓招商引资。</w:t>
      </w:r>
      <w:r>
        <w:rPr>
          <w:rFonts w:hint="default" w:ascii="Times New Roman" w:hAnsi="Times New Roman" w:eastAsia="仿宋_GB2312" w:cs="Times New Roman"/>
          <w:bCs/>
          <w:color w:val="000000" w:themeColor="text1"/>
          <w:kern w:val="0"/>
          <w:sz w:val="32"/>
          <w:szCs w:val="32"/>
          <w14:textFill>
            <w14:solidFill>
              <w14:schemeClr w14:val="tx1"/>
            </w14:solidFill>
          </w14:textFill>
        </w:rPr>
        <w:t>组建招商小分队高频率招商，党政主要负责同志先后25次带队赴长三角、粤港澳大湾区等重点区域招商，对接重点企业65家。大力实施平台招商，在“2019中外知名企业四川行活动”、西博会等省、市平台签约项目投资额达61.2亿元。今年以来，在市委市政府大力支持下，成功引进上达电子、中科钢研、中烟宽窄印务等14个项目</w:t>
      </w:r>
      <w:r>
        <w:rPr>
          <w:rFonts w:hint="default" w:ascii="Times New Roman" w:hAnsi="Times New Roman" w:eastAsia="仿宋_GB2312"/>
          <w:bCs/>
          <w:color w:val="000000" w:themeColor="text1"/>
          <w:kern w:val="0"/>
          <w:sz w:val="32"/>
          <w:szCs w:val="32"/>
          <w:lang w:eastAsia="zh-CN"/>
          <w14:textFill>
            <w14:solidFill>
              <w14:schemeClr w14:val="tx1"/>
            </w14:solidFill>
          </w14:textFill>
        </w:rPr>
        <w:t>，总投资</w:t>
      </w:r>
      <w:r>
        <w:rPr>
          <w:rFonts w:hint="default" w:ascii="Times New Roman" w:hAnsi="Times New Roman" w:eastAsia="仿宋_GB2312"/>
          <w:bCs/>
          <w:color w:val="000000" w:themeColor="text1"/>
          <w:kern w:val="0"/>
          <w:sz w:val="32"/>
          <w:szCs w:val="32"/>
          <w14:textFill>
            <w14:solidFill>
              <w14:schemeClr w14:val="tx1"/>
            </w14:solidFill>
          </w14:textFill>
        </w:rPr>
        <w:t>181.3亿元</w:t>
      </w:r>
      <w:r>
        <w:rPr>
          <w:rFonts w:hint="default" w:ascii="Times New Roman" w:hAnsi="Times New Roman" w:eastAsia="仿宋_GB2312"/>
          <w:bCs/>
          <w:color w:val="000000" w:themeColor="text1"/>
          <w:kern w:val="0"/>
          <w:sz w:val="32"/>
          <w:szCs w:val="32"/>
          <w:lang w:eastAsia="zh-CN"/>
          <w14:textFill>
            <w14:solidFill>
              <w14:schemeClr w14:val="tx1"/>
            </w14:solidFill>
          </w14:textFill>
        </w:rPr>
        <w:t>，已</w:t>
      </w:r>
      <w:r>
        <w:rPr>
          <w:rFonts w:hint="default" w:ascii="Times New Roman" w:hAnsi="Times New Roman" w:eastAsia="仿宋_GB2312"/>
          <w:bCs/>
          <w:color w:val="000000" w:themeColor="text1"/>
          <w:kern w:val="0"/>
          <w:sz w:val="32"/>
          <w:szCs w:val="32"/>
          <w14:textFill>
            <w14:solidFill>
              <w14:schemeClr w14:val="tx1"/>
            </w14:solidFill>
          </w14:textFill>
        </w:rPr>
        <w:t>到位资金60亿元，提前超额完成目标任务。</w:t>
      </w:r>
    </w:p>
    <w:p>
      <w:pPr>
        <w:keepNext w:val="0"/>
        <w:keepLines w:val="0"/>
        <w:pageBreakBefore w:val="0"/>
        <w:kinsoku/>
        <w:wordWrap/>
        <w:overflowPunct/>
        <w:topLinePunct w:val="0"/>
        <w:bidi w:val="0"/>
        <w:adjustRightInd w:val="0"/>
        <w:snapToGrid w:val="0"/>
        <w:spacing w:line="560" w:lineRule="exact"/>
        <w:ind w:firstLine="643"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b/>
          <w:bCs w:val="0"/>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b/>
          <w:bCs w:val="0"/>
          <w:color w:val="000000" w:themeColor="text1"/>
          <w:kern w:val="0"/>
          <w:sz w:val="32"/>
          <w:szCs w:val="32"/>
          <w14:textFill>
            <w14:solidFill>
              <w14:schemeClr w14:val="tx1"/>
            </w14:solidFill>
          </w14:textFill>
        </w:rPr>
        <w:t>强力推进项目建设。</w:t>
      </w:r>
      <w:r>
        <w:rPr>
          <w:rFonts w:hint="default" w:ascii="Times New Roman" w:hAnsi="Times New Roman" w:eastAsia="仿宋_GB2312" w:cs="Times New Roman"/>
          <w:bCs/>
          <w:color w:val="000000" w:themeColor="text1"/>
          <w:kern w:val="0"/>
          <w:sz w:val="32"/>
          <w:szCs w:val="32"/>
          <w14:textFill>
            <w14:solidFill>
              <w14:schemeClr w14:val="tx1"/>
            </w14:solidFill>
          </w14:textFill>
        </w:rPr>
        <w:t>建立“一月一调度”的工作协调机制，清单化梳理项目，采用“红、黄、绿”三色，点对点标注项目进展，挂图作战、全程跟踪，推动上达电子、托璞勒、明德润和等40个、总投资160亿元重点项目开工建设，上达电子开工现场与省上连线，华瓷科技、中豪粮油等9个项目建成投产。加快城市基础设施建设，基本完成云舒画廊、雁栖湖、PCB污水处理厂等重大项目前期工作；启动纵路Ⅰ、纵路Ⅱ等4条市政道路建设，完成12公里自来水主管道、17公里电力主干线、21公里燃气主管道建设。</w:t>
      </w:r>
    </w:p>
    <w:p>
      <w:pPr>
        <w:pStyle w:val="4"/>
        <w:keepNext w:val="0"/>
        <w:keepLines w:val="0"/>
        <w:pageBreakBefore w:val="0"/>
        <w:kinsoku/>
        <w:wordWrap/>
        <w:overflowPunct/>
        <w:topLinePunct w:val="0"/>
        <w:bidi w:val="0"/>
        <w:spacing w:line="560" w:lineRule="exact"/>
        <w:ind w:right="0" w:firstLine="643" w:firstLineChars="200"/>
        <w:rPr>
          <w:rFonts w:hint="default" w:ascii="Times New Roman" w:hAnsi="Times New Roman" w:eastAsia="仿宋_GB2312" w:cs="Times New Roman"/>
          <w:bCs/>
          <w:color w:val="000000" w:themeColor="text1"/>
          <w:kern w:val="0"/>
          <w:sz w:val="32"/>
          <w:szCs w:val="32"/>
          <w14:textFill>
            <w14:solidFill>
              <w14:schemeClr w14:val="tx1"/>
            </w14:solidFill>
          </w14:textFill>
        </w:rPr>
      </w:pPr>
      <w:r>
        <w:rPr>
          <w:rFonts w:hint="default" w:ascii="Times New Roman" w:hAnsi="Times New Roman" w:eastAsia="仿宋_GB2312" w:cs="Times New Roman"/>
          <w:b/>
          <w:bCs w:val="0"/>
          <w:color w:val="000000" w:themeColor="text1"/>
          <w:kern w:val="0"/>
          <w:sz w:val="32"/>
          <w:szCs w:val="32"/>
          <w:lang w:val="en-US" w:eastAsia="zh-CN"/>
          <w14:textFill>
            <w14:solidFill>
              <w14:schemeClr w14:val="tx1"/>
            </w14:solidFill>
          </w14:textFill>
        </w:rPr>
        <w:t>4、</w:t>
      </w:r>
      <w:r>
        <w:rPr>
          <w:rFonts w:hint="default" w:ascii="Times New Roman" w:hAnsi="Times New Roman" w:eastAsia="仿宋_GB2312" w:cs="Times New Roman"/>
          <w:b/>
          <w:bCs w:val="0"/>
          <w:color w:val="000000" w:themeColor="text1"/>
          <w:kern w:val="0"/>
          <w:sz w:val="32"/>
          <w:szCs w:val="32"/>
          <w14:textFill>
            <w14:solidFill>
              <w14:schemeClr w14:val="tx1"/>
            </w14:solidFill>
          </w14:textFill>
        </w:rPr>
        <w:t>打造一流营商环境。</w:t>
      </w:r>
      <w:r>
        <w:rPr>
          <w:rFonts w:hint="default" w:ascii="Times New Roman" w:hAnsi="Times New Roman" w:eastAsia="仿宋_GB2312" w:cs="Times New Roman"/>
          <w:bCs/>
          <w:color w:val="000000" w:themeColor="text1"/>
          <w:kern w:val="0"/>
          <w:sz w:val="32"/>
          <w:szCs w:val="32"/>
          <w14:textFill>
            <w14:solidFill>
              <w14:schemeClr w14:val="tx1"/>
            </w14:solidFill>
          </w14:textFill>
        </w:rPr>
        <w:t>强化资金保障，举行融资对接会2次，与5家银行机构签署战略合作协议，取得授信456.3亿元，现场发放贷款11.08亿元。强化要素保障，报征土地1387.6亩、实现供地517.8亩，完成拆迁8万余平方米、安置20万平方米，完成场平1700亩。</w:t>
      </w:r>
    </w:p>
    <w:p>
      <w:pPr>
        <w:keepNext w:val="0"/>
        <w:keepLines w:val="0"/>
        <w:pageBreakBefore w:val="0"/>
        <w:kinsoku/>
        <w:wordWrap/>
        <w:overflowPunct/>
        <w:topLinePunct w:val="0"/>
        <w:bidi w:val="0"/>
        <w:adjustRightInd w:val="0"/>
        <w:snapToGrid w:val="0"/>
        <w:spacing w:line="560" w:lineRule="exact"/>
        <w:ind w:firstLine="643" w:firstLineChars="200"/>
        <w:rPr>
          <w:rFonts w:hint="default" w:ascii="Times New Roman" w:hAnsi="Times New Roman" w:eastAsia="仿宋_GB2312" w:cs="Times New Roman"/>
          <w:bCs/>
          <w:color w:val="000000" w:themeColor="text1"/>
          <w:kern w:val="0"/>
          <w:sz w:val="32"/>
          <w:szCs w:val="32"/>
          <w:lang w:eastAsia="zh-CN"/>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eastAsia="zh-CN"/>
          <w14:textFill>
            <w14:solidFill>
              <w14:schemeClr w14:val="tx1"/>
            </w14:solidFill>
          </w14:textFill>
        </w:rPr>
        <w:t>（三）</w:t>
      </w:r>
      <w:r>
        <w:rPr>
          <w:rFonts w:hint="eastAsia" w:ascii="楷体_GB2312" w:hAnsi="楷体_GB2312" w:eastAsia="楷体_GB2312" w:cs="楷体_GB2312"/>
          <w:b/>
          <w:bCs w:val="0"/>
          <w:color w:val="000000" w:themeColor="text1"/>
          <w:kern w:val="0"/>
          <w:sz w:val="32"/>
          <w:szCs w:val="32"/>
          <w14:textFill>
            <w14:solidFill>
              <w14:schemeClr w14:val="tx1"/>
            </w14:solidFill>
          </w14:textFill>
        </w:rPr>
        <w:t>推动产业格局加快重构</w:t>
      </w:r>
      <w:r>
        <w:rPr>
          <w:rFonts w:hint="eastAsia" w:ascii="楷体_GB2312" w:hAnsi="楷体_GB2312" w:eastAsia="楷体_GB2312" w:cs="楷体_GB2312"/>
          <w:b/>
          <w:bCs w:val="0"/>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
          <w:bCs w:val="0"/>
          <w:color w:val="000000" w:themeColor="text1"/>
          <w:sz w:val="32"/>
          <w:szCs w:val="32"/>
          <w14:textFill>
            <w14:solidFill>
              <w14:schemeClr w14:val="tx1"/>
            </w14:solidFill>
          </w14:textFill>
        </w:rPr>
        <w:t>激发经济新动能</w:t>
      </w:r>
      <w:r>
        <w:rPr>
          <w:rFonts w:hint="eastAsia" w:ascii="楷体_GB2312" w:hAnsi="楷体_GB2312" w:eastAsia="楷体_GB2312" w:cs="楷体_GB2312"/>
          <w:b/>
          <w:bCs w:val="0"/>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adjustRightInd w:val="0"/>
        <w:snapToGrid w:val="0"/>
        <w:spacing w:line="560" w:lineRule="exact"/>
        <w:ind w:firstLine="643" w:firstLineChars="200"/>
        <w:rPr>
          <w:rFonts w:hint="default" w:ascii="Times New Roman" w:hAnsi="Times New Roman" w:eastAsia="仿宋_GB2312" w:cs="Times New Roman"/>
          <w:bCs/>
          <w:color w:val="000000" w:themeColor="text1"/>
          <w:kern w:val="0"/>
          <w:sz w:val="32"/>
          <w:szCs w:val="32"/>
          <w14:textFill>
            <w14:solidFill>
              <w14:schemeClr w14:val="tx1"/>
            </w14:solidFill>
          </w14:textFill>
        </w:rPr>
      </w:pPr>
      <w:r>
        <w:rPr>
          <w:rFonts w:hint="default" w:ascii="Times New Roman" w:hAnsi="Times New Roman" w:eastAsia="仿宋_GB2312" w:cs="Times New Roman"/>
          <w:b/>
          <w:bCs w:val="0"/>
          <w:color w:val="000000" w:themeColor="text1"/>
          <w:kern w:val="0"/>
          <w:sz w:val="32"/>
          <w:szCs w:val="32"/>
          <w:lang w:val="en-US" w:eastAsia="zh-CN"/>
          <w14:textFill>
            <w14:solidFill>
              <w14:schemeClr w14:val="tx1"/>
            </w14:solidFill>
          </w14:textFill>
        </w:rPr>
        <w:t>1、</w:t>
      </w:r>
      <w:r>
        <w:rPr>
          <w:rFonts w:hint="default" w:ascii="Times New Roman" w:hAnsi="Times New Roman" w:eastAsia="仿宋_GB2312" w:cs="Times New Roman"/>
          <w:b/>
          <w:bCs w:val="0"/>
          <w:color w:val="000000" w:themeColor="text1"/>
          <w:kern w:val="0"/>
          <w:sz w:val="32"/>
          <w:szCs w:val="32"/>
          <w14:textFill>
            <w14:solidFill>
              <w14:schemeClr w14:val="tx1"/>
            </w14:solidFill>
          </w14:textFill>
        </w:rPr>
        <w:t>做大高技术制造业。</w:t>
      </w:r>
      <w:r>
        <w:rPr>
          <w:rFonts w:hint="default" w:ascii="Times New Roman" w:hAnsi="Times New Roman" w:eastAsia="仿宋_GB2312" w:cs="Times New Roman"/>
          <w:bCs/>
          <w:color w:val="000000" w:themeColor="text1"/>
          <w:kern w:val="0"/>
          <w:sz w:val="32"/>
          <w:szCs w:val="32"/>
          <w14:textFill>
            <w14:solidFill>
              <w14:schemeClr w14:val="tx1"/>
            </w14:solidFill>
          </w14:textFill>
        </w:rPr>
        <w:t>紧盯电子信息、机械装备、先进材料、食品生物4类重点产业，积极补链延链，推动产业集群发展、扩能增量，预计全年电子信息业产值同比增长51.7%、机械装备产业增长25.3%、新材料产业增长19.6%。全力推动产业转型升级，研究制定创新创业10条措施，构建“孵化+服务+转化”的创新体系，与中科院、浙江大学等20余家高校和科研院所产学研合作，加快打造1600亩环湖科创带。强化企业培育，建立重点企业数据库，累计滚动培育四维环保等企业40余家，支持企业争创省级工业发展资金等项目67项，帮助企业解决实际困难。</w:t>
      </w:r>
    </w:p>
    <w:p>
      <w:pPr>
        <w:keepNext w:val="0"/>
        <w:keepLines w:val="0"/>
        <w:pageBreakBefore w:val="0"/>
        <w:kinsoku/>
        <w:wordWrap/>
        <w:overflowPunct/>
        <w:topLinePunct w:val="0"/>
        <w:bidi w:val="0"/>
        <w:adjustRightInd w:val="0"/>
        <w:snapToGrid w:val="0"/>
        <w:spacing w:line="560" w:lineRule="exact"/>
        <w:ind w:firstLine="643" w:firstLineChars="200"/>
        <w:rPr>
          <w:rFonts w:hint="default" w:ascii="Times New Roman" w:hAnsi="Times New Roman" w:eastAsia="仿宋_GB2312" w:cs="Times New Roman"/>
          <w:bCs/>
          <w:color w:val="000000" w:themeColor="text1"/>
          <w:kern w:val="0"/>
          <w:sz w:val="32"/>
          <w:szCs w:val="32"/>
          <w14:textFill>
            <w14:solidFill>
              <w14:schemeClr w14:val="tx1"/>
            </w14:solidFill>
          </w14:textFill>
        </w:rPr>
      </w:pPr>
      <w:r>
        <w:rPr>
          <w:rFonts w:hint="default" w:ascii="Times New Roman" w:hAnsi="Times New Roman" w:eastAsia="仿宋_GB2312" w:cs="Times New Roman"/>
          <w:b/>
          <w:bCs w:val="0"/>
          <w:color w:val="000000" w:themeColor="text1"/>
          <w:kern w:val="0"/>
          <w:sz w:val="32"/>
          <w:szCs w:val="32"/>
          <w:lang w:val="en-US" w:eastAsia="zh-CN"/>
          <w14:textFill>
            <w14:solidFill>
              <w14:schemeClr w14:val="tx1"/>
            </w14:solidFill>
          </w14:textFill>
        </w:rPr>
        <w:t>2、</w:t>
      </w:r>
      <w:r>
        <w:rPr>
          <w:rFonts w:hint="default" w:ascii="Times New Roman" w:hAnsi="Times New Roman" w:eastAsia="仿宋_GB2312" w:cs="Times New Roman"/>
          <w:b/>
          <w:bCs w:val="0"/>
          <w:color w:val="000000" w:themeColor="text1"/>
          <w:kern w:val="0"/>
          <w:sz w:val="32"/>
          <w:szCs w:val="32"/>
          <w14:textFill>
            <w14:solidFill>
              <w14:schemeClr w14:val="tx1"/>
            </w14:solidFill>
          </w14:textFill>
        </w:rPr>
        <w:t>做强特色产业。</w:t>
      </w:r>
      <w:r>
        <w:rPr>
          <w:rFonts w:hint="default" w:ascii="Times New Roman" w:hAnsi="Times New Roman" w:eastAsia="仿宋_GB2312" w:cs="Times New Roman"/>
          <w:bCs/>
          <w:color w:val="000000" w:themeColor="text1"/>
          <w:kern w:val="0"/>
          <w:sz w:val="32"/>
          <w:szCs w:val="32"/>
          <w14:textFill>
            <w14:solidFill>
              <w14:schemeClr w14:val="tx1"/>
            </w14:solidFill>
          </w14:textFill>
        </w:rPr>
        <w:t>大力发展现代物流业，2019年实现营业收入140亿元、同比增长30.8%；借力创建国家物流枢纽，推动中国西部现代物流港成为首批全国物流运行监测点，被列为《西部陆海新通道总体规划》重点培育物流园区；积极推动公铁联运提质增效，中铁特货遂宁南商品车物流基地正式运行，铁路货运吞吐量达85万吨、同比增长35%。积极推动商贸服务业发展，西部汽车产业园预计年销量超过4万台、年销售额35亿元、占全市的80%；借助美丽示范街道建设机遇，选定中环线华翔城段，加快打造“美食一条街”“娱乐一条街”，带动建设夜晚经济区。大力发展现代农业，建设5000亩标准化种植基地，打造“524”“辛农民”等知名品牌；引进投资1.8亿元的中欧现代农业园项目、投资2亿元的现代水产养殖项目，打造科技农业园区。</w:t>
      </w:r>
    </w:p>
    <w:p>
      <w:pPr>
        <w:keepNext w:val="0"/>
        <w:keepLines w:val="0"/>
        <w:pageBreakBefore w:val="0"/>
        <w:kinsoku/>
        <w:wordWrap/>
        <w:overflowPunct/>
        <w:topLinePunct w:val="0"/>
        <w:bidi w:val="0"/>
        <w:adjustRightInd w:val="0"/>
        <w:snapToGrid w:val="0"/>
        <w:spacing w:line="560" w:lineRule="exact"/>
        <w:ind w:firstLine="643" w:firstLineChars="200"/>
        <w:rPr>
          <w:rFonts w:hint="default" w:ascii="Times New Roman" w:hAnsi="Times New Roman" w:eastAsia="仿宋_GB2312" w:cs="Times New Roman"/>
          <w:bCs/>
          <w:color w:val="000000" w:themeColor="text1"/>
          <w:kern w:val="0"/>
          <w:sz w:val="32"/>
          <w:szCs w:val="32"/>
          <w14:textFill>
            <w14:solidFill>
              <w14:schemeClr w14:val="tx1"/>
            </w14:solidFill>
          </w14:textFill>
        </w:rPr>
      </w:pPr>
      <w:r>
        <w:rPr>
          <w:rFonts w:hint="default" w:ascii="Times New Roman" w:hAnsi="Times New Roman" w:eastAsia="仿宋_GB2312" w:cs="Times New Roman"/>
          <w:b/>
          <w:bCs w:val="0"/>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b/>
          <w:bCs w:val="0"/>
          <w:color w:val="000000" w:themeColor="text1"/>
          <w:kern w:val="0"/>
          <w:sz w:val="32"/>
          <w:szCs w:val="32"/>
          <w14:textFill>
            <w14:solidFill>
              <w14:schemeClr w14:val="tx1"/>
            </w14:solidFill>
          </w14:textFill>
        </w:rPr>
        <w:t>做优新兴经济。</w:t>
      </w:r>
      <w:r>
        <w:rPr>
          <w:rFonts w:hint="default" w:ascii="Times New Roman" w:hAnsi="Times New Roman" w:eastAsia="仿宋_GB2312" w:cs="Times New Roman"/>
          <w:bCs/>
          <w:color w:val="000000" w:themeColor="text1"/>
          <w:kern w:val="0"/>
          <w:sz w:val="32"/>
          <w:szCs w:val="32"/>
          <w14:textFill>
            <w14:solidFill>
              <w14:schemeClr w14:val="tx1"/>
            </w14:solidFill>
          </w14:textFill>
        </w:rPr>
        <w:t>大力发展临空经济，依托遂宁机场，规划建设占地4平方公里、200亿元的产业园区，夯实临空经济发展载体，目前已商邀遂发展牵头，全力开展园区业态、产业布局等方面研究，加快制定产业发展规划。大力发展数字经济，与中国电子达成共建政务云平台的共识，初步完成4000余平方米的场地选址，正全力推进招投标等前期工作，近期将全面拉开建设。</w:t>
      </w:r>
    </w:p>
    <w:p>
      <w:pPr>
        <w:keepNext w:val="0"/>
        <w:keepLines w:val="0"/>
        <w:pageBreakBefore w:val="0"/>
        <w:kinsoku/>
        <w:wordWrap/>
        <w:overflowPunct/>
        <w:topLinePunct w:val="0"/>
        <w:bidi w:val="0"/>
        <w:adjustRightInd w:val="0"/>
        <w:snapToGrid w:val="0"/>
        <w:spacing w:line="560" w:lineRule="exact"/>
        <w:ind w:firstLine="643" w:firstLineChars="200"/>
        <w:rPr>
          <w:rFonts w:hint="default" w:ascii="Times New Roman" w:hAnsi="Times New Roman" w:eastAsia="仿宋_GB2312" w:cs="Times New Roman"/>
          <w:bCs/>
          <w:color w:val="000000" w:themeColor="text1"/>
          <w:kern w:val="0"/>
          <w:sz w:val="32"/>
          <w:szCs w:val="32"/>
          <w14:textFill>
            <w14:solidFill>
              <w14:schemeClr w14:val="tx1"/>
            </w14:solidFill>
          </w14:textFill>
        </w:rPr>
      </w:pPr>
      <w:r>
        <w:rPr>
          <w:rFonts w:hint="default" w:ascii="Times New Roman" w:hAnsi="Times New Roman" w:eastAsia="仿宋_GB2312" w:cs="Times New Roman"/>
          <w:b/>
          <w:bCs w:val="0"/>
          <w:color w:val="000000" w:themeColor="text1"/>
          <w:kern w:val="0"/>
          <w:sz w:val="32"/>
          <w:szCs w:val="32"/>
          <w:lang w:val="en-US" w:eastAsia="zh-CN"/>
          <w14:textFill>
            <w14:solidFill>
              <w14:schemeClr w14:val="tx1"/>
            </w14:solidFill>
          </w14:textFill>
        </w:rPr>
        <w:t>4、</w:t>
      </w:r>
      <w:r>
        <w:rPr>
          <w:rFonts w:hint="default" w:ascii="Times New Roman" w:hAnsi="Times New Roman" w:eastAsia="仿宋_GB2312" w:cs="Times New Roman"/>
          <w:b/>
          <w:bCs w:val="0"/>
          <w:color w:val="000000" w:themeColor="text1"/>
          <w:kern w:val="0"/>
          <w:sz w:val="32"/>
          <w:szCs w:val="32"/>
          <w14:textFill>
            <w14:solidFill>
              <w14:schemeClr w14:val="tx1"/>
            </w14:solidFill>
          </w14:textFill>
        </w:rPr>
        <w:t>积极创建国家高新区。</w:t>
      </w:r>
      <w:r>
        <w:rPr>
          <w:rFonts w:hint="default" w:ascii="Times New Roman" w:hAnsi="Times New Roman" w:eastAsia="仿宋_GB2312" w:cs="Times New Roman"/>
          <w:bCs/>
          <w:color w:val="000000" w:themeColor="text1"/>
          <w:kern w:val="0"/>
          <w:sz w:val="32"/>
          <w:szCs w:val="32"/>
          <w14:textFill>
            <w14:solidFill>
              <w14:schemeClr w14:val="tx1"/>
            </w14:solidFill>
          </w14:textFill>
        </w:rPr>
        <w:t>全面探索创建新路径，研究起草的《关于将遂宁高新技术产业园区升级为国家高新技术产业开发区的请示》已上报至国务院。聘请中国高新区研究中心指导国家高新区申建工作，正加快推动产业规划、战略规划等有关资料编制和迎检点位打造。</w:t>
      </w:r>
    </w:p>
    <w:p>
      <w:pPr>
        <w:keepNext w:val="0"/>
        <w:keepLines w:val="0"/>
        <w:pageBreakBefore w:val="0"/>
        <w:kinsoku/>
        <w:wordWrap/>
        <w:overflowPunct/>
        <w:topLinePunct w:val="0"/>
        <w:bidi w:val="0"/>
        <w:adjustRightInd w:val="0"/>
        <w:snapToGrid w:val="0"/>
        <w:spacing w:line="560" w:lineRule="exact"/>
        <w:ind w:firstLine="643" w:firstLineChars="200"/>
        <w:rPr>
          <w:rFonts w:hint="default" w:ascii="Times New Roman" w:hAnsi="Times New Roman" w:eastAsia="仿宋_GB2312" w:cs="Times New Roman"/>
          <w:bCs/>
          <w:color w:val="000000" w:themeColor="text1"/>
          <w:kern w:val="0"/>
          <w:sz w:val="32"/>
          <w:szCs w:val="32"/>
          <w:lang w:eastAsia="zh-CN"/>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eastAsia="zh-CN"/>
          <w14:textFill>
            <w14:solidFill>
              <w14:schemeClr w14:val="tx1"/>
            </w14:solidFill>
          </w14:textFill>
        </w:rPr>
        <w:t>（四）</w:t>
      </w:r>
      <w:r>
        <w:rPr>
          <w:rFonts w:hint="eastAsia" w:ascii="楷体_GB2312" w:hAnsi="楷体_GB2312" w:eastAsia="楷体_GB2312" w:cs="楷体_GB2312"/>
          <w:b/>
          <w:bCs w:val="0"/>
          <w:color w:val="000000" w:themeColor="text1"/>
          <w:kern w:val="0"/>
          <w:sz w:val="32"/>
          <w:szCs w:val="32"/>
          <w14:textFill>
            <w14:solidFill>
              <w14:schemeClr w14:val="tx1"/>
            </w14:solidFill>
          </w14:textFill>
        </w:rPr>
        <w:t>全力保障和改善民生</w:t>
      </w:r>
      <w:r>
        <w:rPr>
          <w:rFonts w:hint="eastAsia" w:ascii="楷体_GB2312" w:hAnsi="楷体_GB2312" w:eastAsia="楷体_GB2312" w:cs="楷体_GB2312"/>
          <w:b/>
          <w:bCs w:val="0"/>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
          <w:bCs w:val="0"/>
          <w:color w:val="000000" w:themeColor="text1"/>
          <w:kern w:val="0"/>
          <w:sz w:val="32"/>
          <w:szCs w:val="32"/>
          <w14:textFill>
            <w14:solidFill>
              <w14:schemeClr w14:val="tx1"/>
            </w14:solidFill>
          </w14:textFill>
        </w:rPr>
        <w:t>着力解决突出的民生问题</w:t>
      </w:r>
      <w:r>
        <w:rPr>
          <w:rFonts w:hint="eastAsia" w:ascii="楷体_GB2312" w:hAnsi="楷体_GB2312" w:eastAsia="楷体_GB2312" w:cs="楷体_GB2312"/>
          <w:b/>
          <w:bCs w:val="0"/>
          <w:color w:val="000000" w:themeColor="text1"/>
          <w:kern w:val="0"/>
          <w:sz w:val="32"/>
          <w:szCs w:val="32"/>
          <w:lang w:eastAsia="zh-CN"/>
          <w14:textFill>
            <w14:solidFill>
              <w14:schemeClr w14:val="tx1"/>
            </w14:solidFill>
          </w14:textFill>
        </w:rPr>
        <w:t>。</w:t>
      </w:r>
    </w:p>
    <w:p>
      <w:pPr>
        <w:keepNext w:val="0"/>
        <w:keepLines w:val="0"/>
        <w:pageBreakBefore w:val="0"/>
        <w:kinsoku/>
        <w:wordWrap/>
        <w:overflowPunct/>
        <w:topLinePunct w:val="0"/>
        <w:bidi w:val="0"/>
        <w:adjustRightInd w:val="0"/>
        <w:snapToGrid w:val="0"/>
        <w:spacing w:line="560" w:lineRule="exact"/>
        <w:ind w:firstLine="643" w:firstLineChars="200"/>
        <w:rPr>
          <w:rFonts w:hint="default" w:ascii="Times New Roman" w:hAnsi="Times New Roman" w:eastAsia="仿宋_GB2312" w:cs="Times New Roman"/>
          <w:bCs/>
          <w:color w:val="000000" w:themeColor="text1"/>
          <w:kern w:val="0"/>
          <w:sz w:val="32"/>
          <w:szCs w:val="32"/>
          <w14:textFill>
            <w14:solidFill>
              <w14:schemeClr w14:val="tx1"/>
            </w14:solidFill>
          </w14:textFill>
        </w:rPr>
      </w:pPr>
      <w:r>
        <w:rPr>
          <w:rFonts w:hint="default" w:ascii="Times New Roman" w:hAnsi="Times New Roman" w:eastAsia="仿宋_GB2312" w:cs="Times New Roman"/>
          <w:b/>
          <w:bCs w:val="0"/>
          <w:color w:val="000000" w:themeColor="text1"/>
          <w:kern w:val="0"/>
          <w:sz w:val="32"/>
          <w:szCs w:val="32"/>
          <w:lang w:val="en-US" w:eastAsia="zh-CN"/>
          <w14:textFill>
            <w14:solidFill>
              <w14:schemeClr w14:val="tx1"/>
            </w14:solidFill>
          </w14:textFill>
        </w:rPr>
        <w:t>1、</w:t>
      </w:r>
      <w:r>
        <w:rPr>
          <w:rFonts w:hint="default" w:ascii="Times New Roman" w:hAnsi="Times New Roman" w:eastAsia="仿宋_GB2312" w:cs="Times New Roman"/>
          <w:b/>
          <w:bCs w:val="0"/>
          <w:color w:val="000000" w:themeColor="text1"/>
          <w:kern w:val="0"/>
          <w:sz w:val="32"/>
          <w:szCs w:val="32"/>
          <w14:textFill>
            <w14:solidFill>
              <w14:schemeClr w14:val="tx1"/>
            </w14:solidFill>
          </w14:textFill>
        </w:rPr>
        <w:t>大力发展教育卫生事业。</w:t>
      </w:r>
      <w:r>
        <w:rPr>
          <w:rFonts w:hint="default" w:ascii="Times New Roman" w:hAnsi="Times New Roman" w:eastAsia="仿宋_GB2312" w:cs="Times New Roman"/>
          <w:bCs/>
          <w:color w:val="000000" w:themeColor="text1"/>
          <w:kern w:val="0"/>
          <w:sz w:val="32"/>
          <w:szCs w:val="32"/>
          <w14:textFill>
            <w14:solidFill>
              <w14:schemeClr w14:val="tx1"/>
            </w14:solidFill>
          </w14:textFill>
        </w:rPr>
        <w:t>召开高新区教育发展大会，制定出台《进一步加强教育工作的意见》《育人队伍奖励性绩效实施方案》等制度性文件，</w:t>
      </w:r>
      <w:r>
        <w:rPr>
          <w:rFonts w:hint="default" w:ascii="Times New Roman" w:hAnsi="Times New Roman" w:eastAsia="仿宋_GB2312" w:cs="Times New Roman"/>
          <w:color w:val="000000" w:themeColor="text1"/>
          <w:sz w:val="32"/>
          <w:szCs w:val="32"/>
          <w14:textFill>
            <w14:solidFill>
              <w14:schemeClr w14:val="tx1"/>
            </w14:solidFill>
          </w14:textFill>
        </w:rPr>
        <w:t>创新“一校一品”发展计划，建立学校自主聘用、自主分配、经费包干“两自一包”等管理机制，推行“引进的高层次领军人才不受单位编制和岗位设置限制，优先协调其配偶工作和子女入学”等优惠政策，确保“园区教师总收入平均水平不低于园区公务员平均收入水平、不低于市内其他县区（园区）教师平均收入水平”，着力营造尊师重教的浓厚氛围。今年来先后引进、培养名优教师25人。加大教育投入力度，先后投入资金1亿余元，</w:t>
      </w:r>
      <w:r>
        <w:rPr>
          <w:rFonts w:hint="default" w:ascii="Times New Roman" w:hAnsi="Times New Roman" w:eastAsia="仿宋_GB2312" w:cs="Times New Roman"/>
          <w:bCs/>
          <w:color w:val="000000" w:themeColor="text1"/>
          <w:kern w:val="0"/>
          <w:sz w:val="32"/>
          <w:szCs w:val="32"/>
          <w14:textFill>
            <w14:solidFill>
              <w14:schemeClr w14:val="tx1"/>
            </w14:solidFill>
          </w14:textFill>
        </w:rPr>
        <w:t>完成鹭栖湖学校建设，9月实现开学；完成</w:t>
      </w:r>
      <w:r>
        <w:rPr>
          <w:rFonts w:hint="default" w:ascii="Times New Roman" w:hAnsi="Times New Roman" w:eastAsia="仿宋_GB2312" w:cs="Times New Roman"/>
          <w:color w:val="000000" w:themeColor="text1"/>
          <w:sz w:val="32"/>
          <w:szCs w:val="32"/>
          <w14:textFill>
            <w14:solidFill>
              <w14:schemeClr w14:val="tx1"/>
            </w14:solidFill>
          </w14:textFill>
        </w:rPr>
        <w:t>聚贤幼儿园等3所学校改扩建，提升办学质量</w:t>
      </w:r>
      <w:r>
        <w:rPr>
          <w:rFonts w:hint="default" w:ascii="Times New Roman" w:hAnsi="Times New Roman" w:eastAsia="仿宋_GB2312" w:cs="Times New Roman"/>
          <w:bCs/>
          <w:color w:val="000000" w:themeColor="text1"/>
          <w:kern w:val="0"/>
          <w:sz w:val="32"/>
          <w:szCs w:val="32"/>
          <w14:textFill>
            <w14:solidFill>
              <w14:schemeClr w14:val="tx1"/>
            </w14:solidFill>
          </w14:textFill>
        </w:rPr>
        <w:t>。着力优化教育结构，联动市直有关部门，积极推进遂宁中学高新校区建设。加快推进三级甲等综合医院项目建设，目前一期项目完成投资约1.2亿元，完成建设面积约4.35万平方米。</w:t>
      </w:r>
    </w:p>
    <w:p>
      <w:pPr>
        <w:keepNext w:val="0"/>
        <w:keepLines w:val="0"/>
        <w:pageBreakBefore w:val="0"/>
        <w:kinsoku/>
        <w:wordWrap/>
        <w:overflowPunct/>
        <w:topLinePunct w:val="0"/>
        <w:bidi w:val="0"/>
        <w:adjustRightInd w:val="0"/>
        <w:snapToGrid w:val="0"/>
        <w:spacing w:line="560" w:lineRule="exact"/>
        <w:ind w:firstLine="643" w:firstLineChars="200"/>
        <w:rPr>
          <w:rFonts w:hint="default" w:ascii="Times New Roman" w:hAnsi="Times New Roman" w:eastAsia="仿宋_GB2312" w:cs="Times New Roman"/>
          <w:bCs/>
          <w:color w:val="000000" w:themeColor="text1"/>
          <w:kern w:val="0"/>
          <w:sz w:val="32"/>
          <w:szCs w:val="32"/>
          <w14:textFill>
            <w14:solidFill>
              <w14:schemeClr w14:val="tx1"/>
            </w14:solidFill>
          </w14:textFill>
        </w:rPr>
      </w:pPr>
      <w:r>
        <w:rPr>
          <w:rFonts w:hint="default" w:ascii="Times New Roman" w:hAnsi="Times New Roman" w:eastAsia="仿宋_GB2312" w:cs="Times New Roman"/>
          <w:b/>
          <w:bCs w:val="0"/>
          <w:color w:val="000000" w:themeColor="text1"/>
          <w:kern w:val="0"/>
          <w:sz w:val="32"/>
          <w:szCs w:val="32"/>
          <w:lang w:val="en-US" w:eastAsia="zh-CN"/>
          <w14:textFill>
            <w14:solidFill>
              <w14:schemeClr w14:val="tx1"/>
            </w14:solidFill>
          </w14:textFill>
        </w:rPr>
        <w:t>2、</w:t>
      </w:r>
      <w:r>
        <w:rPr>
          <w:rFonts w:hint="default" w:ascii="Times New Roman" w:hAnsi="Times New Roman" w:eastAsia="仿宋_GB2312" w:cs="Times New Roman"/>
          <w:b/>
          <w:bCs w:val="0"/>
          <w:color w:val="000000" w:themeColor="text1"/>
          <w:kern w:val="0"/>
          <w:sz w:val="32"/>
          <w:szCs w:val="32"/>
          <w14:textFill>
            <w14:solidFill>
              <w14:schemeClr w14:val="tx1"/>
            </w14:solidFill>
          </w14:textFill>
        </w:rPr>
        <w:t>提升社会保障水平。</w:t>
      </w:r>
      <w:r>
        <w:rPr>
          <w:rFonts w:hint="default" w:ascii="Times New Roman" w:hAnsi="Times New Roman" w:eastAsia="仿宋_GB2312" w:cs="Times New Roman"/>
          <w:bCs/>
          <w:color w:val="000000" w:themeColor="text1"/>
          <w:kern w:val="0"/>
          <w:sz w:val="32"/>
          <w:szCs w:val="32"/>
          <w14:textFill>
            <w14:solidFill>
              <w14:schemeClr w14:val="tx1"/>
            </w14:solidFill>
          </w14:textFill>
        </w:rPr>
        <w:t>注重稳定就业，新增城镇就业539人，城镇登记失业率控制在4.4%以内。围绕当前重点、难点工作，逐步构建起全面覆盖的社会保障体系。推进医疗保障全覆盖，2019年城乡居民参加医疗保险69306人，完成参保年度任务。着力化解劳资纠纷，受理劳资纠纷投诉案件800余件，协调处理投诉案件90余起，为800余名农民工协调解决工资1500余万元。搭建大学生实训基地，形成创客小镇等5家见习基地，积极输送待业青年参与实训。大力开展农民工专技水平提升、收入水平提升、幸福指数提升“三大行动”，增强农民工幸福感、归属感。扎实开展退役军人服务工作，设立高新区退役军人服务中心，对2355名退役军人实施精细管理、精心服务。</w:t>
      </w:r>
    </w:p>
    <w:p>
      <w:pPr>
        <w:keepNext w:val="0"/>
        <w:keepLines w:val="0"/>
        <w:pageBreakBefore w:val="0"/>
        <w:kinsoku/>
        <w:wordWrap/>
        <w:overflowPunct/>
        <w:topLinePunct w:val="0"/>
        <w:bidi w:val="0"/>
        <w:adjustRightInd w:val="0"/>
        <w:snapToGrid w:val="0"/>
        <w:spacing w:line="560" w:lineRule="exact"/>
        <w:ind w:firstLine="643" w:firstLineChars="200"/>
        <w:rPr>
          <w:rFonts w:hint="default" w:ascii="Times New Roman" w:hAnsi="Times New Roman" w:eastAsia="仿宋_GB2312" w:cs="Times New Roman"/>
          <w:bCs/>
          <w:color w:val="000000" w:themeColor="text1"/>
          <w:kern w:val="0"/>
          <w:sz w:val="32"/>
          <w:szCs w:val="32"/>
          <w14:textFill>
            <w14:solidFill>
              <w14:schemeClr w14:val="tx1"/>
            </w14:solidFill>
          </w14:textFill>
        </w:rPr>
      </w:pPr>
      <w:r>
        <w:rPr>
          <w:rFonts w:hint="default" w:ascii="Times New Roman" w:hAnsi="Times New Roman" w:eastAsia="仿宋_GB2312" w:cs="Times New Roman"/>
          <w:b/>
          <w:bCs w:val="0"/>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b/>
          <w:bCs w:val="0"/>
          <w:color w:val="000000" w:themeColor="text1"/>
          <w:kern w:val="0"/>
          <w:sz w:val="32"/>
          <w:szCs w:val="32"/>
          <w14:textFill>
            <w14:solidFill>
              <w14:schemeClr w14:val="tx1"/>
            </w14:solidFill>
          </w14:textFill>
        </w:rPr>
        <w:t>办好一批民生实事。</w:t>
      </w:r>
      <w:r>
        <w:rPr>
          <w:rFonts w:hint="default" w:ascii="Times New Roman" w:hAnsi="Times New Roman" w:eastAsia="仿宋_GB2312" w:cs="Times New Roman"/>
          <w:bCs/>
          <w:color w:val="000000" w:themeColor="text1"/>
          <w:kern w:val="0"/>
          <w:sz w:val="32"/>
          <w:szCs w:val="32"/>
          <w14:textFill>
            <w14:solidFill>
              <w14:schemeClr w14:val="tx1"/>
            </w14:solidFill>
          </w14:textFill>
        </w:rPr>
        <w:t>打好脱贫攻坚战，与船山、安居一道，抓实产业就业、住房保障、健康扶贫、结对帮扶等各项工作，园区5个贫困村已全部摘帽、除今年新增4人外其余4</w:t>
      </w:r>
      <w:r>
        <w:rPr>
          <w:rFonts w:hint="default" w:ascii="Times New Roman" w:hAnsi="Times New Roman" w:eastAsia="仿宋_GB2312" w:cs="Times New Roman"/>
          <w:bCs/>
          <w:color w:val="000000" w:themeColor="text1"/>
          <w:kern w:val="0"/>
          <w:sz w:val="32"/>
          <w:szCs w:val="32"/>
          <w:lang w:val="en-US" w:eastAsia="zh-CN"/>
          <w14:textFill>
            <w14:solidFill>
              <w14:schemeClr w14:val="tx1"/>
            </w14:solidFill>
          </w14:textFill>
        </w:rPr>
        <w:t>628</w:t>
      </w:r>
      <w:r>
        <w:rPr>
          <w:rFonts w:hint="default" w:ascii="Times New Roman" w:hAnsi="Times New Roman" w:eastAsia="仿宋_GB2312" w:cs="Times New Roman"/>
          <w:bCs/>
          <w:color w:val="000000" w:themeColor="text1"/>
          <w:kern w:val="0"/>
          <w:sz w:val="32"/>
          <w:szCs w:val="32"/>
          <w14:textFill>
            <w14:solidFill>
              <w14:schemeClr w14:val="tx1"/>
            </w14:solidFill>
          </w14:textFill>
        </w:rPr>
        <w:t>名贫困群众实现脱贫。实施保障性住房安居工程，建设完成凉水井三期、青岗山、福光庙棚改项目</w:t>
      </w:r>
      <w:r>
        <w:rPr>
          <w:rFonts w:hint="default" w:ascii="Times New Roman" w:hAnsi="Times New Roman" w:eastAsia="仿宋_GB2312" w:cs="Times New Roman"/>
          <w:bCs/>
          <w:color w:val="000000" w:themeColor="text1"/>
          <w:kern w:val="0"/>
          <w:sz w:val="32"/>
          <w:szCs w:val="32"/>
          <w:lang w:val="en-US" w:eastAsia="zh-CN"/>
          <w14:textFill>
            <w14:solidFill>
              <w14:schemeClr w14:val="tx1"/>
            </w14:solidFill>
          </w14:textFill>
        </w:rPr>
        <w:t>2042</w:t>
      </w:r>
      <w:r>
        <w:rPr>
          <w:rFonts w:hint="default" w:ascii="Times New Roman" w:hAnsi="Times New Roman" w:eastAsia="仿宋_GB2312" w:cs="Times New Roman"/>
          <w:bCs/>
          <w:color w:val="000000" w:themeColor="text1"/>
          <w:kern w:val="0"/>
          <w:sz w:val="32"/>
          <w:szCs w:val="32"/>
          <w14:textFill>
            <w14:solidFill>
              <w14:schemeClr w14:val="tx1"/>
            </w14:solidFill>
          </w14:textFill>
        </w:rPr>
        <w:t>套住房、27.6万平方米。以整治“群众最不满意的10件事”为抓手，回应群众呼声，受理的12345热线工单5000余件全部办结。</w:t>
      </w:r>
    </w:p>
    <w:p>
      <w:pPr>
        <w:pStyle w:val="4"/>
        <w:keepNext w:val="0"/>
        <w:keepLines w:val="0"/>
        <w:pageBreakBefore w:val="0"/>
        <w:kinsoku/>
        <w:wordWrap/>
        <w:overflowPunct/>
        <w:topLinePunct w:val="0"/>
        <w:bidi w:val="0"/>
        <w:spacing w:line="560" w:lineRule="exact"/>
        <w:ind w:right="0" w:firstLine="640" w:firstLineChars="200"/>
        <w:rPr>
          <w:rFonts w:ascii="黑体" w:hAnsi="黑体" w:eastAsia="黑体" w:cs="黑体"/>
          <w:b w:val="0"/>
          <w:bCs/>
          <w:color w:val="000000" w:themeColor="text1"/>
          <w:szCs w:val="32"/>
          <w14:textFill>
            <w14:solidFill>
              <w14:schemeClr w14:val="tx1"/>
            </w14:solidFill>
          </w14:textFill>
        </w:rPr>
      </w:pPr>
      <w:r>
        <w:rPr>
          <w:rFonts w:hint="eastAsia" w:ascii="黑体" w:hAnsi="黑体" w:eastAsia="黑体" w:cs="黑体"/>
          <w:b w:val="0"/>
          <w:bCs/>
          <w:color w:val="000000" w:themeColor="text1"/>
          <w:szCs w:val="32"/>
          <w:lang w:eastAsia="zh-CN"/>
          <w14:textFill>
            <w14:solidFill>
              <w14:schemeClr w14:val="tx1"/>
            </w14:solidFill>
          </w14:textFill>
        </w:rPr>
        <w:t>二</w:t>
      </w:r>
      <w:r>
        <w:rPr>
          <w:rFonts w:ascii="黑体" w:hAnsi="黑体" w:eastAsia="黑体" w:cs="黑体"/>
          <w:b w:val="0"/>
          <w:bCs/>
          <w:color w:val="000000" w:themeColor="text1"/>
          <w:szCs w:val="32"/>
          <w14:textFill>
            <w14:solidFill>
              <w14:schemeClr w14:val="tx1"/>
            </w14:solidFill>
          </w14:textFill>
        </w:rPr>
        <w:t>、201</w:t>
      </w:r>
      <w:r>
        <w:rPr>
          <w:rFonts w:hint="eastAsia" w:ascii="黑体" w:hAnsi="黑体" w:eastAsia="黑体" w:cs="黑体"/>
          <w:b w:val="0"/>
          <w:bCs/>
          <w:color w:val="000000" w:themeColor="text1"/>
          <w:szCs w:val="32"/>
          <w:lang w:val="en-US" w:eastAsia="zh-CN"/>
          <w14:textFill>
            <w14:solidFill>
              <w14:schemeClr w14:val="tx1"/>
            </w14:solidFill>
          </w14:textFill>
        </w:rPr>
        <w:t>9</w:t>
      </w:r>
      <w:r>
        <w:rPr>
          <w:rFonts w:ascii="黑体" w:hAnsi="黑体" w:eastAsia="黑体" w:cs="黑体"/>
          <w:b w:val="0"/>
          <w:bCs/>
          <w:color w:val="000000" w:themeColor="text1"/>
          <w:szCs w:val="32"/>
          <w14:textFill>
            <w14:solidFill>
              <w14:schemeClr w14:val="tx1"/>
            </w14:solidFill>
          </w14:textFill>
        </w:rPr>
        <w:t>年财政收支执行情况</w:t>
      </w:r>
    </w:p>
    <w:p>
      <w:pPr>
        <w:pStyle w:val="4"/>
        <w:keepNext w:val="0"/>
        <w:keepLines w:val="0"/>
        <w:pageBreakBefore w:val="0"/>
        <w:numPr>
          <w:ilvl w:val="0"/>
          <w:numId w:val="0"/>
        </w:numPr>
        <w:kinsoku/>
        <w:wordWrap/>
        <w:overflowPunct/>
        <w:topLinePunct w:val="0"/>
        <w:bidi w:val="0"/>
        <w:spacing w:line="560" w:lineRule="exact"/>
        <w:ind w:right="0" w:rightChars="0" w:firstLine="640" w:firstLineChars="200"/>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Cs/>
          <w:color w:val="000000" w:themeColor="text1"/>
          <w:kern w:val="0"/>
          <w:sz w:val="32"/>
          <w:szCs w:val="32"/>
          <w:lang w:val="en-US" w:eastAsia="zh-CN" w:bidi="ar-SA"/>
          <w14:textFill>
            <w14:solidFill>
              <w14:schemeClr w14:val="tx1"/>
            </w14:solidFill>
          </w14:textFill>
        </w:rPr>
        <w:t>2019年</w:t>
      </w:r>
      <w:r>
        <w:rPr>
          <w:rFonts w:hint="default" w:ascii="Times New Roman" w:hAnsi="Times New Roman" w:cs="Times New Roman"/>
          <w:bCs/>
          <w:color w:val="000000" w:themeColor="text1"/>
          <w:kern w:val="0"/>
          <w:sz w:val="32"/>
          <w:szCs w:val="32"/>
          <w:lang w:val="en-US" w:eastAsia="zh-CN" w:bidi="ar-SA"/>
          <w14:textFill>
            <w14:solidFill>
              <w14:schemeClr w14:val="tx1"/>
            </w14:solidFill>
          </w14:textFill>
        </w:rPr>
        <w:t>度一般公共预算收入总计100,198万元，其中：一般公共预算收入36,809万元，上级补助收入24,039万元，债券转贷收入23,808万元，调入资金15,542万元。一般公共预算支出总计100,133万元，其中：</w:t>
      </w:r>
      <w:r>
        <w:rPr>
          <w:rFonts w:hint="default" w:ascii="Times New Roman" w:hAnsi="Times New Roman" w:eastAsia="仿宋_GB2312" w:cs="Times New Roman"/>
          <w:color w:val="000000" w:themeColor="text1"/>
          <w:sz w:val="32"/>
          <w:szCs w:val="32"/>
          <w14:textFill>
            <w14:solidFill>
              <w14:schemeClr w14:val="tx1"/>
            </w14:solidFill>
          </w14:textFill>
        </w:rPr>
        <w:t>一般公共预算支出67279万元，上解支出8104万元，安排预算稳定调节基金</w:t>
      </w:r>
      <w:r>
        <w:rPr>
          <w:rFonts w:hint="default" w:ascii="Times New Roman" w:hAnsi="Times New Roman" w:cs="Times New Roman"/>
          <w:color w:val="000000" w:themeColor="text1"/>
          <w:sz w:val="32"/>
          <w:szCs w:val="32"/>
          <w:lang w:val="en-US" w:eastAsia="zh-CN"/>
          <w14:textFill>
            <w14:solidFill>
              <w14:schemeClr w14:val="tx1"/>
            </w14:solidFill>
          </w14:textFill>
        </w:rPr>
        <w:t>1341万</w:t>
      </w:r>
      <w:r>
        <w:rPr>
          <w:rFonts w:hint="default" w:ascii="Times New Roman" w:hAnsi="Times New Roman" w:eastAsia="仿宋_GB2312" w:cs="Times New Roman"/>
          <w:color w:val="000000" w:themeColor="text1"/>
          <w:sz w:val="32"/>
          <w:szCs w:val="32"/>
          <w14:textFill>
            <w14:solidFill>
              <w14:schemeClr w14:val="tx1"/>
            </w14:solidFill>
          </w14:textFill>
        </w:rPr>
        <w:t>元，债务还本支出23409万元，全年收支品迭后结转下年</w:t>
      </w:r>
      <w:r>
        <w:rPr>
          <w:rFonts w:hint="default" w:ascii="Times New Roman" w:hAnsi="Times New Roman" w:cs="Times New Roman"/>
          <w:color w:val="000000" w:themeColor="text1"/>
          <w:sz w:val="32"/>
          <w:szCs w:val="32"/>
          <w:lang w:val="en-US" w:eastAsia="zh-CN"/>
          <w14:textFill>
            <w14:solidFill>
              <w14:schemeClr w14:val="tx1"/>
            </w14:solidFill>
          </w14:textFill>
        </w:rPr>
        <w:t>65</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cs="Times New Roman"/>
          <w:color w:val="000000" w:themeColor="text1"/>
          <w:sz w:val="32"/>
          <w:szCs w:val="32"/>
          <w:lang w:eastAsia="zh-CN"/>
          <w14:textFill>
            <w14:solidFill>
              <w14:schemeClr w14:val="tx1"/>
            </w14:solidFill>
          </w14:textFill>
        </w:rPr>
        <w:t>当年财政</w:t>
      </w:r>
      <w:r>
        <w:rPr>
          <w:rFonts w:hint="default" w:ascii="Times New Roman" w:hAnsi="Times New Roman" w:eastAsia="仿宋_GB2312" w:cs="Times New Roman"/>
          <w:color w:val="000000" w:themeColor="text1"/>
          <w:sz w:val="32"/>
          <w:szCs w:val="32"/>
          <w14:textFill>
            <w14:solidFill>
              <w14:schemeClr w14:val="tx1"/>
            </w14:solidFill>
          </w14:textFill>
        </w:rPr>
        <w:t>收支平衡</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cs="Times New Roman"/>
          <w:color w:val="000000" w:themeColor="text1"/>
          <w:sz w:val="32"/>
          <w:szCs w:val="32"/>
          <w:lang w:val="en-US" w:eastAsia="zh-CN"/>
          <w14:textFill>
            <w14:solidFill>
              <w14:schemeClr w14:val="tx1"/>
            </w14:solidFill>
          </w14:textFill>
        </w:rPr>
        <w:t>具体分析如下：</w:t>
      </w:r>
    </w:p>
    <w:p>
      <w:pPr>
        <w:pStyle w:val="4"/>
        <w:keepNext w:val="0"/>
        <w:keepLines w:val="0"/>
        <w:pageBreakBefore w:val="0"/>
        <w:numPr>
          <w:ilvl w:val="-1"/>
          <w:numId w:val="0"/>
        </w:numPr>
        <w:kinsoku/>
        <w:wordWrap/>
        <w:overflowPunct/>
        <w:topLinePunct w:val="0"/>
        <w:bidi w:val="0"/>
        <w:spacing w:line="560" w:lineRule="exact"/>
        <w:ind w:left="420" w:leftChars="200" w:right="0" w:rightChars="0" w:firstLine="0" w:firstLineChars="0"/>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（一）一般公共预算收支完成情况</w:t>
      </w:r>
    </w:p>
    <w:p>
      <w:pPr>
        <w:pStyle w:val="4"/>
        <w:keepNext w:val="0"/>
        <w:keepLines w:val="0"/>
        <w:pageBreakBefore w:val="0"/>
        <w:numPr>
          <w:ilvl w:val="0"/>
          <w:numId w:val="0"/>
        </w:numPr>
        <w:kinsoku/>
        <w:wordWrap/>
        <w:overflowPunct/>
        <w:topLinePunct w:val="0"/>
        <w:bidi w:val="0"/>
        <w:spacing w:line="560" w:lineRule="exact"/>
        <w:ind w:right="0" w:rightChars="0" w:firstLine="640" w:firstLineChars="200"/>
        <w:rPr>
          <w:rFonts w:hint="default" w:ascii="Times New Roman" w:hAnsi="Times New Roman" w:cs="Times New Roman"/>
          <w:color w:val="000000" w:themeColor="text1"/>
          <w:sz w:val="32"/>
          <w:szCs w:val="32"/>
          <w:lang w:val="en-US" w:eastAsia="zh-CN"/>
          <w14:textFill>
            <w14:solidFill>
              <w14:schemeClr w14:val="tx1"/>
            </w14:solidFill>
          </w14:textFill>
        </w:rPr>
      </w:pPr>
      <w:r>
        <w:rPr>
          <w:rFonts w:hint="default" w:ascii="Times New Roman" w:hAnsi="Times New Roman" w:cs="Times New Roman"/>
          <w:color w:val="000000" w:themeColor="text1"/>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14:textFill>
            <w14:solidFill>
              <w14:schemeClr w14:val="tx1"/>
            </w14:solidFill>
          </w14:textFill>
        </w:rPr>
        <w:t>2019年全区一般公共预算收入</w:t>
      </w:r>
      <w:r>
        <w:rPr>
          <w:rFonts w:hint="default" w:ascii="Times New Roman" w:hAnsi="Times New Roman" w:cs="Times New Roman"/>
          <w:color w:val="000000" w:themeColor="text1"/>
          <w:sz w:val="32"/>
          <w:szCs w:val="32"/>
          <w:lang w:eastAsia="zh-CN"/>
          <w14:textFill>
            <w14:solidFill>
              <w14:schemeClr w14:val="tx1"/>
            </w14:solidFill>
          </w14:textFill>
        </w:rPr>
        <w:t>完成</w:t>
      </w:r>
      <w:r>
        <w:rPr>
          <w:rFonts w:hint="default" w:ascii="Times New Roman" w:hAnsi="Times New Roman" w:eastAsia="仿宋_GB2312" w:cs="Times New Roman"/>
          <w:color w:val="000000" w:themeColor="text1"/>
          <w:sz w:val="32"/>
          <w:szCs w:val="32"/>
          <w14:textFill>
            <w14:solidFill>
              <w14:schemeClr w14:val="tx1"/>
            </w14:solidFill>
          </w14:textFill>
        </w:rPr>
        <w:t>36</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809万元，</w:t>
      </w:r>
      <w:r>
        <w:rPr>
          <w:rFonts w:hint="default" w:ascii="Times New Roman" w:hAnsi="Times New Roman" w:cs="Times New Roman"/>
          <w:color w:val="000000" w:themeColor="text1"/>
          <w:sz w:val="32"/>
          <w:szCs w:val="32"/>
          <w:lang w:eastAsia="zh-CN"/>
          <w14:textFill>
            <w14:solidFill>
              <w14:schemeClr w14:val="tx1"/>
            </w14:solidFill>
          </w14:textFill>
        </w:rPr>
        <w:t>分类型看</w:t>
      </w:r>
      <w:r>
        <w:rPr>
          <w:rFonts w:hint="default" w:ascii="Times New Roman" w:hAnsi="Times New Roman" w:eastAsia="仿宋_GB2312" w:cs="Times New Roman"/>
          <w:color w:val="000000" w:themeColor="text1"/>
          <w:sz w:val="32"/>
          <w:szCs w:val="32"/>
          <w14:textFill>
            <w14:solidFill>
              <w14:schemeClr w14:val="tx1"/>
            </w14:solidFill>
          </w14:textFill>
        </w:rPr>
        <w:t>：税收收入22</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333万元，占一般公共预算收入比重60.67%</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非税收入14</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476万元，</w:t>
      </w:r>
      <w:r>
        <w:rPr>
          <w:rFonts w:hint="default" w:ascii="Times New Roman" w:hAnsi="Times New Roman" w:cs="Times New Roman"/>
          <w:color w:val="000000" w:themeColor="text1"/>
          <w:sz w:val="32"/>
          <w:szCs w:val="32"/>
          <w:lang w:eastAsia="zh-CN"/>
          <w14:textFill>
            <w14:solidFill>
              <w14:schemeClr w14:val="tx1"/>
            </w14:solidFill>
          </w14:textFill>
        </w:rPr>
        <w:t>占一般公共预算收入比重</w:t>
      </w:r>
      <w:r>
        <w:rPr>
          <w:rFonts w:hint="default" w:ascii="Times New Roman" w:hAnsi="Times New Roman" w:cs="Times New Roman"/>
          <w:color w:val="000000" w:themeColor="text1"/>
          <w:sz w:val="32"/>
          <w:szCs w:val="32"/>
          <w:lang w:val="en-US" w:eastAsia="zh-CN"/>
          <w14:textFill>
            <w14:solidFill>
              <w14:schemeClr w14:val="tx1"/>
            </w14:solidFill>
          </w14:textFill>
        </w:rPr>
        <w:t>39.23%；分级次看：财政预算收入完成1913万元，上划地市税收收入完成9,965万元，上划省级收入完成6,643万元，上划中央税收完成18,288万元。</w:t>
      </w:r>
    </w:p>
    <w:p>
      <w:pPr>
        <w:keepNext w:val="0"/>
        <w:keepLines w:val="0"/>
        <w:pageBreakBefore w:val="0"/>
        <w:kinsoku/>
        <w:wordWrap/>
        <w:overflowPunct/>
        <w:topLinePunct w:val="0"/>
        <w:bidi w:val="0"/>
        <w:spacing w:line="560" w:lineRule="exact"/>
        <w:ind w:firstLine="643" w:firstLineChars="200"/>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color w:val="000000" w:themeColor="text1"/>
          <w:sz w:val="32"/>
          <w:szCs w:val="32"/>
          <w14:textFill>
            <w14:solidFill>
              <w14:schemeClr w14:val="tx1"/>
            </w14:solidFill>
          </w14:textFill>
        </w:rPr>
        <w:t>税收收入分析</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增值税完成5,325万元，占税收收入23.84%；企业所得税完成1,413万元，占税收收入的6.32%；个所税完成191万元，占税收收入的0.85%；资源税完成52万元，占税收收入的0.23%；城市维护建设税完成1,136万元，占税收入的5.08%；房产税完成315万元，占税收收入的1.41%；印花税完成504万元，占税收收入的2.25%；城镇土地使用税完成527万元，占税收收入的2.35%；土地增值税完成3940万元，占税收收入17.63%；车船税完成75万元，占税收收入的0.33%；耕地占用税3,800万元，占税收收入17.01%；契税完成5,053万元，占税收收入的22.62%。</w:t>
      </w:r>
    </w:p>
    <w:p>
      <w:pPr>
        <w:keepNext w:val="0"/>
        <w:keepLines w:val="0"/>
        <w:pageBreakBefore w:val="0"/>
        <w:kinsoku/>
        <w:wordWrap/>
        <w:overflowPunct/>
        <w:topLinePunct w:val="0"/>
        <w:bidi w:val="0"/>
        <w:spacing w:line="560" w:lineRule="exact"/>
        <w:ind w:firstLine="643"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b/>
          <w:color w:val="000000" w:themeColor="text1"/>
          <w:sz w:val="32"/>
          <w:szCs w:val="32"/>
          <w14:textFill>
            <w14:solidFill>
              <w14:schemeClr w14:val="tx1"/>
            </w14:solidFill>
          </w14:textFill>
        </w:rPr>
        <w:t>非税收入分析</w:t>
      </w:r>
      <w:r>
        <w:rPr>
          <w:rFonts w:hint="default" w:ascii="Times New Roman" w:hAnsi="Times New Roman" w:eastAsia="仿宋_GB2312" w:cs="Times New Roman"/>
          <w:b/>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2019年，财政部门继续强化“收支两条线”管理，健全非税收入台账，加大对行政性收费、罚没收入、专项收入和国有资产有偿使用收入的管理力度，确保各项非税收入及时足额入库，为财政增收提供了有力支持。全年非税收入完成14,476万元，占一般公共预算收入的比重达43.22%。</w:t>
      </w:r>
    </w:p>
    <w:p>
      <w:pPr>
        <w:pStyle w:val="4"/>
        <w:keepNext w:val="0"/>
        <w:keepLines w:val="0"/>
        <w:pageBreakBefore w:val="0"/>
        <w:numPr>
          <w:ilvl w:val="0"/>
          <w:numId w:val="1"/>
        </w:numPr>
        <w:kinsoku/>
        <w:wordWrap/>
        <w:overflowPunct/>
        <w:topLinePunct w:val="0"/>
        <w:bidi w:val="0"/>
        <w:spacing w:line="560" w:lineRule="exact"/>
        <w:ind w:right="0" w:rightChars="0" w:firstLine="640" w:firstLineChars="200"/>
        <w:rPr>
          <w:rFonts w:hint="default" w:ascii="Times New Roman" w:hAnsi="Times New Roman"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全年一般公共预算总支出完成</w:t>
      </w:r>
      <w:r>
        <w:rPr>
          <w:rFonts w:hint="default" w:ascii="Times New Roman" w:hAnsi="Times New Roman" w:cs="Times New Roman"/>
          <w:bCs/>
          <w:color w:val="000000" w:themeColor="text1"/>
          <w:kern w:val="0"/>
          <w:sz w:val="32"/>
          <w:szCs w:val="32"/>
          <w:lang w:val="en-US" w:eastAsia="zh-CN" w:bidi="ar-SA"/>
          <w14:textFill>
            <w14:solidFill>
              <w14:schemeClr w14:val="tx1"/>
            </w14:solidFill>
          </w14:textFill>
        </w:rPr>
        <w:t>100,133</w:t>
      </w:r>
      <w:r>
        <w:rPr>
          <w:rFonts w:hint="default" w:ascii="Times New Roman" w:hAnsi="Times New Roman" w:eastAsia="仿宋_GB2312" w:cs="Times New Roman"/>
          <w:color w:val="000000" w:themeColor="text1"/>
          <w:sz w:val="32"/>
          <w:szCs w:val="32"/>
          <w14:textFill>
            <w14:solidFill>
              <w14:schemeClr w14:val="tx1"/>
            </w14:solidFill>
          </w14:textFill>
        </w:rPr>
        <w:t>万元，其中：一般公共预算支出67279万元，上解支出8104万元，安排预算稳定调节基金</w:t>
      </w:r>
      <w:r>
        <w:rPr>
          <w:rFonts w:hint="default" w:ascii="Times New Roman" w:hAnsi="Times New Roman" w:cs="Times New Roman"/>
          <w:color w:val="000000" w:themeColor="text1"/>
          <w:sz w:val="32"/>
          <w:szCs w:val="32"/>
          <w:lang w:val="en-US" w:eastAsia="zh-CN"/>
          <w14:textFill>
            <w14:solidFill>
              <w14:schemeClr w14:val="tx1"/>
            </w14:solidFill>
          </w14:textFill>
        </w:rPr>
        <w:t>1341</w:t>
      </w:r>
      <w:r>
        <w:rPr>
          <w:rFonts w:hint="default" w:ascii="Times New Roman" w:hAnsi="Times New Roman" w:eastAsia="仿宋_GB2312" w:cs="Times New Roman"/>
          <w:color w:val="000000" w:themeColor="text1"/>
          <w:sz w:val="32"/>
          <w:szCs w:val="32"/>
          <w14:textFill>
            <w14:solidFill>
              <w14:schemeClr w14:val="tx1"/>
            </w14:solidFill>
          </w14:textFill>
        </w:rPr>
        <w:t>万元，债务还本支出23409万元，全年收支品迭后结转下年</w:t>
      </w:r>
      <w:r>
        <w:rPr>
          <w:rFonts w:hint="default" w:ascii="Times New Roman" w:hAnsi="Times New Roman" w:cs="Times New Roman"/>
          <w:color w:val="000000" w:themeColor="text1"/>
          <w:sz w:val="32"/>
          <w:szCs w:val="32"/>
          <w:lang w:val="en-US" w:eastAsia="zh-CN"/>
          <w14:textFill>
            <w14:solidFill>
              <w14:schemeClr w14:val="tx1"/>
            </w14:solidFill>
          </w14:textFill>
        </w:rPr>
        <w:t>65万元。</w:t>
      </w:r>
    </w:p>
    <w:p>
      <w:pPr>
        <w:pStyle w:val="4"/>
        <w:keepNext w:val="0"/>
        <w:keepLines w:val="0"/>
        <w:pageBreakBefore w:val="0"/>
        <w:numPr>
          <w:ilvl w:val="0"/>
          <w:numId w:val="0"/>
        </w:numPr>
        <w:kinsoku/>
        <w:wordWrap/>
        <w:overflowPunct/>
        <w:topLinePunct w:val="0"/>
        <w:bidi w:val="0"/>
        <w:spacing w:line="560" w:lineRule="exact"/>
        <w:ind w:right="0" w:rightChars="0" w:firstLine="643"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cs="Times New Roman"/>
          <w:b/>
          <w:bCs/>
          <w:color w:val="000000" w:themeColor="text1"/>
          <w:sz w:val="32"/>
          <w:szCs w:val="32"/>
          <w:lang w:val="en-US" w:eastAsia="zh-CN"/>
          <w14:textFill>
            <w14:solidFill>
              <w14:schemeClr w14:val="tx1"/>
            </w14:solidFill>
          </w14:textFill>
        </w:rPr>
        <w:t>一般公共预算支出分析：</w:t>
      </w:r>
      <w:r>
        <w:rPr>
          <w:rFonts w:hint="default" w:ascii="Times New Roman" w:hAnsi="Times New Roman" w:cs="Times New Roman"/>
          <w:color w:val="000000" w:themeColor="text1"/>
          <w:sz w:val="32"/>
          <w:szCs w:val="32"/>
          <w:lang w:val="en-US" w:eastAsia="zh-CN"/>
          <w14:textFill>
            <w14:solidFill>
              <w14:schemeClr w14:val="tx1"/>
            </w14:solidFill>
          </w14:textFill>
        </w:rPr>
        <w:t>一般公共服务支出5,157万元，占预算支出的7.66%；公共安全支出299万元，占预算支出的0.44%；教育支出9,869万元，占预算支出的14.67%;科学技术支出141万元，占预算支出的0.21%；文化旅游体育与传媒支出79万元，占预算支出的0.12%；社会保障和就业支出1,985万元，占预算支出的2.95%；卫生健康支出11,795万元，占预算支出的17.53%；节能环保支出23,614万元，占预算支出的35.09%；城乡社区支出3,150万元，占预算支出的4.68%；农林水支出2,301万元，占预算支出的3.42%;资源勘探信息等支出1,521万元，占预算支出的2.26%;商业服务业等支出995万元，占预算支出的1.48%；金融支出63万元，占预算支出的0.09%；自然资源海洋气象等支出2万元，占预算支出的0.003%；住房保障支出802万元，占预算支出的1.19%；粮油物质储备支出1,073万元，占预算支出的1.59%;灾害防治及应急管理支出462万元，占预算支出的0.69%；其他支出78万元，占预算支出的0.12%；债务付息支出3,867万元，占预算支出的5.75%；债务发行费用支出26万元，占预算支出的0.04%。</w:t>
      </w:r>
    </w:p>
    <w:p>
      <w:pPr>
        <w:pStyle w:val="4"/>
        <w:keepNext w:val="0"/>
        <w:keepLines w:val="0"/>
        <w:pageBreakBefore w:val="0"/>
        <w:numPr>
          <w:ilvl w:val="-1"/>
          <w:numId w:val="0"/>
        </w:numPr>
        <w:kinsoku/>
        <w:wordWrap/>
        <w:overflowPunct/>
        <w:topLinePunct w:val="0"/>
        <w:bidi w:val="0"/>
        <w:spacing w:line="560" w:lineRule="exact"/>
        <w:ind w:left="420" w:leftChars="200" w:right="0" w:rightChars="0" w:firstLine="0" w:firstLineChars="0"/>
        <w:rPr>
          <w:rFonts w:hint="default"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（二）</w:t>
      </w:r>
      <w:r>
        <w:rPr>
          <w:rFonts w:hint="default" w:ascii="楷体_GB2312" w:hAnsi="楷体_GB2312" w:eastAsia="楷体_GB2312" w:cs="楷体_GB2312"/>
          <w:b/>
          <w:bCs/>
          <w:color w:val="000000" w:themeColor="text1"/>
          <w:kern w:val="2"/>
          <w:sz w:val="32"/>
          <w:szCs w:val="32"/>
          <w:lang w:val="en-US" w:eastAsia="zh-CN" w:bidi="ar-SA"/>
          <w14:textFill>
            <w14:solidFill>
              <w14:schemeClr w14:val="tx1"/>
            </w14:solidFill>
          </w14:textFill>
        </w:rPr>
        <w:t>政府性基金收支完成情况</w:t>
      </w:r>
    </w:p>
    <w:p>
      <w:pPr>
        <w:pStyle w:val="4"/>
        <w:keepNext w:val="0"/>
        <w:keepLines w:val="0"/>
        <w:pageBreakBefore w:val="0"/>
        <w:numPr>
          <w:ilvl w:val="0"/>
          <w:numId w:val="0"/>
        </w:numPr>
        <w:kinsoku/>
        <w:wordWrap/>
        <w:overflowPunct/>
        <w:topLinePunct w:val="0"/>
        <w:bidi w:val="0"/>
        <w:spacing w:line="560" w:lineRule="exact"/>
        <w:ind w:right="0" w:rightChars="0"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lang w:val="en-US" w:eastAsia="zh-CN"/>
          <w14:textFill>
            <w14:solidFill>
              <w14:schemeClr w14:val="tx1"/>
            </w14:solidFill>
          </w14:textFill>
        </w:rPr>
        <w:t>2019年全区政府性</w:t>
      </w:r>
      <w:r>
        <w:rPr>
          <w:rFonts w:hint="default" w:ascii="Times New Roman" w:hAnsi="Times New Roman" w:eastAsia="仿宋_GB2312" w:cs="Times New Roman"/>
          <w:color w:val="000000" w:themeColor="text1"/>
          <w:sz w:val="32"/>
          <w:szCs w:val="32"/>
          <w14:textFill>
            <w14:solidFill>
              <w14:schemeClr w14:val="tx1"/>
            </w14:solidFill>
          </w14:textFill>
        </w:rPr>
        <w:t>基金预算收入完成54</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274万元，其中：本级基金收入1</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432万元，上级政府性基金补助收入27</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155万元，政府性专项债券转贷收入23</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584万元，调入资金2</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103万元；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全年</w:t>
      </w:r>
      <w:r>
        <w:rPr>
          <w:rFonts w:hint="default" w:ascii="Times New Roman" w:hAnsi="Times New Roman" w:eastAsia="仿宋_GB2312" w:cs="Times New Roman"/>
          <w:color w:val="000000" w:themeColor="text1"/>
          <w:sz w:val="32"/>
          <w:szCs w:val="32"/>
          <w14:textFill>
            <w14:solidFill>
              <w14:schemeClr w14:val="tx1"/>
            </w14:solidFill>
          </w14:textFill>
        </w:rPr>
        <w:t>政府性基金预算总支出完成54</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2</w:t>
      </w:r>
      <w:r>
        <w:rPr>
          <w:rFonts w:hint="default" w:ascii="Times New Roman" w:hAnsi="Times New Roman" w:cs="Times New Roman"/>
          <w:color w:val="000000" w:themeColor="text1"/>
          <w:sz w:val="32"/>
          <w:szCs w:val="32"/>
          <w:lang w:val="en-US" w:eastAsia="zh-CN"/>
          <w14:textFill>
            <w14:solidFill>
              <w14:schemeClr w14:val="tx1"/>
            </w14:solidFill>
          </w14:textFill>
        </w:rPr>
        <w:t>49</w:t>
      </w:r>
      <w:r>
        <w:rPr>
          <w:rFonts w:hint="default" w:ascii="Times New Roman" w:hAnsi="Times New Roman" w:eastAsia="仿宋_GB2312" w:cs="Times New Roman"/>
          <w:color w:val="000000" w:themeColor="text1"/>
          <w:sz w:val="32"/>
          <w:szCs w:val="32"/>
          <w14:textFill>
            <w14:solidFill>
              <w14:schemeClr w14:val="tx1"/>
            </w14:solidFill>
          </w14:textFill>
        </w:rPr>
        <w:t>万元，其中：政府性基金预算支出50</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664万元，债务还本支出3</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585万元，</w:t>
      </w:r>
      <w:r>
        <w:rPr>
          <w:rFonts w:hint="eastAsia" w:ascii="Times New Roman" w:hAnsi="Times New Roman" w:cs="Times New Roman"/>
          <w:color w:val="000000" w:themeColor="text1"/>
          <w:sz w:val="32"/>
          <w:szCs w:val="32"/>
          <w:lang w:eastAsia="zh-CN"/>
          <w14:textFill>
            <w14:solidFill>
              <w14:schemeClr w14:val="tx1"/>
            </w14:solidFill>
          </w14:textFill>
        </w:rPr>
        <w:t>收支品跌后</w:t>
      </w:r>
      <w:r>
        <w:rPr>
          <w:rFonts w:hint="default" w:ascii="Times New Roman" w:hAnsi="Times New Roman" w:eastAsia="仿宋_GB2312" w:cs="Times New Roman"/>
          <w:color w:val="000000" w:themeColor="text1"/>
          <w:sz w:val="32"/>
          <w:szCs w:val="32"/>
          <w14:textFill>
            <w14:solidFill>
              <w14:schemeClr w14:val="tx1"/>
            </w14:solidFill>
          </w14:textFill>
        </w:rPr>
        <w:t>结转下年25万元。</w:t>
      </w:r>
    </w:p>
    <w:p>
      <w:pPr>
        <w:keepNext w:val="0"/>
        <w:keepLines w:val="0"/>
        <w:pageBreakBefore w:val="0"/>
        <w:numPr>
          <w:ilvl w:val="0"/>
          <w:numId w:val="0"/>
        </w:numPr>
        <w:kinsoku/>
        <w:wordWrap/>
        <w:overflowPunct/>
        <w:topLinePunct w:val="0"/>
        <w:autoSpaceDE/>
        <w:autoSpaceDN/>
        <w:bidi w:val="0"/>
        <w:snapToGrid w:val="0"/>
        <w:spacing w:line="560" w:lineRule="exact"/>
        <w:ind w:firstLine="643" w:firstLineChars="200"/>
        <w:textAlignment w:val="auto"/>
        <w:rPr>
          <w:rFonts w:hint="default" w:ascii="楷体_GB2312" w:hAnsi="楷体_GB2312" w:eastAsia="楷体_GB2312" w:cs="楷体_GB2312"/>
          <w:b/>
          <w:bCs/>
          <w:color w:val="000000" w:themeColor="text1"/>
          <w:sz w:val="32"/>
          <w:szCs w:val="32"/>
          <w14:textFill>
            <w14:solidFill>
              <w14:schemeClr w14:val="tx1"/>
            </w14:solidFill>
          </w14:textFill>
        </w:rPr>
      </w:pPr>
      <w:r>
        <w:rPr>
          <w:rFonts w:hint="default" w:ascii="楷体_GB2312" w:hAnsi="楷体_GB2312" w:eastAsia="楷体_GB2312" w:cs="楷体_GB2312"/>
          <w:b/>
          <w:bCs/>
          <w:color w:val="000000" w:themeColor="text1"/>
          <w:sz w:val="32"/>
          <w:szCs w:val="32"/>
          <w:lang w:eastAsia="zh-CN"/>
          <w14:textFill>
            <w14:solidFill>
              <w14:schemeClr w14:val="tx1"/>
            </w14:solidFill>
          </w14:textFill>
        </w:rPr>
        <w:t>（三）</w:t>
      </w:r>
      <w:r>
        <w:rPr>
          <w:rFonts w:hint="default" w:ascii="楷体_GB2312" w:hAnsi="楷体_GB2312" w:eastAsia="楷体_GB2312" w:cs="楷体_GB2312"/>
          <w:b/>
          <w:bCs/>
          <w:color w:val="000000" w:themeColor="text1"/>
          <w:sz w:val="32"/>
          <w:szCs w:val="32"/>
          <w14:textFill>
            <w14:solidFill>
              <w14:schemeClr w14:val="tx1"/>
            </w14:solidFill>
          </w14:textFill>
        </w:rPr>
        <w:t>国有资本经营</w:t>
      </w:r>
      <w:r>
        <w:rPr>
          <w:rFonts w:hint="default" w:ascii="楷体_GB2312" w:hAnsi="楷体_GB2312" w:eastAsia="楷体_GB2312" w:cs="楷体_GB2312"/>
          <w:b/>
          <w:bCs/>
          <w:color w:val="000000" w:themeColor="text1"/>
          <w:sz w:val="32"/>
          <w:szCs w:val="32"/>
          <w:lang w:eastAsia="zh-CN"/>
          <w14:textFill>
            <w14:solidFill>
              <w14:schemeClr w14:val="tx1"/>
            </w14:solidFill>
          </w14:textFill>
        </w:rPr>
        <w:t>收支完成</w:t>
      </w:r>
      <w:r>
        <w:rPr>
          <w:rFonts w:hint="default" w:ascii="楷体_GB2312" w:hAnsi="楷体_GB2312" w:eastAsia="楷体_GB2312" w:cs="楷体_GB2312"/>
          <w:b/>
          <w:bCs/>
          <w:color w:val="000000" w:themeColor="text1"/>
          <w:sz w:val="32"/>
          <w:szCs w:val="32"/>
          <w14:textFill>
            <w14:solidFill>
              <w14:schemeClr w14:val="tx1"/>
            </w14:solidFill>
          </w14:textFill>
        </w:rPr>
        <w:t xml:space="preserve">情况 </w:t>
      </w:r>
    </w:p>
    <w:p>
      <w:pPr>
        <w:keepNext w:val="0"/>
        <w:keepLines w:val="0"/>
        <w:pageBreakBefore w:val="0"/>
        <w:kinsoku/>
        <w:wordWrap/>
        <w:overflowPunct/>
        <w:topLinePunct w:val="0"/>
        <w:autoSpaceDE/>
        <w:autoSpaceDN/>
        <w:bidi w:val="0"/>
        <w:snapToGrid w:val="0"/>
        <w:spacing w:line="560" w:lineRule="exact"/>
        <w:ind w:left="420" w:left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 2019年暂未编制国有资本经营收支预算。</w:t>
      </w:r>
    </w:p>
    <w:p>
      <w:pPr>
        <w:keepNext w:val="0"/>
        <w:keepLines w:val="0"/>
        <w:pageBreakBefore w:val="0"/>
        <w:numPr>
          <w:ilvl w:val="0"/>
          <w:numId w:val="0"/>
        </w:numPr>
        <w:kinsoku/>
        <w:wordWrap/>
        <w:overflowPunct/>
        <w:topLinePunct w:val="0"/>
        <w:autoSpaceDE/>
        <w:autoSpaceDN/>
        <w:bidi w:val="0"/>
        <w:snapToGrid w:val="0"/>
        <w:spacing w:line="560" w:lineRule="exact"/>
        <w:ind w:firstLine="643" w:firstLineChars="200"/>
        <w:textAlignment w:val="auto"/>
        <w:rPr>
          <w:rFonts w:hint="default" w:ascii="Times New Roman" w:hAnsi="Times New Roman" w:eastAsia="仿宋_GB2312" w:cs="Times New Roman"/>
          <w:b/>
          <w:bCs/>
          <w:color w:val="000000" w:themeColor="text1"/>
          <w:sz w:val="32"/>
          <w:szCs w:val="32"/>
          <w14:textFill>
            <w14:solidFill>
              <w14:schemeClr w14:val="tx1"/>
            </w14:solidFill>
          </w14:textFill>
        </w:rPr>
      </w:pPr>
      <w:r>
        <w:rPr>
          <w:rFonts w:hint="default" w:ascii="楷体_GB2312" w:hAnsi="楷体_GB2312" w:eastAsia="楷体_GB2312" w:cs="楷体_GB2312"/>
          <w:b/>
          <w:bCs/>
          <w:color w:val="000000" w:themeColor="text1"/>
          <w:sz w:val="32"/>
          <w:szCs w:val="32"/>
          <w:lang w:eastAsia="zh-CN"/>
          <w14:textFill>
            <w14:solidFill>
              <w14:schemeClr w14:val="tx1"/>
            </w14:solidFill>
          </w14:textFill>
        </w:rPr>
        <w:t>（四）</w:t>
      </w:r>
      <w:r>
        <w:rPr>
          <w:rFonts w:hint="default" w:ascii="楷体_GB2312" w:hAnsi="楷体_GB2312" w:eastAsia="楷体_GB2312" w:cs="楷体_GB2312"/>
          <w:b/>
          <w:bCs/>
          <w:color w:val="000000" w:themeColor="text1"/>
          <w:sz w:val="32"/>
          <w:szCs w:val="32"/>
          <w14:textFill>
            <w14:solidFill>
              <w14:schemeClr w14:val="tx1"/>
            </w14:solidFill>
          </w14:textFill>
        </w:rPr>
        <w:t>社会保险基金</w:t>
      </w:r>
      <w:r>
        <w:rPr>
          <w:rFonts w:hint="default" w:ascii="楷体_GB2312" w:hAnsi="楷体_GB2312" w:eastAsia="楷体_GB2312" w:cs="楷体_GB2312"/>
          <w:b/>
          <w:bCs/>
          <w:color w:val="000000" w:themeColor="text1"/>
          <w:sz w:val="32"/>
          <w:szCs w:val="32"/>
          <w:lang w:eastAsia="zh-CN"/>
          <w14:textFill>
            <w14:solidFill>
              <w14:schemeClr w14:val="tx1"/>
            </w14:solidFill>
          </w14:textFill>
        </w:rPr>
        <w:t>收支完成</w:t>
      </w:r>
      <w:r>
        <w:rPr>
          <w:rFonts w:hint="default" w:ascii="楷体_GB2312" w:hAnsi="楷体_GB2312" w:eastAsia="楷体_GB2312" w:cs="楷体_GB2312"/>
          <w:b/>
          <w:bCs/>
          <w:color w:val="000000" w:themeColor="text1"/>
          <w:sz w:val="32"/>
          <w:szCs w:val="32"/>
          <w14:textFill>
            <w14:solidFill>
              <w14:schemeClr w14:val="tx1"/>
            </w14:solidFill>
          </w14:textFill>
        </w:rPr>
        <w:t>情况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因体制问题，辖区内各单位部门上缴的社会保险基金全部纳入船山区汇总统计，收支均未</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纳入遂宁</w:t>
      </w:r>
      <w:r>
        <w:rPr>
          <w:rFonts w:hint="default" w:ascii="Times New Roman" w:hAnsi="Times New Roman" w:eastAsia="仿宋_GB2312" w:cs="Times New Roman"/>
          <w:color w:val="000000" w:themeColor="text1"/>
          <w:sz w:val="32"/>
          <w:szCs w:val="32"/>
          <w14:textFill>
            <w14:solidFill>
              <w14:schemeClr w14:val="tx1"/>
            </w14:solidFill>
          </w14:textFill>
        </w:rPr>
        <w:t>高新区，因此</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我委未编制</w:t>
      </w:r>
      <w:r>
        <w:rPr>
          <w:rFonts w:hint="default" w:ascii="Times New Roman" w:hAnsi="Times New Roman" w:eastAsia="仿宋_GB2312" w:cs="Times New Roman"/>
          <w:color w:val="000000" w:themeColor="text1"/>
          <w:sz w:val="32"/>
          <w:szCs w:val="32"/>
          <w14:textFill>
            <w14:solidFill>
              <w14:schemeClr w14:val="tx1"/>
            </w14:solidFill>
          </w14:textFill>
        </w:rPr>
        <w:t>社会保险基金收支预算。</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rPr>
          <w:rFonts w:hint="eastAsia" w:ascii="黑体" w:hAnsi="黑体" w:eastAsia="黑体" w:cs="黑体"/>
          <w:b w:val="0"/>
          <w:bCs/>
          <w:color w:val="000000" w:themeColor="text1"/>
          <w:kern w:val="2"/>
          <w:sz w:val="32"/>
          <w:szCs w:val="32"/>
          <w:lang w:val="en-US" w:eastAsia="zh-CN" w:bidi="ar-SA"/>
          <w14:textFill>
            <w14:solidFill>
              <w14:schemeClr w14:val="tx1"/>
            </w14:solidFill>
          </w14:textFill>
        </w:rPr>
      </w:pPr>
      <w:r>
        <w:rPr>
          <w:rFonts w:hint="eastAsia" w:ascii="黑体" w:hAnsi="黑体" w:eastAsia="黑体" w:cs="黑体"/>
          <w:b w:val="0"/>
          <w:bCs/>
          <w:color w:val="000000" w:themeColor="text1"/>
          <w:kern w:val="2"/>
          <w:sz w:val="32"/>
          <w:szCs w:val="32"/>
          <w:lang w:val="en-US" w:eastAsia="zh-CN" w:bidi="ar-SA"/>
          <w14:textFill>
            <w14:solidFill>
              <w14:schemeClr w14:val="tx1"/>
            </w14:solidFill>
          </w14:textFill>
        </w:rPr>
        <w:t>三、财政收支执行主要特点</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20" w:rightChars="0" w:firstLine="643" w:firstLineChars="200"/>
        <w:jc w:val="both"/>
        <w:rPr>
          <w:rFonts w:hint="default" w:eastAsia="仿宋_GB2312"/>
          <w:color w:val="000000" w:themeColor="text1"/>
          <w:sz w:val="32"/>
          <w:szCs w:val="32"/>
          <w:lang w:val="en-US" w:eastAsia="zh-CN"/>
          <w14:textFill>
            <w14:solidFill>
              <w14:schemeClr w14:val="tx1"/>
            </w14:solidFill>
          </w14:textFill>
        </w:rPr>
      </w:pPr>
      <w:r>
        <w:rPr>
          <w:rFonts w:hint="default" w:eastAsia="仿宋_GB2312" w:cs="Times New Roman"/>
          <w:b/>
          <w:bCs/>
          <w:color w:val="000000" w:themeColor="text1"/>
          <w:kern w:val="2"/>
          <w:sz w:val="32"/>
          <w:szCs w:val="32"/>
          <w:lang w:val="en-US" w:eastAsia="zh-CN" w:bidi="ar-SA"/>
          <w14:textFill>
            <w14:solidFill>
              <w14:schemeClr w14:val="tx1"/>
            </w14:solidFill>
          </w14:textFill>
        </w:rPr>
        <w:t>1、圆满完成全年目标任务。</w:t>
      </w:r>
      <w:r>
        <w:rPr>
          <w:rFonts w:hint="default" w:eastAsia="仿宋_GB2312" w:cs="Times New Roman"/>
          <w:color w:val="000000" w:themeColor="text1"/>
          <w:kern w:val="2"/>
          <w:sz w:val="32"/>
          <w:szCs w:val="32"/>
          <w:lang w:val="en-US" w:eastAsia="zh-CN" w:bidi="ar-SA"/>
          <w14:textFill>
            <w14:solidFill>
              <w14:schemeClr w14:val="tx1"/>
            </w14:solidFill>
          </w14:textFill>
        </w:rPr>
        <w:t>2019年高新区党工委</w:t>
      </w:r>
      <w:r>
        <w:rPr>
          <w:rFonts w:hint="eastAsia" w:eastAsia="仿宋_GB2312" w:cs="Times New Roman"/>
          <w:color w:val="000000" w:themeColor="text1"/>
          <w:kern w:val="2"/>
          <w:sz w:val="32"/>
          <w:szCs w:val="32"/>
          <w:lang w:val="en-US" w:eastAsia="zh-CN" w:bidi="ar-SA"/>
          <w14:textFill>
            <w14:solidFill>
              <w14:schemeClr w14:val="tx1"/>
            </w14:solidFill>
          </w14:textFill>
        </w:rPr>
        <w:t>、管委会</w:t>
      </w:r>
      <w:r>
        <w:rPr>
          <w:rFonts w:hint="default" w:eastAsia="仿宋_GB2312" w:cs="Times New Roman"/>
          <w:color w:val="000000" w:themeColor="text1"/>
          <w:kern w:val="2"/>
          <w:sz w:val="32"/>
          <w:szCs w:val="32"/>
          <w:lang w:val="en-US" w:eastAsia="zh-CN" w:bidi="ar-SA"/>
          <w14:textFill>
            <w14:solidFill>
              <w14:schemeClr w14:val="tx1"/>
            </w14:solidFill>
          </w14:textFill>
        </w:rPr>
        <w:t>高度重视财税运行</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工作</w:t>
      </w:r>
      <w:r>
        <w:rPr>
          <w:rFonts w:hint="default" w:eastAsia="仿宋_GB2312" w:cs="Times New Roman"/>
          <w:color w:val="000000" w:themeColor="text1"/>
          <w:kern w:val="2"/>
          <w:sz w:val="32"/>
          <w:szCs w:val="32"/>
          <w:lang w:val="en-US" w:eastAsia="zh-CN" w:bidi="ar-SA"/>
          <w14:textFill>
            <w14:solidFill>
              <w14:schemeClr w14:val="tx1"/>
            </w14:solidFill>
          </w14:textFill>
        </w:rPr>
        <w:t>，</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加强</w:t>
      </w:r>
      <w:r>
        <w:rPr>
          <w:rFonts w:hint="default" w:eastAsia="仿宋_GB2312" w:cs="Times New Roman"/>
          <w:color w:val="000000" w:themeColor="text1"/>
          <w:kern w:val="2"/>
          <w:sz w:val="32"/>
          <w:szCs w:val="32"/>
          <w:lang w:val="en-US" w:eastAsia="zh-CN" w:bidi="ar-SA"/>
          <w14:textFill>
            <w14:solidFill>
              <w14:schemeClr w14:val="tx1"/>
            </w14:solidFill>
          </w14:textFill>
        </w:rPr>
        <w:t>协税护税，定期分析</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w:t>
      </w:r>
      <w:r>
        <w:rPr>
          <w:rFonts w:hint="default" w:eastAsia="仿宋_GB2312" w:cs="Times New Roman"/>
          <w:color w:val="000000" w:themeColor="text1"/>
          <w:kern w:val="2"/>
          <w:sz w:val="32"/>
          <w:szCs w:val="32"/>
          <w:lang w:val="en-US" w:eastAsia="zh-CN" w:bidi="ar-SA"/>
          <w14:textFill>
            <w14:solidFill>
              <w14:schemeClr w14:val="tx1"/>
            </w14:solidFill>
          </w14:textFill>
        </w:rPr>
        <w:t>部署收入组织工作，突出重点税源征管，确保各项收入应收尽收，全年完成财政总收入100,918万元，</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其中</w:t>
      </w:r>
      <w:r>
        <w:rPr>
          <w:rFonts w:hint="eastAsia" w:eastAsia="仿宋_GB2312" w:cs="Times New Roman"/>
          <w:color w:val="000000" w:themeColor="text1"/>
          <w:kern w:val="2"/>
          <w:sz w:val="32"/>
          <w:szCs w:val="32"/>
          <w:lang w:val="en-US" w:eastAsia="zh-CN" w:bidi="ar-SA"/>
          <w14:textFill>
            <w14:solidFill>
              <w14:schemeClr w14:val="tx1"/>
            </w14:solidFill>
          </w14:textFill>
        </w:rPr>
        <w:t>：</w:t>
      </w:r>
      <w:r>
        <w:rPr>
          <w:rFonts w:hint="default" w:eastAsia="仿宋_GB2312" w:cs="Times New Roman"/>
          <w:color w:val="000000" w:themeColor="text1"/>
          <w:kern w:val="2"/>
          <w:sz w:val="32"/>
          <w:szCs w:val="32"/>
          <w:lang w:val="en-US" w:eastAsia="zh-CN" w:bidi="ar-SA"/>
          <w14:textFill>
            <w14:solidFill>
              <w14:schemeClr w14:val="tx1"/>
            </w14:solidFill>
          </w14:textFill>
        </w:rPr>
        <w:t>税收收入22,333万元，占财政总收入22.13%。</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2、着力民生改善，保障重点支出。</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按公共性原则，合理配置财力，在支出安排上，本着轻重缓急的原则，从严把关。优先保障人员工资和</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日常</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运转，</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主要向</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民生</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领域</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和重点</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项目倾斜</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3、强化财政管理，提高资金使用效益。</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一是加强预算约束、财政性基建投资项目审批、</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严控</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政府采购；二是深化国库管理制度改革，国库集中支出统一采用电子支付，提高财政资金运行效率，强化廉政风险防控。</w:t>
      </w:r>
    </w:p>
    <w:p>
      <w:pPr>
        <w:numPr>
          <w:ilvl w:val="0"/>
          <w:numId w:val="0"/>
        </w:numPr>
        <w:autoSpaceDE/>
        <w:autoSpaceDN/>
        <w:spacing w:line="560" w:lineRule="exact"/>
        <w:ind w:firstLine="640" w:firstLineChars="200"/>
        <w:rPr>
          <w:rFonts w:hint="default" w:ascii="黑体" w:hAnsi="黑体" w:eastAsia="黑体" w:cs="黑体"/>
          <w:bCs/>
          <w:color w:val="000000" w:themeColor="text1"/>
          <w:sz w:val="32"/>
          <w:szCs w:val="32"/>
          <w14:textFill>
            <w14:solidFill>
              <w14:schemeClr w14:val="tx1"/>
            </w14:solidFill>
          </w14:textFill>
        </w:rPr>
      </w:pPr>
      <w:r>
        <w:rPr>
          <w:rFonts w:hint="default" w:ascii="黑体" w:hAnsi="黑体" w:eastAsia="黑体" w:cs="黑体"/>
          <w:bCs/>
          <w:color w:val="000000" w:themeColor="text1"/>
          <w:sz w:val="32"/>
          <w:szCs w:val="32"/>
          <w:lang w:eastAsia="zh-CN"/>
          <w14:textFill>
            <w14:solidFill>
              <w14:schemeClr w14:val="tx1"/>
            </w14:solidFill>
          </w14:textFill>
        </w:rPr>
        <w:t>四</w:t>
      </w:r>
      <w:r>
        <w:rPr>
          <w:rFonts w:hint="default" w:ascii="黑体" w:hAnsi="黑体" w:eastAsia="黑体" w:cs="黑体"/>
          <w:bCs/>
          <w:color w:val="000000" w:themeColor="text1"/>
          <w:sz w:val="32"/>
          <w:szCs w:val="32"/>
          <w14:textFill>
            <w14:solidFill>
              <w14:schemeClr w14:val="tx1"/>
            </w14:solidFill>
          </w14:textFill>
        </w:rPr>
        <w:t>、2019年主要工作完成情况</w:t>
      </w:r>
    </w:p>
    <w:p>
      <w:pPr>
        <w:numPr>
          <w:ilvl w:val="-1"/>
          <w:numId w:val="0"/>
        </w:numPr>
        <w:spacing w:line="560" w:lineRule="exact"/>
        <w:ind w:firstLine="643" w:firstLineChars="200"/>
        <w:rPr>
          <w:rFonts w:hint="default" w:ascii="Times New Roman" w:hAnsi="Times New Roman" w:eastAsia="仿宋_GB2312" w:cs="Times New Roman"/>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lang w:eastAsia="zh-CN"/>
          <w14:textFill>
            <w14:solidFill>
              <w14:schemeClr w14:val="tx1"/>
            </w14:solidFill>
          </w14:textFill>
        </w:rPr>
        <w:t>（一）</w:t>
      </w:r>
      <w:r>
        <w:rPr>
          <w:rFonts w:hint="eastAsia" w:ascii="楷体_GB2312" w:hAnsi="楷体_GB2312" w:eastAsia="楷体_GB2312" w:cs="楷体_GB2312"/>
          <w:b/>
          <w:bCs/>
          <w:color w:val="000000" w:themeColor="text1"/>
          <w:sz w:val="32"/>
          <w:szCs w:val="32"/>
          <w14:textFill>
            <w14:solidFill>
              <w14:schemeClr w14:val="tx1"/>
            </w14:solidFill>
          </w14:textFill>
        </w:rPr>
        <w:t>财政预算收入稳步增加</w:t>
      </w:r>
    </w:p>
    <w:p>
      <w:pPr>
        <w:pStyle w:val="15"/>
        <w:spacing w:line="560" w:lineRule="exact"/>
        <w:ind w:firstLine="640" w:firstLineChars="200"/>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2019年度一般公共预算收入总计100,918万元，其中：一般公共预算收入36,809万元，上级补助收入24,039万元，债券转贷收入23,808万元，调入资金15,542万元。</w:t>
      </w:r>
    </w:p>
    <w:p>
      <w:pPr>
        <w:pStyle w:val="15"/>
        <w:spacing w:line="560" w:lineRule="exact"/>
        <w:ind w:firstLine="643" w:firstLineChars="200"/>
        <w:rPr>
          <w:rFonts w:hint="default" w:ascii="Times New Roman" w:hAnsi="Times New Roman" w:eastAsia="仿宋_GB2312" w:cs="Times New Roman"/>
          <w:b/>
          <w:bCs/>
          <w:color w:val="000000" w:themeColor="text1"/>
          <w:sz w:val="32"/>
          <w:szCs w:val="32"/>
          <w14:textFill>
            <w14:solidFill>
              <w14:schemeClr w14:val="tx1"/>
            </w14:solidFill>
          </w14:textFill>
        </w:rPr>
      </w:pPr>
      <w:r>
        <w:rPr>
          <w:rFonts w:hint="default" w:ascii="楷体_GB2312" w:hAnsi="楷体_GB2312" w:eastAsia="楷体_GB2312" w:cs="楷体_GB2312"/>
          <w:b/>
          <w:bCs/>
          <w:color w:val="000000" w:themeColor="text1"/>
          <w:sz w:val="32"/>
          <w:szCs w:val="32"/>
          <w14:textFill>
            <w14:solidFill>
              <w14:schemeClr w14:val="tx1"/>
            </w14:solidFill>
          </w14:textFill>
        </w:rPr>
        <w:t>（二）服务经济助民生能力不断增强</w:t>
      </w:r>
    </w:p>
    <w:p>
      <w:pPr>
        <w:spacing w:line="560" w:lineRule="exact"/>
        <w:ind w:firstLine="643" w:firstLineChars="200"/>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一是筹集资金支持园区民生工程建设。</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2019年</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共筹集资金</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14.5亿</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元用于园区征地拆迁、棚户区改造、基础设施建设等民生工程</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bCs/>
          <w:color w:val="000000" w:themeColor="text1"/>
          <w:sz w:val="32"/>
          <w:szCs w:val="32"/>
          <w14:textFill>
            <w14:solidFill>
              <w14:schemeClr w14:val="tx1"/>
            </w14:solidFill>
          </w14:textFill>
        </w:rPr>
        <w:t>二是大力支持园区产业发展。</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2019年，共兑现企业扶持资金和优惠政策24,258万元，主要用于兑现中科钢研优惠政策1.85亿元、威斯腾约530万元、恒信500万元。</w:t>
      </w:r>
      <w:r>
        <w:rPr>
          <w:rFonts w:hint="default" w:ascii="Times New Roman" w:hAnsi="Times New Roman" w:eastAsia="仿宋_GB2312" w:cs="Times New Roman"/>
          <w:b/>
          <w:bCs/>
          <w:color w:val="000000" w:themeColor="text1"/>
          <w:sz w:val="32"/>
          <w:szCs w:val="32"/>
          <w14:textFill>
            <w14:solidFill>
              <w14:schemeClr w14:val="tx1"/>
            </w14:solidFill>
          </w14:textFill>
        </w:rPr>
        <w:t>三是力争债券资金，全力保障园区发展。</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2019年，</w:t>
      </w:r>
      <w:r>
        <w:rPr>
          <w:rFonts w:hint="eastAsia" w:ascii="Times New Roman" w:hAnsi="Times New Roman" w:eastAsia="仿宋_GB2312" w:cs="Times New Roman"/>
          <w:b w:val="0"/>
          <w:bCs w:val="0"/>
          <w:color w:val="000000" w:themeColor="text1"/>
          <w:sz w:val="32"/>
          <w:szCs w:val="32"/>
          <w:lang w:eastAsia="zh-CN"/>
          <w14:textFill>
            <w14:solidFill>
              <w14:schemeClr w14:val="tx1"/>
            </w14:solidFill>
          </w14:textFill>
        </w:rPr>
        <w:t>遂宁</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高新区共向上争取债券资金2.</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8</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4亿元，其中，一般债券0.04亿元，专项债券2</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.8</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亿元</w:t>
      </w:r>
      <w:r>
        <w:rPr>
          <w:rFonts w:hint="eastAsia"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共申报政府债券项目4个（雁栖湖城市基础设施、电子产业园区、高新智能制造产业园、“一带一路”）</w:t>
      </w:r>
      <w:r>
        <w:rPr>
          <w:rFonts w:hint="eastAsia"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电子产业园成功发行债券资金5000万元</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高新智能制造成功发行3000万元</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物流港标准厂房三期</w:t>
      </w:r>
      <w:r>
        <w:rPr>
          <w:rFonts w:hint="eastAsia"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一带一路及燕栖湖城市基础设施建设三个项目</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正在</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入库审核中</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bCs/>
          <w:color w:val="000000" w:themeColor="text1"/>
          <w:sz w:val="32"/>
          <w:szCs w:val="32"/>
          <w14:textFill>
            <w14:solidFill>
              <w14:schemeClr w14:val="tx1"/>
            </w14:solidFill>
          </w14:textFill>
        </w:rPr>
        <w:t>四是加大融资力度。</w:t>
      </w:r>
      <w:r>
        <w:rPr>
          <w:rFonts w:hint="default" w:ascii="Times New Roman" w:hAnsi="Times New Roman" w:eastAsia="仿宋_GB2312" w:cs="Times New Roman"/>
          <w:color w:val="000000" w:themeColor="text1"/>
          <w:sz w:val="32"/>
          <w:szCs w:val="32"/>
          <w14:textFill>
            <w14:solidFill>
              <w14:schemeClr w14:val="tx1"/>
            </w14:solidFill>
          </w14:textFill>
        </w:rPr>
        <w:t>2019年融资到位资金合计约9.33亿元。</w:t>
      </w:r>
      <w:r>
        <w:rPr>
          <w:rFonts w:hint="default" w:ascii="Times New Roman" w:hAnsi="Times New Roman" w:eastAsia="仿宋_GB2312" w:cs="Times New Roman"/>
          <w:b/>
          <w:bCs/>
          <w:color w:val="000000" w:themeColor="text1"/>
          <w:sz w:val="32"/>
          <w:szCs w:val="32"/>
          <w14:textFill>
            <w14:solidFill>
              <w14:schemeClr w14:val="tx1"/>
            </w14:solidFill>
          </w14:textFill>
        </w:rPr>
        <w:t>五是大力推进PPP项目。</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2019年，完成</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遂宁</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高新区PPP项目储备工作，涉及乡村振兴、基础设施、文化教育等领域共计10个项目成功报送至市PPP中心。目前污水处理厂PPP项目</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已由</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采购转</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入</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执行阶段，物流新城特色城镇化项目正在筹建项目公司。</w:t>
      </w:r>
    </w:p>
    <w:p>
      <w:pPr>
        <w:pStyle w:val="15"/>
        <w:numPr>
          <w:ilvl w:val="-1"/>
          <w:numId w:val="0"/>
        </w:numPr>
        <w:spacing w:line="560" w:lineRule="exact"/>
        <w:ind w:firstLine="643" w:firstLineChars="200"/>
        <w:rPr>
          <w:rFonts w:hint="default" w:ascii="楷体_GB2312" w:hAnsi="楷体_GB2312" w:eastAsia="楷体_GB2312" w:cs="楷体_GB2312"/>
          <w:b/>
          <w:bCs/>
          <w:color w:val="000000" w:themeColor="text1"/>
          <w:sz w:val="32"/>
          <w:szCs w:val="32"/>
          <w14:textFill>
            <w14:solidFill>
              <w14:schemeClr w14:val="tx1"/>
            </w14:solidFill>
          </w14:textFill>
        </w:rPr>
      </w:pPr>
      <w:r>
        <w:rPr>
          <w:rFonts w:hint="default" w:ascii="楷体_GB2312" w:hAnsi="楷体_GB2312" w:eastAsia="楷体_GB2312" w:cs="楷体_GB2312"/>
          <w:b/>
          <w:bCs/>
          <w:color w:val="000000" w:themeColor="text1"/>
          <w:sz w:val="32"/>
          <w:szCs w:val="32"/>
          <w:lang w:eastAsia="zh-CN"/>
          <w14:textFill>
            <w14:solidFill>
              <w14:schemeClr w14:val="tx1"/>
            </w14:solidFill>
          </w14:textFill>
        </w:rPr>
        <w:t>（三）</w:t>
      </w:r>
      <w:r>
        <w:rPr>
          <w:rFonts w:hint="default" w:ascii="楷体_GB2312" w:hAnsi="楷体_GB2312" w:eastAsia="楷体_GB2312" w:cs="楷体_GB2312"/>
          <w:b/>
          <w:bCs/>
          <w:color w:val="000000" w:themeColor="text1"/>
          <w:sz w:val="32"/>
          <w:szCs w:val="32"/>
          <w14:textFill>
            <w14:solidFill>
              <w14:schemeClr w14:val="tx1"/>
            </w14:solidFill>
          </w14:textFill>
        </w:rPr>
        <w:t>财政机制体制逐步完善</w:t>
      </w:r>
    </w:p>
    <w:p>
      <w:pPr>
        <w:spacing w:line="560" w:lineRule="exact"/>
        <w:ind w:firstLine="643" w:firstLineChars="200"/>
        <w:rPr>
          <w:rFonts w:hint="default" w:ascii="Times New Roman" w:hAnsi="Times New Roman" w:eastAsia="仿宋_GB2312" w:cs="Times New Roman"/>
          <w:b/>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一是加强财政平台建设。</w:t>
      </w:r>
      <w:r>
        <w:rPr>
          <w:rFonts w:hint="default" w:ascii="Times New Roman" w:hAnsi="Times New Roman" w:eastAsia="仿宋_GB2312" w:cs="Times New Roman"/>
          <w:color w:val="000000" w:themeColor="text1"/>
          <w:sz w:val="32"/>
          <w:szCs w:val="32"/>
          <w14:textFill>
            <w14:solidFill>
              <w14:schemeClr w14:val="tx1"/>
            </w14:solidFill>
          </w14:textFill>
        </w:rPr>
        <w:t>为保障园区财政系统有效运转，目前已完成金库设立、国库账户开设、启用开通四川省非税收入管理信息系统、上线运行四川省政府财政管理系统（大平台系统），并指导各预算单位完成零余额账户开设。</w:t>
      </w:r>
      <w:r>
        <w:rPr>
          <w:rFonts w:hint="default" w:ascii="Times New Roman" w:hAnsi="Times New Roman" w:eastAsia="仿宋_GB2312" w:cs="Times New Roman"/>
          <w:b/>
          <w:bCs/>
          <w:color w:val="000000" w:themeColor="text1"/>
          <w:sz w:val="32"/>
          <w:szCs w:val="32"/>
          <w14:textFill>
            <w14:solidFill>
              <w14:schemeClr w14:val="tx1"/>
            </w14:solidFill>
          </w14:textFill>
        </w:rPr>
        <w:t>二是建立健全财务机制体制。</w:t>
      </w:r>
      <w:r>
        <w:rPr>
          <w:rFonts w:hint="default" w:ascii="Times New Roman" w:hAnsi="Times New Roman" w:eastAsia="仿宋_GB2312" w:cs="Times New Roman"/>
          <w:color w:val="000000" w:themeColor="text1"/>
          <w:sz w:val="32"/>
          <w:szCs w:val="32"/>
          <w14:textFill>
            <w14:solidFill>
              <w14:schemeClr w14:val="tx1"/>
            </w14:solidFill>
          </w14:textFill>
        </w:rPr>
        <w:t>印发《四川遂宁高新技术产业园区财政预算审批制度》和《四川遂宁高新技术产业园区机关财务管理制度》，规范了全区预算资金管理和财务管理，提高了资金使用效益，保障机关工作正常有序</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开展</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b/>
          <w:bCs/>
          <w:color w:val="000000" w:themeColor="text1"/>
          <w:sz w:val="32"/>
          <w:szCs w:val="32"/>
          <w14:textFill>
            <w14:solidFill>
              <w14:schemeClr w14:val="tx1"/>
            </w14:solidFill>
          </w14:textFill>
        </w:rPr>
        <w:t>三是进一步完善国有企业管理体系。</w:t>
      </w:r>
      <w:r>
        <w:rPr>
          <w:rFonts w:hint="default" w:ascii="Times New Roman" w:hAnsi="Times New Roman" w:eastAsia="仿宋_GB2312" w:cs="Times New Roman"/>
          <w:color w:val="000000" w:themeColor="text1"/>
          <w:sz w:val="32"/>
          <w:szCs w:val="32"/>
          <w14:textFill>
            <w14:solidFill>
              <w14:schemeClr w14:val="tx1"/>
            </w14:solidFill>
          </w14:textFill>
        </w:rPr>
        <w:t>初步拟定了《遂宁市高新区国有资产管理办法》、《遂宁市高新区国有企业负责人薪酬管理制度》、《遂宁市高新区国有企业实体化运营工作方案》等一系列制度文件，初步构建了高新区国企国资管理的制度基础。</w:t>
      </w:r>
    </w:p>
    <w:p>
      <w:pPr>
        <w:pStyle w:val="15"/>
        <w:spacing w:line="560" w:lineRule="exact"/>
        <w:ind w:firstLine="643" w:firstLineChars="200"/>
        <w:rPr>
          <w:rFonts w:hint="default" w:ascii="Times New Roman" w:hAnsi="Times New Roman" w:eastAsia="仿宋_GB2312" w:cs="Times New Roman"/>
          <w:b/>
          <w:bCs/>
          <w:color w:val="000000" w:themeColor="text1"/>
          <w:sz w:val="32"/>
          <w:szCs w:val="32"/>
          <w14:textFill>
            <w14:solidFill>
              <w14:schemeClr w14:val="tx1"/>
            </w14:solidFill>
          </w14:textFill>
        </w:rPr>
      </w:pPr>
      <w:r>
        <w:rPr>
          <w:rFonts w:hint="default" w:ascii="楷体_GB2312" w:hAnsi="楷体_GB2312" w:eastAsia="楷体_GB2312" w:cs="楷体_GB2312"/>
          <w:b/>
          <w:bCs/>
          <w:color w:val="000000" w:themeColor="text1"/>
          <w:sz w:val="32"/>
          <w:szCs w:val="32"/>
          <w14:textFill>
            <w14:solidFill>
              <w14:schemeClr w14:val="tx1"/>
            </w14:solidFill>
          </w14:textFill>
        </w:rPr>
        <w:t>（四）加强金融服务，竭力服务实体经济</w:t>
      </w:r>
    </w:p>
    <w:p>
      <w:pPr>
        <w:pStyle w:val="15"/>
        <w:spacing w:line="560" w:lineRule="exact"/>
        <w:ind w:firstLine="643" w:firstLineChars="200"/>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一是积极引导金融机构做好企业金融支持工作。</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组织有关部门和金融机构开展座谈，共商对策做好企业金融服务。2019年，贷款投放额为33亿元，其中，用于企业的贷款总额为17.54亿元，对企业贷款的支持率达53%，贷款平均利率约为6.33%。7月26日，成功举办高新区银政企对接工作会，高新区管委会与5家银行机构签署了战略合作协议，并达成意向性银行融资额度达450亿元</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，全</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区6家企业取得了银行机构贷款，总金额达11.08亿元。11月29日</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成功举办2019年四川省“送金融走基层”活动暨遂宁市第四季度银政企融资对接会（高新区专场），促成遂宁高新区企业取得6.3亿元授信额度。</w:t>
      </w: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二是积极推进金融小镇建设。</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 xml:space="preserve">目前金融小镇已入驻29家金融类相关机构，累计拨付补助资金231.92万元。 </w:t>
      </w:r>
    </w:p>
    <w:p>
      <w:pPr>
        <w:pStyle w:val="15"/>
        <w:spacing w:line="560" w:lineRule="exact"/>
        <w:ind w:firstLine="643" w:firstLineChars="200"/>
        <w:rPr>
          <w:rFonts w:hint="default" w:ascii="Times New Roman" w:hAnsi="Times New Roman" w:eastAsia="仿宋_GB2312" w:cs="Times New Roman"/>
          <w:b/>
          <w:bCs/>
          <w:color w:val="000000" w:themeColor="text1"/>
          <w:sz w:val="32"/>
          <w:szCs w:val="32"/>
          <w14:textFill>
            <w14:solidFill>
              <w14:schemeClr w14:val="tx1"/>
            </w14:solidFill>
          </w14:textFill>
        </w:rPr>
      </w:pPr>
      <w:r>
        <w:rPr>
          <w:rFonts w:hint="default" w:ascii="楷体_GB2312" w:hAnsi="楷体_GB2312" w:eastAsia="楷体_GB2312" w:cs="楷体_GB2312"/>
          <w:b/>
          <w:bCs/>
          <w:color w:val="000000" w:themeColor="text1"/>
          <w:sz w:val="32"/>
          <w:szCs w:val="32"/>
          <w14:textFill>
            <w14:solidFill>
              <w14:schemeClr w14:val="tx1"/>
            </w14:solidFill>
          </w14:textFill>
        </w:rPr>
        <w:t>（五）加强过渡期清理移交、新增职能保障工作</w:t>
      </w:r>
    </w:p>
    <w:p>
      <w:pPr>
        <w:pStyle w:val="15"/>
        <w:spacing w:line="560" w:lineRule="exact"/>
        <w:ind w:firstLine="643"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b/>
          <w:bCs/>
          <w:color w:val="000000" w:themeColor="text1"/>
          <w:sz w:val="32"/>
          <w:szCs w:val="32"/>
          <w14:textFill>
            <w14:solidFill>
              <w14:schemeClr w14:val="tx1"/>
            </w14:solidFill>
          </w14:textFill>
        </w:rPr>
        <w:t>一是</w:t>
      </w:r>
      <w:r>
        <w:rPr>
          <w:rFonts w:hint="default" w:ascii="Times New Roman" w:hAnsi="Times New Roman" w:eastAsia="仿宋_GB2312" w:cs="Times New Roman"/>
          <w:color w:val="000000" w:themeColor="text1"/>
          <w:sz w:val="32"/>
          <w:szCs w:val="32"/>
          <w14:textFill>
            <w14:solidFill>
              <w14:schemeClr w14:val="tx1"/>
            </w14:solidFill>
          </w14:textFill>
        </w:rPr>
        <w:t>完成区划移交债权债务审计工作。</w:t>
      </w:r>
      <w:r>
        <w:rPr>
          <w:rFonts w:hint="default" w:ascii="Times New Roman" w:hAnsi="Times New Roman" w:eastAsia="仿宋_GB2312" w:cs="Times New Roman"/>
          <w:color w:val="000000" w:themeColor="text1"/>
          <w:spacing w:val="16"/>
          <w:sz w:val="32"/>
          <w:szCs w:val="32"/>
          <w14:textFill>
            <w14:solidFill>
              <w14:schemeClr w14:val="tx1"/>
            </w14:solidFill>
          </w14:textFill>
        </w:rPr>
        <w:t>经审计，高新区应收的债权总额为25.88亿元，应支付的债务总额为25.84亿元</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b/>
          <w:bCs/>
          <w:color w:val="000000" w:themeColor="text1"/>
          <w:sz w:val="32"/>
          <w:szCs w:val="32"/>
          <w14:textFill>
            <w14:solidFill>
              <w14:schemeClr w14:val="tx1"/>
            </w14:solidFill>
          </w14:textFill>
        </w:rPr>
        <w:t>二是</w:t>
      </w:r>
      <w:r>
        <w:rPr>
          <w:rFonts w:hint="default" w:ascii="Times New Roman" w:hAnsi="Times New Roman" w:eastAsia="仿宋_GB2312" w:cs="Times New Roman"/>
          <w:color w:val="000000" w:themeColor="text1"/>
          <w:sz w:val="32"/>
          <w:szCs w:val="32"/>
          <w14:textFill>
            <w14:solidFill>
              <w14:schemeClr w14:val="tx1"/>
            </w14:solidFill>
          </w14:textFill>
        </w:rPr>
        <w:t>对高新区直管区范围内的国有资产（办公区固定资产、门面、房屋、雨水管网等）进行了全面清理、系统录入，并建立管理台账。</w:t>
      </w:r>
      <w:r>
        <w:rPr>
          <w:rFonts w:hint="default" w:ascii="Times New Roman" w:hAnsi="Times New Roman" w:eastAsia="仿宋_GB2312" w:cs="Times New Roman"/>
          <w:b/>
          <w:bCs/>
          <w:color w:val="000000" w:themeColor="text1"/>
          <w:sz w:val="32"/>
          <w:szCs w:val="32"/>
          <w14:textFill>
            <w14:solidFill>
              <w14:schemeClr w14:val="tx1"/>
            </w14:solidFill>
          </w14:textFill>
        </w:rPr>
        <w:t>三是</w:t>
      </w:r>
      <w:r>
        <w:rPr>
          <w:rFonts w:hint="default" w:ascii="Times New Roman" w:hAnsi="Times New Roman" w:eastAsia="仿宋_GB2312" w:cs="Times New Roman"/>
          <w:color w:val="000000" w:themeColor="text1"/>
          <w:sz w:val="32"/>
          <w:szCs w:val="32"/>
          <w14:textFill>
            <w14:solidFill>
              <w14:schemeClr w14:val="tx1"/>
            </w14:solidFill>
          </w14:textFill>
        </w:rPr>
        <w:t>对划转区人员基本情况进行了统计和摸底，为高新区财政预算工作打下了坚实的基础保障。</w:t>
      </w:r>
    </w:p>
    <w:p>
      <w:pPr>
        <w:numPr>
          <w:ilvl w:val="-1"/>
          <w:numId w:val="0"/>
        </w:numPr>
        <w:spacing w:line="560" w:lineRule="exact"/>
        <w:ind w:firstLine="643" w:firstLineChars="200"/>
        <w:rPr>
          <w:rFonts w:hint="default" w:ascii="Times New Roman" w:hAnsi="Times New Roman" w:eastAsia="仿宋_GB2312" w:cs="Times New Roman"/>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lang w:eastAsia="zh-CN"/>
          <w14:textFill>
            <w14:solidFill>
              <w14:schemeClr w14:val="tx1"/>
            </w14:solidFill>
          </w14:textFill>
        </w:rPr>
        <w:t>（六）</w:t>
      </w:r>
      <w:r>
        <w:rPr>
          <w:rFonts w:hint="default" w:ascii="楷体_GB2312" w:hAnsi="楷体_GB2312" w:eastAsia="楷体_GB2312" w:cs="楷体_GB2312"/>
          <w:b/>
          <w:bCs/>
          <w:color w:val="000000" w:themeColor="text1"/>
          <w:sz w:val="32"/>
          <w:szCs w:val="32"/>
          <w14:textFill>
            <w14:solidFill>
              <w14:schemeClr w14:val="tx1"/>
            </w14:solidFill>
          </w14:textFill>
        </w:rPr>
        <w:t>不断提升财政投资评审质量和效率</w:t>
      </w:r>
    </w:p>
    <w:p>
      <w:pPr>
        <w:pStyle w:val="2"/>
        <w:spacing w:line="560" w:lineRule="exact"/>
        <w:jc w:val="left"/>
        <w:rPr>
          <w:rFonts w:hint="default" w:eastAsia="仿宋_GB2312"/>
          <w:color w:val="000000" w:themeColor="text1"/>
          <w:sz w:val="32"/>
          <w:szCs w:val="32"/>
          <w:lang w:val="en-US" w:eastAsia="zh-CN"/>
          <w14:textFill>
            <w14:solidFill>
              <w14:schemeClr w14:val="tx1"/>
            </w14:solidFill>
          </w14:textFill>
        </w:rPr>
      </w:pPr>
      <w:r>
        <w:rPr>
          <w:rFonts w:hint="default" w:eastAsia="仿宋_GB2312" w:cs="Times New Roman"/>
          <w:color w:val="000000" w:themeColor="text1"/>
          <w:sz w:val="32"/>
          <w:szCs w:val="32"/>
          <w:shd w:val="clear" w:color="auto" w:fill="FFFFFF"/>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坚持“客观、公正、公平”的评审原则和“不唯减、不唯增、只唯实”的评审理念，不断完善评审机制，提高财政资金管理的质量和水平。2019年</w:t>
      </w:r>
      <w:r>
        <w:rPr>
          <w:rFonts w:hint="default" w:ascii="Times New Roman" w:hAnsi="Times New Roman" w:eastAsia="仿宋_GB2312" w:cs="Times New Roman"/>
          <w:color w:val="000000" w:themeColor="text1"/>
          <w:sz w:val="32"/>
          <w:szCs w:val="32"/>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财政投资评审</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项目</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共</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计</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103</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个</w:t>
      </w:r>
      <w:r>
        <w:rPr>
          <w:rFonts w:hint="default" w:ascii="Times New Roman" w:hAnsi="Times New Roman" w:eastAsia="仿宋_GB2312" w:cs="Times New Roman"/>
          <w:color w:val="000000" w:themeColor="text1"/>
          <w:sz w:val="32"/>
          <w:szCs w:val="32"/>
          <w:shd w:val="clear" w:color="auto" w:fill="FFFFFF"/>
          <w14:textFill>
            <w14:solidFill>
              <w14:schemeClr w14:val="tx1"/>
            </w14:solidFill>
          </w14:textFill>
        </w:rPr>
        <w:t>，送审金额2.83亿元，审定金额2.6亿元，节约财政资金0.23亿元。</w:t>
      </w:r>
      <w:r>
        <w:rPr>
          <w:rFonts w:hint="default" w:ascii="Times New Roman" w:hAnsi="Times New Roman" w:eastAsia="仿宋_GB2312" w:cs="Times New Roman"/>
          <w:color w:val="000000" w:themeColor="text1"/>
          <w:sz w:val="32"/>
          <w:szCs w:val="32"/>
          <w:shd w:val="clear" w:color="auto" w:fill="FFFFFF"/>
          <w:lang w:val="en-US" w:eastAsia="zh-CN"/>
          <w14:textFill>
            <w14:solidFill>
              <w14:schemeClr w14:val="tx1"/>
            </w14:solidFill>
          </w14:textFill>
        </w:rPr>
        <w:t xml:space="preserve"> </w:t>
      </w:r>
    </w:p>
    <w:p>
      <w:pPr>
        <w:spacing w:line="560" w:lineRule="exact"/>
        <w:ind w:firstLine="640" w:firstLineChars="200"/>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lang w:eastAsia="zh-CN"/>
          <w14:textFill>
            <w14:solidFill>
              <w14:schemeClr w14:val="tx1"/>
            </w14:solidFill>
          </w14:textFill>
        </w:rPr>
        <w:t>五、高新</w:t>
      </w:r>
      <w:r>
        <w:rPr>
          <w:rFonts w:hint="eastAsia" w:ascii="黑体" w:hAnsi="黑体" w:eastAsia="黑体" w:cs="黑体"/>
          <w:b w:val="0"/>
          <w:bCs/>
          <w:color w:val="000000" w:themeColor="text1"/>
          <w:sz w:val="32"/>
          <w:szCs w:val="32"/>
          <w14:textFill>
            <w14:solidFill>
              <w14:schemeClr w14:val="tx1"/>
            </w14:solidFill>
          </w14:textFill>
        </w:rPr>
        <w:t>区财政经济运行中存在的问题</w:t>
      </w:r>
    </w:p>
    <w:p>
      <w:pPr>
        <w:pStyle w:val="5"/>
        <w:autoSpaceDE/>
        <w:autoSpaceDN/>
        <w:adjustRightInd/>
        <w:spacing w:line="560" w:lineRule="exact"/>
        <w:ind w:firstLineChars="200"/>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2019年，我区财政收支运行总体平稳、健康，但从收入结构看、从支出进度看、从我区经济社会发展的需求看仍然存在一些深层次的矛盾和问题。</w:t>
      </w:r>
    </w:p>
    <w:p>
      <w:pPr>
        <w:keepNext w:val="0"/>
        <w:keepLines w:val="0"/>
        <w:pageBreakBefore w:val="0"/>
        <w:kinsoku/>
        <w:wordWrap/>
        <w:overflowPunct/>
        <w:topLinePunct w:val="0"/>
        <w:bidi w:val="0"/>
        <w:adjustRightInd/>
        <w:spacing w:line="560" w:lineRule="exact"/>
        <w:ind w:right="0" w:firstLine="643" w:firstLineChars="200"/>
        <w:jc w:val="left"/>
        <w:rPr>
          <w:rFonts w:hint="default" w:ascii="Times New Roman" w:hAnsi="Times New Roman" w:eastAsia="仿宋_GB2312" w:cs="Times New Roman"/>
          <w:bCs/>
          <w:color w:val="000000" w:themeColor="text1"/>
          <w:kern w:val="0"/>
          <w:sz w:val="32"/>
          <w:szCs w:val="32"/>
          <w14:textFill>
            <w14:solidFill>
              <w14:schemeClr w14:val="tx1"/>
            </w14:solidFill>
          </w14:textFill>
        </w:rPr>
      </w:pPr>
      <w:r>
        <w:rPr>
          <w:rFonts w:hint="eastAsia" w:ascii="Times New Roman" w:hAnsi="Times New Roman" w:eastAsia="仿宋_GB2312" w:cs="Times New Roman"/>
          <w:b/>
          <w:color w:val="000000" w:themeColor="text1"/>
          <w:sz w:val="32"/>
          <w:szCs w:val="32"/>
          <w:lang w:eastAsia="zh-CN"/>
          <w14:textFill>
            <w14:solidFill>
              <w14:schemeClr w14:val="tx1"/>
            </w14:solidFill>
          </w14:textFill>
        </w:rPr>
        <w:t>（一）</w:t>
      </w:r>
      <w:r>
        <w:rPr>
          <w:rFonts w:hint="default" w:ascii="Times New Roman" w:hAnsi="Times New Roman" w:eastAsia="仿宋_GB2312" w:cs="Times New Roman"/>
          <w:b/>
          <w:color w:val="000000" w:themeColor="text1"/>
          <w:sz w:val="32"/>
          <w:szCs w:val="32"/>
          <w14:textFill>
            <w14:solidFill>
              <w14:schemeClr w14:val="tx1"/>
            </w14:solidFill>
          </w14:textFill>
        </w:rPr>
        <w:t>从收入方面看</w:t>
      </w:r>
      <w:r>
        <w:rPr>
          <w:rFonts w:hint="eastAsia" w:ascii="Times New Roman" w:hAnsi="Times New Roman" w:eastAsia="仿宋_GB2312" w:cs="Times New Roman"/>
          <w:b/>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lang w:eastAsia="zh-CN"/>
          <w14:textFill>
            <w14:solidFill>
              <w14:schemeClr w14:val="tx1"/>
            </w14:solidFill>
          </w14:textFill>
        </w:rPr>
        <w:t>高新区</w:t>
      </w:r>
      <w:r>
        <w:rPr>
          <w:rFonts w:hint="default" w:ascii="Times New Roman" w:hAnsi="Times New Roman" w:eastAsia="仿宋_GB2312" w:cs="Times New Roman"/>
          <w:bCs/>
          <w:color w:val="000000" w:themeColor="text1"/>
          <w:kern w:val="0"/>
          <w:sz w:val="32"/>
          <w:szCs w:val="32"/>
          <w14:textFill>
            <w14:solidFill>
              <w14:schemeClr w14:val="tx1"/>
            </w14:solidFill>
          </w14:textFill>
        </w:rPr>
        <w:t>经济总量较小，发展不平衡</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新型税源发展不足、传统税源增长缓慢，特别是工业企业发展不足，税收收入主要靠小型商业企业和个体工商户零散税收支撑。招商引资企业还在培育阶段，产生的税收也比较少，严重制约了税收收入的可持续增长。尽管财税部门采取措施，加强征管，积极培植税源，但税源后劲增长</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不足</w:t>
      </w:r>
      <w:r>
        <w:rPr>
          <w:rFonts w:hint="default" w:ascii="Times New Roman" w:hAnsi="Times New Roman" w:eastAsia="仿宋_GB2312" w:cs="Times New Roman"/>
          <w:bCs/>
          <w:color w:val="000000" w:themeColor="text1"/>
          <w:kern w:val="0"/>
          <w:sz w:val="32"/>
          <w:szCs w:val="32"/>
          <w14:textFill>
            <w14:solidFill>
              <w14:schemeClr w14:val="tx1"/>
            </w14:solidFill>
          </w14:textFill>
        </w:rPr>
        <w:t>，仍然缺乏做强做大的活力和动力。</w:t>
      </w:r>
    </w:p>
    <w:p>
      <w:pPr>
        <w:keepNext w:val="0"/>
        <w:keepLines w:val="0"/>
        <w:pageBreakBefore w:val="0"/>
        <w:kinsoku/>
        <w:wordWrap/>
        <w:overflowPunct/>
        <w:topLinePunct w:val="0"/>
        <w:bidi w:val="0"/>
        <w:adjustRightInd/>
        <w:spacing w:line="560" w:lineRule="exact"/>
        <w:ind w:right="0" w:firstLine="643" w:firstLineChars="200"/>
        <w:jc w:val="left"/>
        <w:rPr>
          <w:rFonts w:hint="default" w:ascii="Times New Roman" w:hAnsi="Times New Roman" w:eastAsia="仿宋_GB2312" w:cs="Times New Roman"/>
          <w:bCs/>
          <w:color w:val="000000" w:themeColor="text1"/>
          <w:kern w:val="0"/>
          <w:sz w:val="32"/>
          <w:szCs w:val="32"/>
          <w14:textFill>
            <w14:solidFill>
              <w14:schemeClr w14:val="tx1"/>
            </w14:solidFill>
          </w14:textFill>
        </w:rPr>
      </w:pPr>
      <w:r>
        <w:rPr>
          <w:rFonts w:hint="eastAsia" w:ascii="Times New Roman" w:hAnsi="Times New Roman" w:eastAsia="仿宋_GB2312" w:cs="Times New Roman"/>
          <w:b/>
          <w:bCs/>
          <w:color w:val="000000" w:themeColor="text1"/>
          <w:sz w:val="32"/>
          <w:szCs w:val="32"/>
          <w:lang w:eastAsia="zh-CN"/>
          <w14:textFill>
            <w14:solidFill>
              <w14:schemeClr w14:val="tx1"/>
            </w14:solidFill>
          </w14:textFill>
        </w:rPr>
        <w:t>（二）</w:t>
      </w:r>
      <w:r>
        <w:rPr>
          <w:rFonts w:hint="default" w:ascii="Times New Roman" w:hAnsi="Times New Roman" w:eastAsia="仿宋_GB2312" w:cs="Times New Roman"/>
          <w:b/>
          <w:bCs/>
          <w:color w:val="000000" w:themeColor="text1"/>
          <w:sz w:val="32"/>
          <w:szCs w:val="32"/>
          <w14:textFill>
            <w14:solidFill>
              <w14:schemeClr w14:val="tx1"/>
            </w14:solidFill>
          </w14:textFill>
        </w:rPr>
        <w:t>从支出方面看</w:t>
      </w:r>
      <w:r>
        <w:rPr>
          <w:rFonts w:hint="eastAsia" w:ascii="Times New Roman" w:hAnsi="Times New Roman" w:eastAsia="仿宋_GB2312" w:cs="Times New Roman"/>
          <w:b/>
          <w:bCs/>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刚性支出明显大于正常增长的财力，财政支出的压力越来越大。</w:t>
      </w:r>
      <w:r>
        <w:rPr>
          <w:rFonts w:hint="default" w:ascii="Times New Roman" w:hAnsi="Times New Roman" w:eastAsia="仿宋_GB2312" w:cs="Times New Roman"/>
          <w:bCs/>
          <w:color w:val="000000" w:themeColor="text1"/>
          <w:kern w:val="0"/>
          <w:sz w:val="32"/>
          <w:szCs w:val="32"/>
          <w:lang w:val="en-US" w:eastAsia="zh-CN"/>
          <w14:textFill>
            <w14:solidFill>
              <w14:schemeClr w14:val="tx1"/>
            </w14:solidFill>
          </w14:textFill>
        </w:rPr>
        <w:t>2019年</w:t>
      </w:r>
      <w:r>
        <w:rPr>
          <w:rFonts w:hint="default" w:ascii="Times New Roman" w:hAnsi="Times New Roman" w:eastAsia="仿宋_GB2312" w:cs="Times New Roman"/>
          <w:bCs/>
          <w:color w:val="000000" w:themeColor="text1"/>
          <w:kern w:val="0"/>
          <w:sz w:val="32"/>
          <w:szCs w:val="32"/>
          <w14:textFill>
            <w14:solidFill>
              <w14:schemeClr w14:val="tx1"/>
            </w14:solidFill>
          </w14:textFill>
        </w:rPr>
        <w:t>公共财政覆盖领域扩大、城乡最低生活保障标准提高、义务教育保障水平提高、农民医疗保障标准及提标扩面等因素，地方财力的有限性和经济社会发展的需求矛盾日益显现</w:t>
      </w:r>
      <w:r>
        <w:rPr>
          <w:rFonts w:hint="default" w:ascii="Times New Roman" w:hAnsi="Times New Roman" w:eastAsia="仿宋_GB2312" w:cs="Times New Roman"/>
          <w:bCs/>
          <w:color w:val="000000" w:themeColor="text1"/>
          <w:kern w:val="0"/>
          <w:sz w:val="32"/>
          <w:szCs w:val="32"/>
          <w:lang w:eastAsia="zh-CN"/>
          <w14:textFill>
            <w14:solidFill>
              <w14:schemeClr w14:val="tx1"/>
            </w14:solidFill>
          </w14:textFill>
        </w:rPr>
        <w:t>，债务还本付息压力大。</w:t>
      </w:r>
    </w:p>
    <w:p>
      <w:pPr>
        <w:spacing w:line="560" w:lineRule="exact"/>
        <w:ind w:firstLine="640" w:firstLineChars="200"/>
        <w:rPr>
          <w:rFonts w:hint="default" w:ascii="黑体" w:hAnsi="黑体" w:eastAsia="黑体" w:cs="黑体"/>
          <w:b w:val="0"/>
          <w:bCs/>
          <w:color w:val="000000" w:themeColor="text1"/>
          <w:sz w:val="32"/>
          <w:szCs w:val="32"/>
          <w:lang w:eastAsia="zh-CN"/>
          <w14:textFill>
            <w14:solidFill>
              <w14:schemeClr w14:val="tx1"/>
            </w14:solidFill>
          </w14:textFill>
        </w:rPr>
      </w:pPr>
      <w:r>
        <w:rPr>
          <w:rFonts w:hint="default" w:ascii="黑体" w:hAnsi="黑体" w:eastAsia="黑体" w:cs="黑体"/>
          <w:b w:val="0"/>
          <w:bCs/>
          <w:color w:val="000000" w:themeColor="text1"/>
          <w:sz w:val="32"/>
          <w:szCs w:val="32"/>
          <w:lang w:eastAsia="zh-CN"/>
          <w14:textFill>
            <w14:solidFill>
              <w14:schemeClr w14:val="tx1"/>
            </w14:solidFill>
          </w14:textFill>
        </w:rPr>
        <w:t>六、</w:t>
      </w:r>
      <w:r>
        <w:rPr>
          <w:rFonts w:hint="default" w:ascii="黑体" w:hAnsi="黑体" w:eastAsia="黑体" w:cs="黑体"/>
          <w:b w:val="0"/>
          <w:bCs/>
          <w:color w:val="000000" w:themeColor="text1"/>
          <w:sz w:val="32"/>
          <w:szCs w:val="32"/>
          <w:lang w:val="en-US" w:eastAsia="zh-CN"/>
          <w14:textFill>
            <w14:solidFill>
              <w14:schemeClr w14:val="tx1"/>
            </w14:solidFill>
          </w14:textFill>
        </w:rPr>
        <w:t>2020</w:t>
      </w:r>
      <w:r>
        <w:rPr>
          <w:rFonts w:hint="default" w:ascii="黑体" w:hAnsi="黑体" w:eastAsia="黑体" w:cs="黑体"/>
          <w:b w:val="0"/>
          <w:bCs/>
          <w:color w:val="000000" w:themeColor="text1"/>
          <w:sz w:val="32"/>
          <w:szCs w:val="32"/>
          <w:lang w:eastAsia="zh-CN"/>
          <w14:textFill>
            <w14:solidFill>
              <w14:schemeClr w14:val="tx1"/>
            </w14:solidFill>
          </w14:textFill>
        </w:rPr>
        <w:t>年主要财政工作</w:t>
      </w:r>
    </w:p>
    <w:p>
      <w:pPr>
        <w:keepNext w:val="0"/>
        <w:keepLines w:val="0"/>
        <w:pageBreakBefore w:val="0"/>
        <w:kinsoku/>
        <w:wordWrap/>
        <w:overflowPunct/>
        <w:topLinePunct w:val="0"/>
        <w:bidi w:val="0"/>
        <w:adjustRightInd w:val="0"/>
        <w:spacing w:line="560" w:lineRule="exact"/>
        <w:ind w:right="150" w:firstLine="640" w:firstLineChars="200"/>
        <w:jc w:val="left"/>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bCs/>
          <w:color w:val="000000" w:themeColor="text1"/>
          <w:kern w:val="0"/>
          <w:sz w:val="32"/>
          <w:szCs w:val="32"/>
          <w14:textFill>
            <w14:solidFill>
              <w14:schemeClr w14:val="tx1"/>
            </w14:solidFill>
          </w14:textFill>
        </w:rPr>
        <w:t>2020年是高新区的“项目提速年”“营商环境提升年”。</w:t>
      </w:r>
      <w:r>
        <w:rPr>
          <w:rFonts w:hint="default" w:ascii="Times New Roman" w:hAnsi="Times New Roman" w:eastAsia="仿宋_GB2312" w:cs="Times New Roman"/>
          <w:bCs/>
          <w:color w:val="000000" w:themeColor="text1"/>
          <w:kern w:val="0"/>
          <w:sz w:val="32"/>
          <w:szCs w:val="32"/>
          <w:lang w:eastAsia="zh-CN"/>
          <w14:textFill>
            <w14:solidFill>
              <w14:schemeClr w14:val="tx1"/>
            </w14:solidFill>
          </w14:textFill>
        </w:rPr>
        <w:t>财政部门</w:t>
      </w:r>
      <w:r>
        <w:rPr>
          <w:rFonts w:hint="default" w:ascii="Times New Roman" w:hAnsi="Times New Roman" w:eastAsia="仿宋_GB2312" w:cs="Times New Roman"/>
          <w:bCs/>
          <w:color w:val="000000" w:themeColor="text1"/>
          <w:kern w:val="0"/>
          <w:sz w:val="32"/>
          <w:szCs w:val="32"/>
          <w14:textFill>
            <w14:solidFill>
              <w14:schemeClr w14:val="tx1"/>
            </w14:solidFill>
          </w14:textFill>
        </w:rPr>
        <w:t>将全面贯彻落实习近平新时代中国特色社会主义思想，在市委、市政府的坚强领导下，</w:t>
      </w:r>
      <w:r>
        <w:rPr>
          <w:rFonts w:hint="default" w:ascii="Times New Roman" w:hAnsi="Times New Roman" w:eastAsia="仿宋_GB2312" w:cs="Times New Roman"/>
          <w:bCs/>
          <w:color w:val="000000" w:themeColor="text1"/>
          <w:kern w:val="0"/>
          <w:sz w:val="32"/>
          <w:szCs w:val="32"/>
          <w:lang w:eastAsia="zh-CN"/>
          <w14:textFill>
            <w14:solidFill>
              <w14:schemeClr w14:val="tx1"/>
            </w14:solidFill>
          </w14:textFill>
        </w:rPr>
        <w:t>抢抓成渝地区双城经济圈建设的重大战略机遇，</w:t>
      </w:r>
      <w:r>
        <w:rPr>
          <w:rFonts w:hint="default" w:ascii="Times New Roman" w:hAnsi="Times New Roman" w:eastAsia="仿宋_GB2312" w:cs="Times New Roman"/>
          <w:bCs/>
          <w:color w:val="000000" w:themeColor="text1"/>
          <w:kern w:val="0"/>
          <w:sz w:val="32"/>
          <w:szCs w:val="32"/>
          <w14:textFill>
            <w14:solidFill>
              <w14:schemeClr w14:val="tx1"/>
            </w14:solidFill>
          </w14:textFill>
        </w:rPr>
        <w:t>主动融入全市“一核三片、四区协同”“双联双拓、全域开放”大格局，大力实施五高三新三区“533”发展战略，全面建设国际物流港、高新智造园、蔓藤生态城，全力创建国家高新区，为促进全区经济提质增效提供必要的政策保障和财力支撑。</w:t>
      </w:r>
    </w:p>
    <w:p>
      <w:pPr>
        <w:numPr>
          <w:ilvl w:val="0"/>
          <w:numId w:val="0"/>
        </w:numPr>
        <w:spacing w:line="560" w:lineRule="exact"/>
        <w:ind w:firstLine="643"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eastAsia" w:ascii="楷体_GB2312" w:hAnsi="楷体_GB2312" w:eastAsia="楷体_GB2312" w:cs="楷体_GB2312"/>
          <w:b/>
          <w:color w:val="000000" w:themeColor="text1"/>
          <w:kern w:val="0"/>
          <w:sz w:val="32"/>
          <w:szCs w:val="32"/>
          <w:shd w:val="clear" w:color="auto" w:fill="FFFFFF"/>
          <w:lang w:bidi="ar"/>
          <w14:textFill>
            <w14:solidFill>
              <w14:schemeClr w14:val="tx1"/>
            </w14:solidFill>
          </w14:textFill>
        </w:rPr>
        <w:t>（一）</w:t>
      </w: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强化预算</w:t>
      </w:r>
      <w:r>
        <w:rPr>
          <w:rFonts w:hint="eastAsia" w:ascii="楷体_GB2312" w:hAnsi="楷体_GB2312" w:eastAsia="楷体_GB2312" w:cs="楷体_GB2312"/>
          <w:b/>
          <w:bCs/>
          <w:color w:val="000000" w:themeColor="text1"/>
          <w:sz w:val="32"/>
          <w:szCs w:val="32"/>
          <w14:textFill>
            <w14:solidFill>
              <w14:schemeClr w14:val="tx1"/>
            </w14:solidFill>
          </w14:textFill>
        </w:rPr>
        <w:t>执行情况监督。</w:t>
      </w:r>
      <w:r>
        <w:rPr>
          <w:rFonts w:hint="default" w:ascii="Times New Roman" w:hAnsi="Times New Roman" w:eastAsia="仿宋_GB2312" w:cs="Times New Roman"/>
          <w:color w:val="000000" w:themeColor="text1"/>
          <w:sz w:val="32"/>
          <w:szCs w:val="32"/>
          <w14:textFill>
            <w14:solidFill>
              <w14:schemeClr w14:val="tx1"/>
            </w14:solidFill>
          </w14:textFill>
        </w:rPr>
        <w:t>强化预算刚性约束，坚持先有预算，后有支出，从严控制预算追加。牢固树立过紧日子思想，严格控制一般性支出。切实加快支出进度，科学安排支出计划，细化工作举措，加快预算资金拨付，强化通报、约谈机制，促进财政资金及时安排使用并发挥效果。加快地方政府债券使用进度，督促项目主管部门和单位在依法合规、确保工程质量的前提下，加快专项债券项目资金支出进度，尽早形成实物工作量，发挥债券资金效益。</w:t>
      </w:r>
    </w:p>
    <w:p>
      <w:pPr>
        <w:numPr>
          <w:ilvl w:val="0"/>
          <w:numId w:val="0"/>
        </w:numPr>
        <w:spacing w:line="560" w:lineRule="exact"/>
        <w:ind w:firstLine="643" w:firstLineChars="200"/>
        <w:rPr>
          <w:rFonts w:hint="default" w:ascii="Times New Roman" w:hAnsi="Times New Roman" w:eastAsia="仿宋_GB2312" w:cs="Times New Roman"/>
          <w:b/>
          <w:bCs/>
          <w:color w:val="000000" w:themeColor="text1"/>
          <w:sz w:val="32"/>
          <w:szCs w:val="32"/>
          <w14:textFill>
            <w14:solidFill>
              <w14:schemeClr w14:val="tx1"/>
            </w14:solidFill>
          </w14:textFill>
        </w:rPr>
      </w:pPr>
      <w:r>
        <w:rPr>
          <w:rFonts w:hint="default" w:ascii="楷体_GB2312" w:hAnsi="楷体_GB2312" w:eastAsia="楷体_GB2312" w:cs="楷体_GB2312"/>
          <w:b/>
          <w:bCs w:val="0"/>
          <w:color w:val="000000" w:themeColor="text1"/>
          <w:kern w:val="0"/>
          <w:sz w:val="32"/>
          <w:szCs w:val="32"/>
          <w:shd w:val="clear" w:color="auto" w:fill="FFFFFF"/>
          <w:lang w:bidi="ar"/>
          <w14:textFill>
            <w14:solidFill>
              <w14:schemeClr w14:val="tx1"/>
            </w14:solidFill>
          </w14:textFill>
        </w:rPr>
        <w:t>（二）加强组织收入工作力度，不断壮大财政实力。</w:t>
      </w:r>
      <w:r>
        <w:rPr>
          <w:rFonts w:hint="default" w:ascii="Times New Roman" w:hAnsi="Times New Roman" w:eastAsia="仿宋_GB2312" w:cs="Times New Roman"/>
          <w:b/>
          <w:bCs/>
          <w:color w:val="000000" w:themeColor="text1"/>
          <w:sz w:val="32"/>
          <w:szCs w:val="32"/>
          <w14:textFill>
            <w14:solidFill>
              <w14:schemeClr w14:val="tx1"/>
            </w14:solidFill>
          </w14:textFill>
        </w:rPr>
        <w:t>一是</w:t>
      </w:r>
      <w:r>
        <w:rPr>
          <w:rFonts w:hint="default" w:ascii="Times New Roman" w:hAnsi="Times New Roman" w:eastAsia="仿宋_GB2312" w:cs="Times New Roman"/>
          <w:color w:val="000000" w:themeColor="text1"/>
          <w:sz w:val="32"/>
          <w:szCs w:val="32"/>
          <w14:textFill>
            <w14:solidFill>
              <w14:schemeClr w14:val="tx1"/>
            </w14:solidFill>
          </w14:textFill>
        </w:rPr>
        <w:t>加强协调分析，深入征收部门，夯实收入责任，及时分析收入进展，研究破解征收过程中的困难和问题，压实各个部门的收入任务。</w:t>
      </w:r>
      <w:r>
        <w:rPr>
          <w:rFonts w:hint="default" w:ascii="Times New Roman" w:hAnsi="Times New Roman" w:eastAsia="仿宋_GB2312" w:cs="Times New Roman"/>
          <w:b/>
          <w:bCs/>
          <w:color w:val="000000" w:themeColor="text1"/>
          <w:sz w:val="32"/>
          <w:szCs w:val="32"/>
          <w14:textFill>
            <w14:solidFill>
              <w14:schemeClr w14:val="tx1"/>
            </w14:solidFill>
          </w14:textFill>
        </w:rPr>
        <w:t>二是</w:t>
      </w:r>
      <w:r>
        <w:rPr>
          <w:rFonts w:hint="default" w:ascii="Times New Roman" w:hAnsi="Times New Roman" w:eastAsia="仿宋_GB2312" w:cs="Times New Roman"/>
          <w:color w:val="000000" w:themeColor="text1"/>
          <w:sz w:val="32"/>
          <w:szCs w:val="32"/>
          <w14:textFill>
            <w14:solidFill>
              <w14:schemeClr w14:val="tx1"/>
            </w14:solidFill>
          </w14:textFill>
        </w:rPr>
        <w:t>加强税源管控，积极开展税收调研，及时掌握重点税源企业的发展变化。同时，加强</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相关</w:t>
      </w:r>
      <w:r>
        <w:rPr>
          <w:rFonts w:hint="default" w:ascii="Times New Roman" w:hAnsi="Times New Roman" w:eastAsia="仿宋_GB2312" w:cs="Times New Roman"/>
          <w:color w:val="000000" w:themeColor="text1"/>
          <w:sz w:val="32"/>
          <w:szCs w:val="32"/>
          <w14:textFill>
            <w14:solidFill>
              <w14:schemeClr w14:val="tx1"/>
            </w14:solidFill>
          </w14:textFill>
        </w:rPr>
        <w:t>部门沟通，抓好非税收入征缴工作。</w:t>
      </w:r>
      <w:r>
        <w:rPr>
          <w:rFonts w:hint="default" w:ascii="Times New Roman" w:hAnsi="Times New Roman" w:eastAsia="仿宋_GB2312" w:cs="Times New Roman"/>
          <w:b/>
          <w:bCs/>
          <w:color w:val="000000" w:themeColor="text1"/>
          <w:sz w:val="32"/>
          <w:szCs w:val="32"/>
          <w14:textFill>
            <w14:solidFill>
              <w14:schemeClr w14:val="tx1"/>
            </w14:solidFill>
          </w14:textFill>
        </w:rPr>
        <w:t>三是</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积极</w:t>
      </w:r>
      <w:r>
        <w:rPr>
          <w:rFonts w:hint="default" w:ascii="Times New Roman" w:hAnsi="Times New Roman" w:eastAsia="仿宋_GB2312" w:cs="Times New Roman"/>
          <w:color w:val="000000" w:themeColor="text1"/>
          <w:sz w:val="32"/>
          <w:szCs w:val="32"/>
          <w14:textFill>
            <w14:solidFill>
              <w14:schemeClr w14:val="tx1"/>
            </w14:solidFill>
          </w14:textFill>
        </w:rPr>
        <w:t>向上争取资金，紧扣中、省重点支持方向和领域，通过申请债券、专项资金等多种方式，最大限度争取上级政策和资金支持。</w:t>
      </w:r>
    </w:p>
    <w:p>
      <w:pPr>
        <w:spacing w:line="560" w:lineRule="exact"/>
        <w:ind w:firstLine="643"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楷体_GB2312" w:hAnsi="楷体_GB2312" w:eastAsia="楷体_GB2312" w:cs="楷体_GB2312"/>
          <w:b/>
          <w:bCs w:val="0"/>
          <w:color w:val="000000" w:themeColor="text1"/>
          <w:kern w:val="0"/>
          <w:sz w:val="32"/>
          <w:szCs w:val="32"/>
          <w:shd w:val="clear" w:color="auto" w:fill="FFFFFF"/>
          <w:lang w:bidi="ar"/>
          <w14:textFill>
            <w14:solidFill>
              <w14:schemeClr w14:val="tx1"/>
            </w14:solidFill>
          </w14:textFill>
        </w:rPr>
        <w:t>（三）增强金融服务实体经济能力，完善金融服务体系。</w:t>
      </w:r>
      <w:r>
        <w:rPr>
          <w:rFonts w:hint="default" w:ascii="Times New Roman" w:hAnsi="Times New Roman" w:eastAsia="仿宋_GB2312" w:cs="Times New Roman"/>
          <w:color w:val="000000" w:themeColor="text1"/>
          <w:sz w:val="32"/>
          <w:szCs w:val="32"/>
          <w14:textFill>
            <w14:solidFill>
              <w14:schemeClr w14:val="tx1"/>
            </w14:solidFill>
          </w14:textFill>
        </w:rPr>
        <w:t>加快金融小镇建设，力争2020年新引进5家以上金融机构；同时，建立金融小镇风险防控体系，制定金融配套支持政策，金融小镇运营管理办法及高新区金融小镇招商引资支持政策。加强银政企合作，搭建银企对接平台，通过开展一系列银政企对接活动，引导金融资源更有效地灌溉实体经济。</w:t>
      </w:r>
    </w:p>
    <w:p>
      <w:pPr>
        <w:pStyle w:val="15"/>
        <w:spacing w:line="560" w:lineRule="exact"/>
        <w:ind w:firstLine="643"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楷体_GB2312" w:hAnsi="楷体_GB2312" w:eastAsia="楷体_GB2312" w:cs="楷体_GB2312"/>
          <w:b/>
          <w:bCs w:val="0"/>
          <w:color w:val="000000" w:themeColor="text1"/>
          <w:kern w:val="0"/>
          <w:sz w:val="32"/>
          <w:szCs w:val="32"/>
          <w:shd w:val="clear" w:color="auto" w:fill="FFFFFF"/>
          <w:lang w:bidi="ar"/>
          <w14:textFill>
            <w14:solidFill>
              <w14:schemeClr w14:val="tx1"/>
            </w14:solidFill>
          </w14:textFill>
        </w:rPr>
        <w:t>（四）强化政府债务管理，防范化解金融风险。</w:t>
      </w:r>
      <w:r>
        <w:rPr>
          <w:rFonts w:hint="default" w:ascii="Times New Roman" w:hAnsi="Times New Roman" w:eastAsia="仿宋_GB2312" w:cs="Times New Roman"/>
          <w:b/>
          <w:bCs/>
          <w:color w:val="000000" w:themeColor="text1"/>
          <w:sz w:val="32"/>
          <w:szCs w:val="32"/>
          <w14:textFill>
            <w14:solidFill>
              <w14:schemeClr w14:val="tx1"/>
            </w14:solidFill>
          </w14:textFill>
        </w:rPr>
        <w:t>一是</w:t>
      </w:r>
      <w:r>
        <w:rPr>
          <w:rFonts w:hint="default" w:ascii="Times New Roman" w:hAnsi="Times New Roman" w:eastAsia="仿宋_GB2312" w:cs="Times New Roman"/>
          <w:color w:val="000000" w:themeColor="text1"/>
          <w:sz w:val="32"/>
          <w:szCs w:val="32"/>
          <w14:textFill>
            <w14:solidFill>
              <w14:schemeClr w14:val="tx1"/>
            </w14:solidFill>
          </w14:textFill>
        </w:rPr>
        <w:t>强化民间投融资机构监管。</w:t>
      </w:r>
      <w:r>
        <w:rPr>
          <w:rFonts w:hint="default" w:ascii="Times New Roman" w:hAnsi="Times New Roman" w:eastAsia="仿宋_GB2312" w:cs="Times New Roman"/>
          <w:b/>
          <w:bCs/>
          <w:color w:val="000000" w:themeColor="text1"/>
          <w:sz w:val="32"/>
          <w:szCs w:val="32"/>
          <w14:textFill>
            <w14:solidFill>
              <w14:schemeClr w14:val="tx1"/>
            </w14:solidFill>
          </w14:textFill>
        </w:rPr>
        <w:t>二是</w:t>
      </w:r>
      <w:r>
        <w:rPr>
          <w:rFonts w:hint="default" w:ascii="Times New Roman" w:hAnsi="Times New Roman" w:eastAsia="仿宋_GB2312" w:cs="Times New Roman"/>
          <w:color w:val="000000" w:themeColor="text1"/>
          <w:sz w:val="32"/>
          <w:szCs w:val="32"/>
          <w14:textFill>
            <w14:solidFill>
              <w14:schemeClr w14:val="tx1"/>
            </w14:solidFill>
          </w14:textFill>
        </w:rPr>
        <w:t>清理核实债务总量，分类化解存量债务，对已形成的政府性债务，逐笔清理认定，建立债务融资项目台帐，依托企业债券、PPN、中期票据的发行，置换原有的部分债务。通过压缩续贷规模，逐步化解存量债务，力争2020年化解存量债务8.4亿元。</w:t>
      </w:r>
    </w:p>
    <w:p>
      <w:pPr>
        <w:pStyle w:val="15"/>
        <w:keepNext w:val="0"/>
        <w:keepLines w:val="0"/>
        <w:pageBreakBefore w:val="0"/>
        <w:kinsoku/>
        <w:wordWrap/>
        <w:overflowPunct/>
        <w:topLinePunct w:val="0"/>
        <w:autoSpaceDE w:val="0"/>
        <w:autoSpaceDN w:val="0"/>
        <w:bidi w:val="0"/>
        <w:spacing w:line="560" w:lineRule="exact"/>
        <w:ind w:firstLine="643" w:firstLineChars="200"/>
        <w:textAlignment w:val="auto"/>
        <w:rPr>
          <w:rFonts w:hint="default" w:ascii="Times New Roman" w:hAnsi="Times New Roman" w:eastAsia="仿宋_GB2312" w:cs="Times New Roman"/>
          <w:bCs w:val="0"/>
          <w:color w:val="000000" w:themeColor="text1"/>
          <w:kern w:val="2"/>
          <w:sz w:val="32"/>
          <w:szCs w:val="32"/>
          <w:lang w:val="en-US" w:eastAsia="zh-CN" w:bidi="ar"/>
          <w14:textFill>
            <w14:solidFill>
              <w14:schemeClr w14:val="tx1"/>
            </w14:solidFill>
          </w14:textFill>
        </w:rPr>
      </w:pPr>
      <w:r>
        <w:rPr>
          <w:rFonts w:hint="default" w:ascii="楷体_GB2312" w:hAnsi="楷体_GB2312" w:eastAsia="楷体_GB2312" w:cs="楷体_GB2312"/>
          <w:b/>
          <w:color w:val="000000" w:themeColor="text1"/>
          <w:kern w:val="0"/>
          <w:sz w:val="32"/>
          <w:szCs w:val="32"/>
          <w:shd w:val="clear" w:color="auto" w:fill="FFFFFF"/>
          <w:lang w:bidi="ar"/>
          <w14:textFill>
            <w14:solidFill>
              <w14:schemeClr w14:val="tx1"/>
            </w14:solidFill>
          </w14:textFill>
        </w:rPr>
        <w:t>（五）深化国有企业改革，推进国有公司实体化运作。</w:t>
      </w:r>
      <w:r>
        <w:rPr>
          <w:rFonts w:hint="default" w:ascii="Times New Roman" w:hAnsi="Times New Roman" w:eastAsia="仿宋_GB2312" w:cs="Times New Roman"/>
          <w:color w:val="000000" w:themeColor="text1"/>
          <w:sz w:val="32"/>
          <w:szCs w:val="32"/>
          <w:lang w:bidi="ar"/>
          <w14:textFill>
            <w14:solidFill>
              <w14:schemeClr w14:val="tx1"/>
            </w14:solidFill>
          </w14:textFill>
        </w:rPr>
        <w:t>鼓励平台公司参与园区项目，做实平台公司，整合园区各类经营性资源并依法合规注入平台公司，增加平台公司自身造血功能。引进实力强劲的战略合作者，重点加快与川港、万通燃气和遂发展的合作，继续推进与西安建筑、中科钢研等公司的合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55D9D8"/>
    <w:multiLevelType w:val="singleLevel"/>
    <w:tmpl w:val="3F55D9D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AD700B"/>
    <w:rsid w:val="00DC1BBD"/>
    <w:rsid w:val="037D25F4"/>
    <w:rsid w:val="03CB628F"/>
    <w:rsid w:val="03EC7128"/>
    <w:rsid w:val="046042F0"/>
    <w:rsid w:val="04ED5000"/>
    <w:rsid w:val="062E6A9C"/>
    <w:rsid w:val="06FD7E54"/>
    <w:rsid w:val="07AE12F0"/>
    <w:rsid w:val="07FD3886"/>
    <w:rsid w:val="08050091"/>
    <w:rsid w:val="082F1327"/>
    <w:rsid w:val="085338F7"/>
    <w:rsid w:val="087E11F7"/>
    <w:rsid w:val="08C92B1A"/>
    <w:rsid w:val="097A3E6A"/>
    <w:rsid w:val="097F48F7"/>
    <w:rsid w:val="098357A9"/>
    <w:rsid w:val="09940713"/>
    <w:rsid w:val="0A241A24"/>
    <w:rsid w:val="0A5F066F"/>
    <w:rsid w:val="0B0D47F5"/>
    <w:rsid w:val="0BDD5F94"/>
    <w:rsid w:val="0C707FB9"/>
    <w:rsid w:val="0C721A69"/>
    <w:rsid w:val="0EBB3A1F"/>
    <w:rsid w:val="0F055A58"/>
    <w:rsid w:val="0F195E53"/>
    <w:rsid w:val="0F707F2F"/>
    <w:rsid w:val="10481D63"/>
    <w:rsid w:val="1077783B"/>
    <w:rsid w:val="10B5552C"/>
    <w:rsid w:val="10F3495B"/>
    <w:rsid w:val="114F55B1"/>
    <w:rsid w:val="115A2486"/>
    <w:rsid w:val="12FB34A9"/>
    <w:rsid w:val="145F23B1"/>
    <w:rsid w:val="1512468B"/>
    <w:rsid w:val="15253F23"/>
    <w:rsid w:val="162464DD"/>
    <w:rsid w:val="163473FF"/>
    <w:rsid w:val="16525B34"/>
    <w:rsid w:val="168F30C8"/>
    <w:rsid w:val="16965352"/>
    <w:rsid w:val="170A3B15"/>
    <w:rsid w:val="1710712E"/>
    <w:rsid w:val="17C336FF"/>
    <w:rsid w:val="17FF0936"/>
    <w:rsid w:val="185F09F4"/>
    <w:rsid w:val="198B1F39"/>
    <w:rsid w:val="1A0C311A"/>
    <w:rsid w:val="1BEF07E4"/>
    <w:rsid w:val="1C5953B0"/>
    <w:rsid w:val="1F386AD1"/>
    <w:rsid w:val="2086779E"/>
    <w:rsid w:val="20D54305"/>
    <w:rsid w:val="20F927CE"/>
    <w:rsid w:val="211F562E"/>
    <w:rsid w:val="216970A0"/>
    <w:rsid w:val="230A671B"/>
    <w:rsid w:val="230D3DFF"/>
    <w:rsid w:val="23DA4D23"/>
    <w:rsid w:val="23E57F29"/>
    <w:rsid w:val="24124444"/>
    <w:rsid w:val="24CB573E"/>
    <w:rsid w:val="25044EED"/>
    <w:rsid w:val="25624246"/>
    <w:rsid w:val="25A8578B"/>
    <w:rsid w:val="26065CC8"/>
    <w:rsid w:val="266852FE"/>
    <w:rsid w:val="26B303B4"/>
    <w:rsid w:val="27FD1427"/>
    <w:rsid w:val="289E0968"/>
    <w:rsid w:val="295C116D"/>
    <w:rsid w:val="29747A13"/>
    <w:rsid w:val="2A016230"/>
    <w:rsid w:val="2A3E5910"/>
    <w:rsid w:val="2AAA2F30"/>
    <w:rsid w:val="2C6B7F64"/>
    <w:rsid w:val="2D110236"/>
    <w:rsid w:val="2DD36C4D"/>
    <w:rsid w:val="2E07670C"/>
    <w:rsid w:val="2F0939CB"/>
    <w:rsid w:val="2F546F45"/>
    <w:rsid w:val="2F9C4F6B"/>
    <w:rsid w:val="2FD830EA"/>
    <w:rsid w:val="31EA1724"/>
    <w:rsid w:val="33402B45"/>
    <w:rsid w:val="353F0924"/>
    <w:rsid w:val="35BA2E97"/>
    <w:rsid w:val="35E26B7A"/>
    <w:rsid w:val="36A924AF"/>
    <w:rsid w:val="36D10C4A"/>
    <w:rsid w:val="36D266B2"/>
    <w:rsid w:val="36FB1988"/>
    <w:rsid w:val="37301178"/>
    <w:rsid w:val="37FB34C1"/>
    <w:rsid w:val="38516E80"/>
    <w:rsid w:val="389E5913"/>
    <w:rsid w:val="38D22FA2"/>
    <w:rsid w:val="39980846"/>
    <w:rsid w:val="3A3C39B8"/>
    <w:rsid w:val="3A5B34B7"/>
    <w:rsid w:val="3AEA2EF1"/>
    <w:rsid w:val="3B261448"/>
    <w:rsid w:val="3BD841FB"/>
    <w:rsid w:val="3BFC73ED"/>
    <w:rsid w:val="3C156BEB"/>
    <w:rsid w:val="3C5B1D02"/>
    <w:rsid w:val="3CA74296"/>
    <w:rsid w:val="3D896BD3"/>
    <w:rsid w:val="3D9E7599"/>
    <w:rsid w:val="3DEF4A64"/>
    <w:rsid w:val="3F5B2C99"/>
    <w:rsid w:val="40F325DE"/>
    <w:rsid w:val="41400A87"/>
    <w:rsid w:val="420E0BA5"/>
    <w:rsid w:val="42C0368E"/>
    <w:rsid w:val="435B632A"/>
    <w:rsid w:val="44C06422"/>
    <w:rsid w:val="44E02770"/>
    <w:rsid w:val="44FF6706"/>
    <w:rsid w:val="459F557C"/>
    <w:rsid w:val="463F40B1"/>
    <w:rsid w:val="47146570"/>
    <w:rsid w:val="47536E9D"/>
    <w:rsid w:val="476A6073"/>
    <w:rsid w:val="47DE73C2"/>
    <w:rsid w:val="49AD51A6"/>
    <w:rsid w:val="49BA7EA2"/>
    <w:rsid w:val="49F235C9"/>
    <w:rsid w:val="4AA25C08"/>
    <w:rsid w:val="4B1A29B9"/>
    <w:rsid w:val="4B8F0459"/>
    <w:rsid w:val="4D3A5F0F"/>
    <w:rsid w:val="4D535B15"/>
    <w:rsid w:val="4EC661EA"/>
    <w:rsid w:val="504D061D"/>
    <w:rsid w:val="50535017"/>
    <w:rsid w:val="507D0AF6"/>
    <w:rsid w:val="51425317"/>
    <w:rsid w:val="51590371"/>
    <w:rsid w:val="520D48C2"/>
    <w:rsid w:val="53244A95"/>
    <w:rsid w:val="53C52D5C"/>
    <w:rsid w:val="5409575D"/>
    <w:rsid w:val="54393348"/>
    <w:rsid w:val="54695A8F"/>
    <w:rsid w:val="54B17950"/>
    <w:rsid w:val="54FA4FD1"/>
    <w:rsid w:val="5542233F"/>
    <w:rsid w:val="568B0111"/>
    <w:rsid w:val="56EB1FA3"/>
    <w:rsid w:val="579A79BE"/>
    <w:rsid w:val="59534196"/>
    <w:rsid w:val="59BC1F2C"/>
    <w:rsid w:val="5A3C29FE"/>
    <w:rsid w:val="5A7104B8"/>
    <w:rsid w:val="5A7C6458"/>
    <w:rsid w:val="5B0D7B4E"/>
    <w:rsid w:val="5B1E48BA"/>
    <w:rsid w:val="5C7736BE"/>
    <w:rsid w:val="5D807B51"/>
    <w:rsid w:val="5E2B6C0D"/>
    <w:rsid w:val="5EB51348"/>
    <w:rsid w:val="5FAD700B"/>
    <w:rsid w:val="60CC465C"/>
    <w:rsid w:val="61493C75"/>
    <w:rsid w:val="62461A67"/>
    <w:rsid w:val="62DA0A6D"/>
    <w:rsid w:val="63A30FDC"/>
    <w:rsid w:val="63F71F9C"/>
    <w:rsid w:val="64756EF7"/>
    <w:rsid w:val="64A274B6"/>
    <w:rsid w:val="651710AF"/>
    <w:rsid w:val="652A293D"/>
    <w:rsid w:val="658467FA"/>
    <w:rsid w:val="65D64D31"/>
    <w:rsid w:val="66293461"/>
    <w:rsid w:val="667265EB"/>
    <w:rsid w:val="668842AD"/>
    <w:rsid w:val="66976030"/>
    <w:rsid w:val="67A459C3"/>
    <w:rsid w:val="67D5087E"/>
    <w:rsid w:val="681E6E26"/>
    <w:rsid w:val="68E058D0"/>
    <w:rsid w:val="68F27CD8"/>
    <w:rsid w:val="694D1121"/>
    <w:rsid w:val="69534CF7"/>
    <w:rsid w:val="697A0095"/>
    <w:rsid w:val="6A96701E"/>
    <w:rsid w:val="6A9C75E2"/>
    <w:rsid w:val="6B0D7521"/>
    <w:rsid w:val="6B3B1ACA"/>
    <w:rsid w:val="6B6D6017"/>
    <w:rsid w:val="6BE61B14"/>
    <w:rsid w:val="6BF04957"/>
    <w:rsid w:val="6E807339"/>
    <w:rsid w:val="6EC67454"/>
    <w:rsid w:val="6ED63F27"/>
    <w:rsid w:val="6F1E256F"/>
    <w:rsid w:val="6FF566B6"/>
    <w:rsid w:val="70607246"/>
    <w:rsid w:val="70ED5890"/>
    <w:rsid w:val="71176317"/>
    <w:rsid w:val="730B2E3B"/>
    <w:rsid w:val="73EF6E71"/>
    <w:rsid w:val="74BD0CA1"/>
    <w:rsid w:val="759C4A15"/>
    <w:rsid w:val="76F81F8A"/>
    <w:rsid w:val="77907484"/>
    <w:rsid w:val="77AD3694"/>
    <w:rsid w:val="77AF29F5"/>
    <w:rsid w:val="77BF2DFF"/>
    <w:rsid w:val="79A859EB"/>
    <w:rsid w:val="7A2A6C88"/>
    <w:rsid w:val="7A604C09"/>
    <w:rsid w:val="7B8F3F35"/>
    <w:rsid w:val="7BBA03F4"/>
    <w:rsid w:val="7BF35577"/>
    <w:rsid w:val="7CA238A8"/>
    <w:rsid w:val="7DF36982"/>
    <w:rsid w:val="7E070F18"/>
    <w:rsid w:val="7EA2260A"/>
    <w:rsid w:val="7ED50A4E"/>
    <w:rsid w:val="7F1C2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章标题"/>
    <w:basedOn w:val="1"/>
    <w:next w:val="3"/>
    <w:qFormat/>
    <w:uiPriority w:val="0"/>
    <w:pPr>
      <w:spacing w:before="158" w:after="153" w:line="323" w:lineRule="atLeast"/>
      <w:ind w:right="-120"/>
      <w:jc w:val="center"/>
      <w:textAlignment w:val="baseline"/>
    </w:pPr>
    <w:rPr>
      <w:rFonts w:ascii="Times New Roman" w:hAnsi="Times New Roman" w:eastAsia="宋体" w:cs="Times New Roman"/>
      <w:color w:val="FF0000"/>
      <w:sz w:val="18"/>
    </w:rPr>
  </w:style>
  <w:style w:type="paragraph" w:customStyle="1" w:styleId="3">
    <w:name w:val="节标题"/>
    <w:basedOn w:val="1"/>
    <w:next w:val="1"/>
    <w:qFormat/>
    <w:uiPriority w:val="0"/>
    <w:pPr>
      <w:spacing w:line="289" w:lineRule="atLeast"/>
      <w:jc w:val="center"/>
      <w:textAlignment w:val="baseline"/>
    </w:pPr>
    <w:rPr>
      <w:rFonts w:ascii="Times New Roman" w:hAnsi="Times New Roman" w:eastAsia="宋体" w:cs="Times New Roman"/>
      <w:color w:val="000000"/>
      <w:sz w:val="28"/>
    </w:rPr>
  </w:style>
  <w:style w:type="paragraph" w:styleId="4">
    <w:name w:val="Body Text"/>
    <w:basedOn w:val="1"/>
    <w:qFormat/>
    <w:uiPriority w:val="0"/>
    <w:pPr>
      <w:tabs>
        <w:tab w:val="left" w:pos="18375"/>
      </w:tabs>
      <w:spacing w:line="520" w:lineRule="atLeast"/>
      <w:ind w:right="-612"/>
    </w:pPr>
    <w:rPr>
      <w:rFonts w:hint="eastAsia" w:ascii="仿宋_GB2312" w:eastAsia="仿宋_GB2312"/>
      <w:sz w:val="32"/>
      <w:szCs w:val="20"/>
    </w:rPr>
  </w:style>
  <w:style w:type="paragraph" w:styleId="5">
    <w:name w:val="Body Text Indent 2"/>
    <w:basedOn w:val="1"/>
    <w:qFormat/>
    <w:uiPriority w:val="0"/>
    <w:pPr>
      <w:autoSpaceDE w:val="0"/>
      <w:autoSpaceDN w:val="0"/>
      <w:adjustRightInd w:val="0"/>
      <w:spacing w:line="360" w:lineRule="auto"/>
      <w:ind w:firstLine="640"/>
    </w:pPr>
    <w:rPr>
      <w:rFonts w:ascii="仿宋_GB2312" w:eastAsia="仿宋_GB2312"/>
      <w:sz w:val="32"/>
      <w:szCs w:val="32"/>
      <w:lang w:val="zh-CN"/>
    </w:rPr>
  </w:style>
  <w:style w:type="paragraph" w:styleId="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9">
    <w:name w:val="FollowedHyperlink"/>
    <w:basedOn w:val="8"/>
    <w:qFormat/>
    <w:uiPriority w:val="0"/>
    <w:rPr>
      <w:color w:val="555555"/>
      <w:u w:val="none"/>
    </w:rPr>
  </w:style>
  <w:style w:type="character" w:styleId="10">
    <w:name w:val="Hyperlink"/>
    <w:basedOn w:val="8"/>
    <w:qFormat/>
    <w:uiPriority w:val="0"/>
    <w:rPr>
      <w:color w:val="555555"/>
      <w:u w:val="none"/>
    </w:rPr>
  </w:style>
  <w:style w:type="character" w:customStyle="1" w:styleId="11">
    <w:name w:val="content"/>
    <w:basedOn w:val="8"/>
    <w:qFormat/>
    <w:uiPriority w:val="0"/>
  </w:style>
  <w:style w:type="character" w:customStyle="1" w:styleId="12">
    <w:name w:val="wx-space"/>
    <w:basedOn w:val="8"/>
    <w:qFormat/>
    <w:uiPriority w:val="0"/>
  </w:style>
  <w:style w:type="character" w:customStyle="1" w:styleId="13">
    <w:name w:val="wx-space1"/>
    <w:basedOn w:val="8"/>
    <w:qFormat/>
    <w:uiPriority w:val="0"/>
  </w:style>
  <w:style w:type="character" w:customStyle="1" w:styleId="14">
    <w:name w:val="hover48"/>
    <w:basedOn w:val="8"/>
    <w:qFormat/>
    <w:uiPriority w:val="0"/>
    <w:rPr>
      <w:color w:val="000000"/>
      <w:shd w:val="clear" w:fill="FFFFFF"/>
    </w:rPr>
  </w:style>
  <w:style w:type="paragraph" w:customStyle="1" w:styleId="15">
    <w:name w:val="Default"/>
    <w:basedOn w:val="1"/>
    <w:qFormat/>
    <w:uiPriority w:val="0"/>
    <w:pPr>
      <w:autoSpaceDE w:val="0"/>
      <w:autoSpaceDN w:val="0"/>
    </w:pPr>
    <w:rPr>
      <w:rFonts w:ascii="Calibri" w:hAnsi="Calibri" w:cs="宋体"/>
      <w:color w:val="0000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2020-02-09T01:46:00Z</dcterms:created>
  <dc:creator>Administrator</dc:creator>
  <cp:lastModifiedBy>周  苗</cp:lastModifiedBy>
  <cp:lastPrinted>2020-02-15T08:51:00Z</cp:lastPrinted>
  <dcterms:modified xsi:type="dcterms:W3CDTF">2021-05-26T09:42:42Z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9108ACD5B1D24121A74E4F7E7DE05C1B</vt:lpwstr>
  </property>
</Properties>
</file>