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遂宁天一投资集团有限公司面向社会公开招聘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  <w:t>岗位和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条件要求一览表</w:t>
      </w:r>
    </w:p>
    <w:tbl>
      <w:tblPr>
        <w:tblStyle w:val="4"/>
        <w:tblW w:w="15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69"/>
        <w:gridCol w:w="1971"/>
        <w:gridCol w:w="1254"/>
        <w:gridCol w:w="1669"/>
        <w:gridCol w:w="3562"/>
        <w:gridCol w:w="3320"/>
        <w:gridCol w:w="1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人数（人）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应聘资格条件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其他资格条件</w:t>
            </w:r>
          </w:p>
        </w:tc>
        <w:tc>
          <w:tcPr>
            <w:tcW w:w="1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6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财务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融资岗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主要负责公司统筹财务核算、债权债务管理，融资信息的收集、整理，参与融资商务谈判等工作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大学本科及以上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35周岁及以下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1987年2月27日以后出生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财政学类、工商管理类、经济学类、金融学类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不限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1.融资专员需熟悉国家金融法律法规；熟悉资本运作项目的程序和流程；具备良好的职业道德，具有良好的分析能力，组织能力，学习能力；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2.熟悉Excel、word等办公软件；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3.出纳限女性，具有2年以上出纳工作经验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的学历可放宽至大专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4.遂宁本地户籍且常住遂宁者优先。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审计岗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负责公司的工程建设、财务等审计、风险评估、年度考核评估等综合审计工作。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大学本科及以上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1982年2月27日以后出生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本科：管理科学与工程类、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工商管理类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、经济学类、金融学类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不限专业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1.熟悉国家财税法规，熟悉企业会计、审计、税务、工程审计等业务流程；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有2年以上工程造价或审计相关工作经验；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有相关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者优先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工程管理岗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负责管理建设项目过程中质量、安全、进度相关事宜，完善项目合规性手续办理。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大学本科及以上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35周岁及以下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1987年2月27日以后出生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本科：土木类、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测绘类、水利类、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建筑类、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工程管理类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土木类、水利类、测绘类、管理科学与工程类、建筑类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建筑工程管理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1.熟悉各建设手续，了解相关规范要求；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2.熟练使用CAD软件，并对施工现场有丰富的管理经验；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3.有建造师资格证或5年以上现场管理工作经验的可放宽至大专。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会议会展岗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负责公司会议中心运营管理、会议会展统筹、协调、服务等相关工作。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大学本科及以上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35周岁及以下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1987年2月27日以后出生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旅游管理类、公共管理类、服务业管理类、设计学类、新闻传播学类（交叉专业）、会展经济与管理、工商管理类、中国语言文学类、设计学类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不限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1.具有3年以上相关工作经验；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熟悉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会议会展工作，具有较强的文字功底与写作能力。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造价岗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负责工程项目预算、结算初审，工程计价等工作。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科及以上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z w:val="24"/>
              </w:rPr>
              <w:t>（19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z w:val="24"/>
                <w:lang w:val="en-US" w:eastAsia="zh-CN"/>
              </w:rPr>
              <w:t>82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z w:val="24"/>
              </w:rPr>
              <w:t>日及以后出生）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工程造价、工程管理、审计学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研究生：土木类、水利类、测绘类、管理科学与工程类、建筑类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1.具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5年以上造价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工作经验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熟悉各类办公软件，能吃苦耐劳，责任心强；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获得造价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员、造价师、中级工程师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的可放宽至大专。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录用后享受副部长待遇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法务岗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负责公司各类法律文件文书、各类法律审核、处理各类应诉和诉讼事务、管理公司法律授权工作、为公司各类经营管理活动提供相应的法律保障、组织员工的法律宣传、培训工作等工作。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大学本科及以上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1982年2月27日以后出生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法学类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法学类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1.具有3年以上法务相关工作经验；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2.熟悉合同法、劳动法、公司法等法律法规及政策；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  <w:t>3.通过司法考试者优先。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录用后享受副部长待遇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MTM2NWY5OGNkNWU4MGY4ZmEwZWM2YjYwM2Q1ZjMifQ=="/>
  </w:docVars>
  <w:rsids>
    <w:rsidRoot w:val="5DF675F8"/>
    <w:rsid w:val="5DF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3">
    <w:name w:val="节标题"/>
    <w:basedOn w:val="1"/>
    <w:next w:val="1"/>
    <w:qFormat/>
    <w:uiPriority w:val="99"/>
    <w:pPr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6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2023-02-20T07:13:00Z</dcterms:created>
  <dc:creator>蒿小闵</dc:creator>
  <cp:lastModifiedBy>蒿小闵</cp:lastModifiedBy>
  <dcterms:modified xsi:type="dcterms:W3CDTF">2023-02-20T07:14:07Z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E3C436C6CF7D4187B866F2DC0E30DB4D</vt:lpwstr>
  </property>
</Properties>
</file>