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附件</w:t>
      </w:r>
    </w:p>
    <w:p>
      <w:pPr>
        <w:jc w:val="center"/>
        <w:rPr>
          <w:rFonts w:hint="default" w:ascii="Times New Roman" w:hAnsi="Times New Roman" w:eastAsia="方正小标宋简体" w:cs="Times New Roman"/>
          <w:b w:val="0"/>
          <w:bCs w:val="0"/>
          <w:color w:val="auto"/>
          <w:sz w:val="44"/>
          <w:szCs w:val="44"/>
        </w:rPr>
      </w:pPr>
      <w:bookmarkStart w:id="0" w:name="_GoBack"/>
      <w:r>
        <w:rPr>
          <w:rFonts w:hint="default" w:ascii="Times New Roman" w:hAnsi="Times New Roman" w:eastAsia="方正小标宋简体" w:cs="Times New Roman"/>
          <w:b w:val="0"/>
          <w:bCs w:val="0"/>
          <w:color w:val="auto"/>
          <w:sz w:val="44"/>
          <w:szCs w:val="44"/>
        </w:rPr>
        <w:t>行政审批政务服务效能再提升专项行动方案任务清单</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03"/>
        <w:gridCol w:w="1924"/>
        <w:gridCol w:w="4337"/>
        <w:gridCol w:w="359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690" w:type="dxa"/>
            <w:vAlign w:val="center"/>
          </w:tcPr>
          <w:p>
            <w:pPr>
              <w:spacing w:line="360" w:lineRule="exact"/>
              <w:jc w:val="center"/>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bCs w:val="0"/>
                <w:color w:val="auto"/>
                <w:szCs w:val="21"/>
              </w:rPr>
              <w:t>序号</w:t>
            </w:r>
          </w:p>
        </w:tc>
        <w:tc>
          <w:tcPr>
            <w:tcW w:w="1303" w:type="dxa"/>
            <w:vAlign w:val="center"/>
          </w:tcPr>
          <w:p>
            <w:pPr>
              <w:spacing w:line="360" w:lineRule="exact"/>
              <w:jc w:val="center"/>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bCs w:val="0"/>
                <w:color w:val="auto"/>
                <w:szCs w:val="21"/>
              </w:rPr>
              <w:t>主要举措</w:t>
            </w:r>
          </w:p>
        </w:tc>
        <w:tc>
          <w:tcPr>
            <w:tcW w:w="1924" w:type="dxa"/>
            <w:vAlign w:val="center"/>
          </w:tcPr>
          <w:p>
            <w:pPr>
              <w:spacing w:line="360" w:lineRule="exact"/>
              <w:jc w:val="center"/>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bCs w:val="0"/>
                <w:color w:val="auto"/>
                <w:szCs w:val="21"/>
              </w:rPr>
              <w:t>主要任务</w:t>
            </w:r>
          </w:p>
        </w:tc>
        <w:tc>
          <w:tcPr>
            <w:tcW w:w="4337" w:type="dxa"/>
            <w:vAlign w:val="center"/>
          </w:tcPr>
          <w:p>
            <w:pPr>
              <w:spacing w:line="360" w:lineRule="exact"/>
              <w:jc w:val="center"/>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bCs w:val="0"/>
                <w:color w:val="auto"/>
                <w:szCs w:val="21"/>
              </w:rPr>
              <w:t>子任务</w:t>
            </w:r>
          </w:p>
        </w:tc>
        <w:tc>
          <w:tcPr>
            <w:tcW w:w="3592" w:type="dxa"/>
            <w:vAlign w:val="center"/>
          </w:tcPr>
          <w:p>
            <w:pPr>
              <w:spacing w:line="360" w:lineRule="exact"/>
              <w:jc w:val="center"/>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bCs w:val="0"/>
                <w:color w:val="auto"/>
                <w:szCs w:val="21"/>
              </w:rPr>
              <w:t>责任部门</w:t>
            </w:r>
          </w:p>
        </w:tc>
        <w:tc>
          <w:tcPr>
            <w:tcW w:w="1387" w:type="dxa"/>
            <w:vAlign w:val="center"/>
          </w:tcPr>
          <w:p>
            <w:pPr>
              <w:spacing w:line="360" w:lineRule="exact"/>
              <w:jc w:val="center"/>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bCs w:val="0"/>
                <w:color w:val="auto"/>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jc w:val="center"/>
        </w:trPr>
        <w:tc>
          <w:tcPr>
            <w:tcW w:w="690" w:type="dxa"/>
            <w:vMerge w:val="restart"/>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w:t>
            </w:r>
          </w:p>
        </w:tc>
        <w:tc>
          <w:tcPr>
            <w:tcW w:w="1303" w:type="dxa"/>
            <w:vMerge w:val="restart"/>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精神提振专项行动</w:t>
            </w:r>
          </w:p>
        </w:tc>
        <w:tc>
          <w:tcPr>
            <w:tcW w:w="1924" w:type="dxa"/>
            <w:vMerge w:val="restart"/>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强化党建引领，开展柔性关怀活动，健全考核机制，抓实作风建设，增强为民服务意识。</w:t>
            </w: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（1）强化党建引领，优化</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党员先锋示范岗</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评选活动，发挥党员先锋示范作用。</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镇（街道）</w:t>
            </w:r>
          </w:p>
          <w:p>
            <w:pPr>
              <w:spacing w:line="360" w:lineRule="exact"/>
              <w:jc w:val="center"/>
              <w:rPr>
                <w:rFonts w:hint="default" w:ascii="Times New Roman" w:hAnsi="Times New Roman" w:eastAsia="FangSong_GB2312" w:cs="Times New Roman"/>
                <w:b w:val="0"/>
                <w:bCs w:val="0"/>
                <w:color w:val="auto"/>
                <w:lang w:eastAsia="zh-CN"/>
              </w:rPr>
            </w:pPr>
            <w:r>
              <w:rPr>
                <w:rFonts w:hint="default" w:ascii="Times New Roman" w:hAnsi="Times New Roman" w:eastAsia="FangSong_GB2312" w:cs="Times New Roman"/>
                <w:b w:val="0"/>
                <w:bCs w:val="0"/>
                <w:color w:val="auto"/>
                <w:szCs w:val="21"/>
                <w:lang w:eastAsia="zh-CN"/>
              </w:rPr>
              <w:t>（排首位的为牵头部门，下同）</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（2）健全科学考核制度，优化窗口工作人员奖励考核等办法，创新</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服务之星</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流动红旗</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红黑榜</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等措施。</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（3）抓实作风建设，加强为民宗旨教育，树立服务群众观念，增强服务群众意识。</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（4）开展柔性关怀活动，关心政务服务干部职工成长，解决干部职工工作和生活上的后顾之忧。</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0" w:type="dxa"/>
            <w:vMerge w:val="restart"/>
            <w:vAlign w:val="center"/>
          </w:tcPr>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r>
              <w:rPr>
                <w:rFonts w:hint="default" w:ascii="Times New Roman" w:hAnsi="Times New Roman" w:cs="Times New Roman"/>
                <w:b w:val="0"/>
                <w:bCs w:val="0"/>
                <w:color w:val="auto"/>
              </w:rPr>
              <w:t>2</w:t>
            </w: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r>
              <w:rPr>
                <w:rFonts w:hint="default" w:ascii="Times New Roman" w:hAnsi="Times New Roman" w:cs="Times New Roman"/>
                <w:b w:val="0"/>
                <w:bCs w:val="0"/>
                <w:color w:val="auto"/>
              </w:rPr>
              <w:t>2</w:t>
            </w: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r>
              <w:rPr>
                <w:rFonts w:hint="default" w:ascii="Times New Roman" w:hAnsi="Times New Roman" w:cs="Times New Roman"/>
                <w:b w:val="0"/>
                <w:bCs w:val="0"/>
                <w:color w:val="auto"/>
              </w:rPr>
              <w:t>2</w:t>
            </w: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pStyle w:val="2"/>
              <w:jc w:val="center"/>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p>
          <w:p>
            <w:pPr>
              <w:pStyle w:val="2"/>
              <w:rPr>
                <w:rFonts w:hint="default" w:ascii="Times New Roman" w:hAnsi="Times New Roman" w:cs="Times New Roman"/>
                <w:b w:val="0"/>
                <w:bCs w:val="0"/>
                <w:color w:val="auto"/>
              </w:rPr>
            </w:pPr>
          </w:p>
          <w:p>
            <w:pPr>
              <w:pStyle w:val="2"/>
              <w:rPr>
                <w:rFonts w:hint="default" w:ascii="Times New Roman" w:hAnsi="Times New Roman" w:cs="Times New Roman"/>
                <w:b w:val="0"/>
                <w:bCs w:val="0"/>
                <w:color w:val="auto"/>
              </w:rPr>
            </w:pPr>
          </w:p>
          <w:p>
            <w:pPr>
              <w:spacing w:line="360" w:lineRule="exact"/>
              <w:ind w:firstLine="210" w:firstLineChars="100"/>
              <w:rPr>
                <w:rFonts w:hint="default" w:ascii="Times New Roman" w:hAnsi="Times New Roman" w:cs="Times New Roman"/>
                <w:b w:val="0"/>
                <w:bCs w:val="0"/>
                <w:color w:val="auto"/>
              </w:rPr>
            </w:pPr>
            <w:r>
              <w:rPr>
                <w:rFonts w:hint="default" w:ascii="Times New Roman" w:hAnsi="Times New Roman" w:cs="Times New Roman"/>
                <w:b w:val="0"/>
                <w:bCs w:val="0"/>
                <w:color w:val="auto"/>
              </w:rPr>
              <w:t>3</w:t>
            </w: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w:t>
            </w: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tc>
        <w:tc>
          <w:tcPr>
            <w:tcW w:w="1303" w:type="dxa"/>
            <w:vMerge w:val="restart"/>
            <w:vAlign w:val="center"/>
          </w:tcPr>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审批提速专项行动</w:t>
            </w: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审批提速专项行动</w:t>
            </w: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00" w:lineRule="exact"/>
              <w:jc w:val="center"/>
              <w:rPr>
                <w:rFonts w:hint="default" w:ascii="Times New Roman" w:hAnsi="Times New Roman" w:eastAsia="FangSong_GB2312" w:cs="Times New Roman"/>
                <w:b w:val="0"/>
                <w:bCs w:val="0"/>
                <w:color w:val="auto"/>
                <w:kern w:val="0"/>
                <w:sz w:val="24"/>
                <w:szCs w:val="21"/>
                <w:lang w:val="en-US" w:eastAsia="zh-CN" w:bidi="ar-SA"/>
              </w:rPr>
            </w:pPr>
            <w:r>
              <w:rPr>
                <w:rFonts w:hint="default" w:ascii="Times New Roman" w:hAnsi="Times New Roman" w:eastAsia="FangSong_GB2312" w:cs="Times New Roman"/>
                <w:b w:val="0"/>
                <w:bCs w:val="0"/>
                <w:color w:val="auto"/>
                <w:kern w:val="0"/>
                <w:sz w:val="24"/>
                <w:szCs w:val="21"/>
                <w:lang w:val="en-US" w:eastAsia="zh-CN" w:bidi="ar-SA"/>
              </w:rPr>
              <w:t>审批提速专项行动</w:t>
            </w:r>
          </w:p>
          <w:p>
            <w:pPr>
              <w:pStyle w:val="2"/>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pStyle w:val="2"/>
              <w:jc w:val="center"/>
              <w:rPr>
                <w:rFonts w:hint="default" w:ascii="Times New Roman" w:hAnsi="Times New Roman" w:cs="Times New Roman"/>
                <w:b w:val="0"/>
                <w:bCs w:val="0"/>
                <w:color w:val="auto"/>
              </w:rPr>
            </w:pPr>
          </w:p>
          <w:p>
            <w:pPr>
              <w:pStyle w:val="2"/>
              <w:jc w:val="center"/>
              <w:rPr>
                <w:rFonts w:hint="default" w:ascii="Times New Roman" w:hAnsi="Times New Roman" w:cs="Times New Roman"/>
                <w:b w:val="0"/>
                <w:bCs w:val="0"/>
                <w:color w:val="auto"/>
              </w:rPr>
            </w:pPr>
          </w:p>
          <w:p>
            <w:pPr>
              <w:pStyle w:val="2"/>
              <w:jc w:val="center"/>
              <w:rPr>
                <w:rFonts w:hint="default" w:ascii="Times New Roman" w:hAnsi="Times New Roman" w:cs="Times New Roman"/>
                <w:b w:val="0"/>
                <w:bCs w:val="0"/>
                <w:color w:val="auto"/>
              </w:rPr>
            </w:pPr>
          </w:p>
          <w:p>
            <w:pPr>
              <w:pStyle w:val="2"/>
              <w:jc w:val="center"/>
              <w:rPr>
                <w:rFonts w:hint="default" w:ascii="Times New Roman" w:hAnsi="Times New Roman" w:cs="Times New Roman"/>
                <w:b w:val="0"/>
                <w:bCs w:val="0"/>
                <w:color w:val="auto"/>
              </w:rPr>
            </w:pPr>
          </w:p>
          <w:p>
            <w:pPr>
              <w:pStyle w:val="2"/>
              <w:jc w:val="center"/>
              <w:rPr>
                <w:rFonts w:hint="default" w:ascii="Times New Roman" w:hAnsi="Times New Roman" w:cs="Times New Roman"/>
                <w:b w:val="0"/>
                <w:bCs w:val="0"/>
                <w:color w:val="auto"/>
              </w:rPr>
            </w:pPr>
          </w:p>
          <w:p>
            <w:pPr>
              <w:spacing w:line="360" w:lineRule="exact"/>
              <w:jc w:val="both"/>
              <w:rPr>
                <w:rFonts w:hint="default" w:ascii="Times New Roman" w:hAnsi="Times New Roman" w:cs="Times New Roman"/>
                <w:b w:val="0"/>
                <w:bCs w:val="0"/>
                <w:color w:val="auto"/>
              </w:rPr>
            </w:pPr>
          </w:p>
          <w:p>
            <w:pP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服务提温专项行动</w:t>
            </w: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kern w:val="2"/>
                <w:sz w:val="21"/>
                <w:szCs w:val="21"/>
              </w:rPr>
            </w:pPr>
            <w:r>
              <w:rPr>
                <w:rFonts w:hint="default" w:ascii="Times New Roman" w:hAnsi="Times New Roman" w:eastAsia="FangSong_GB2312" w:cs="Times New Roman"/>
                <w:b w:val="0"/>
                <w:bCs w:val="0"/>
                <w:color w:val="auto"/>
                <w:kern w:val="2"/>
                <w:sz w:val="21"/>
                <w:szCs w:val="21"/>
              </w:rPr>
              <w:t>服务提温专项行动</w:t>
            </w: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p>
            <w:pPr>
              <w:pStyle w:val="2"/>
              <w:rPr>
                <w:rFonts w:hint="default" w:ascii="Times New Roman" w:hAnsi="Times New Roman" w:eastAsia="FangSong_GB2312" w:cs="Times New Roman"/>
                <w:b w:val="0"/>
                <w:bCs w:val="0"/>
                <w:color w:val="auto"/>
                <w:kern w:val="2"/>
                <w:sz w:val="21"/>
                <w:szCs w:val="21"/>
              </w:rPr>
            </w:pPr>
          </w:p>
        </w:tc>
        <w:tc>
          <w:tcPr>
            <w:tcW w:w="1924" w:type="dxa"/>
            <w:vMerge w:val="restart"/>
            <w:vAlign w:val="center"/>
          </w:tcPr>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进一步简化办事流程、精简办事环节、压缩办事时间，重点做好</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四个一批</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w:t>
            </w: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pStyle w:val="2"/>
              <w:rPr>
                <w:rFonts w:hint="default" w:ascii="Times New Roman" w:hAnsi="Times New Roman" w:cs="Times New Roman"/>
                <w:b w:val="0"/>
                <w:bCs w:val="0"/>
                <w:color w:val="auto"/>
              </w:rPr>
            </w:pPr>
          </w:p>
          <w:p>
            <w:pPr>
              <w:pStyle w:val="2"/>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进一步简化办事流程、精简办事环节、压缩办事时间，重点做好</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四个一批</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w:t>
            </w: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spacing w:line="300" w:lineRule="exact"/>
              <w:rPr>
                <w:rFonts w:hint="default" w:ascii="Times New Roman" w:hAnsi="Times New Roman" w:cs="Times New Roman"/>
                <w:b w:val="0"/>
                <w:bCs w:val="0"/>
                <w:color w:val="auto"/>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进一步简化办事流程、精简办事环节、压缩办事时间，重点做好</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四个一批</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w:t>
            </w: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巩固提升特色服务，创新推出暖心服务。</w:t>
            </w: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eastAsia="FangSong_GB2312" w:cs="Times New Roman"/>
                <w:b w:val="0"/>
                <w:bCs w:val="0"/>
                <w:color w:val="auto"/>
                <w:szCs w:val="21"/>
              </w:rPr>
            </w:pPr>
          </w:p>
          <w:p>
            <w:pPr>
              <w:spacing w:line="300" w:lineRule="exact"/>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巩固提升特色服务，创新推出暖心服务。</w:t>
            </w: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p>
            <w:pPr>
              <w:pStyle w:val="2"/>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（5）全面做好已下放的行政许可事项承接工作和即将下放的行政许可事项承接准备工作。</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（6）深入推进工业项目</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容缺预审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改革，进一步</w:t>
            </w:r>
            <w:r>
              <w:rPr>
                <w:rFonts w:hint="default" w:ascii="Times New Roman" w:hAnsi="Times New Roman" w:cs="Times New Roman"/>
                <w:b w:val="0"/>
                <w:bCs w:val="0"/>
                <w:color w:val="auto"/>
              </w:rPr>
              <w:fldChar w:fldCharType="begin"/>
            </w:r>
            <w:r>
              <w:rPr>
                <w:rFonts w:hint="default" w:ascii="Times New Roman" w:hAnsi="Times New Roman" w:cs="Times New Roman"/>
                <w:b w:val="0"/>
                <w:bCs w:val="0"/>
                <w:color w:val="auto"/>
              </w:rPr>
              <w:instrText xml:space="preserve"> HYPERLINK "http://www.baidu.com/link?url=snIwE6uSxDqZ0KIK9FEdnqTvMOj5Iwp3RaKts5xXzHeGo1MI9xur-duam3rnBEBFjAS0wkmFVZvWj4HRIeR5eYMearBdtSQMXwHcyn-2V8O" \t "_blank" </w:instrText>
            </w:r>
            <w:r>
              <w:rPr>
                <w:rFonts w:hint="default" w:ascii="Times New Roman" w:hAnsi="Times New Roman" w:cs="Times New Roman"/>
                <w:b w:val="0"/>
                <w:bCs w:val="0"/>
                <w:color w:val="auto"/>
              </w:rPr>
              <w:fldChar w:fldCharType="separate"/>
            </w:r>
            <w:r>
              <w:rPr>
                <w:rFonts w:hint="default" w:ascii="Times New Roman" w:hAnsi="Times New Roman" w:eastAsia="FangSong_GB2312" w:cs="Times New Roman"/>
                <w:b w:val="0"/>
                <w:bCs w:val="0"/>
                <w:color w:val="auto"/>
                <w:szCs w:val="21"/>
              </w:rPr>
              <w:t>优化容缺预审、告知承诺、容缺受理等制度</w:t>
            </w:r>
            <w:r>
              <w:rPr>
                <w:rFonts w:hint="default" w:ascii="Times New Roman" w:hAnsi="Times New Roman" w:eastAsia="FangSong_GB2312" w:cs="Times New Roman"/>
                <w:b w:val="0"/>
                <w:bCs w:val="0"/>
                <w:color w:val="auto"/>
                <w:szCs w:val="21"/>
              </w:rPr>
              <w:fldChar w:fldCharType="end"/>
            </w:r>
            <w:r>
              <w:rPr>
                <w:rFonts w:hint="default" w:ascii="Times New Roman" w:hAnsi="Times New Roman" w:eastAsia="FangSong_GB2312" w:cs="Times New Roman"/>
                <w:b w:val="0"/>
                <w:bCs w:val="0"/>
                <w:color w:val="auto"/>
                <w:szCs w:val="21"/>
              </w:rPr>
              <w:t>和流程，推进施工区域评估在工业容缺项目中的应用。</w:t>
            </w:r>
          </w:p>
        </w:tc>
        <w:tc>
          <w:tcPr>
            <w:tcW w:w="3592" w:type="dxa"/>
            <w:vAlign w:val="center"/>
          </w:tcPr>
          <w:p>
            <w:pPr>
              <w:spacing w:line="360" w:lineRule="exact"/>
              <w:jc w:val="center"/>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经济合作局、科创经发局、建设交运局、社事群工局、综合执法局、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、市城管执法局驻高新大队</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（7）深化</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一件事一次办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改革，梳理形成标准化规范化的</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一件事</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事项办事指南，完成事项标准名称和民用俗称的双向互通翻译 。</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建设交运局、社事群工局、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、公安分局、消防筹备组</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（8）全面推行证明事项告知承诺制。</w:t>
            </w:r>
          </w:p>
        </w:tc>
        <w:tc>
          <w:tcPr>
            <w:tcW w:w="3592" w:type="dxa"/>
            <w:vAlign w:val="center"/>
          </w:tcPr>
          <w:p>
            <w:pPr>
              <w:spacing w:line="360" w:lineRule="exact"/>
              <w:jc w:val="center"/>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行政审批政务服务局、经济合作局、科创经发局、建设交运局、社事群工局、综合执法局、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、市城管执法局驻高新大队</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（9）推动建立</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全程网办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立等可取</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只跑一次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三类事项清单动态管理机制。</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（10）企业</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准入易、准营难</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等难题，积极深化</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证照分离</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改革，率先在个体工商户、民办非企业等领域探索</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一业一证</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改革，打造企业</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一证准营</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新模式。</w:t>
            </w:r>
          </w:p>
        </w:tc>
        <w:tc>
          <w:tcPr>
            <w:tcW w:w="3592" w:type="dxa"/>
            <w:vAlign w:val="center"/>
          </w:tcPr>
          <w:p>
            <w:pPr>
              <w:spacing w:line="360" w:lineRule="exact"/>
              <w:jc w:val="center"/>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行政审批政务服务局、财政金融局、</w:t>
            </w: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（11）从解决企业群众最关注、与营商环境最密切的</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三证</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（营业执照、不动产权证、施工许可证）办理时效入手，探索开户即开业、交房即交证、交地即开工</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三即承诺制</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改革，加快企业落地开业。</w:t>
            </w:r>
          </w:p>
        </w:tc>
        <w:tc>
          <w:tcPr>
            <w:tcW w:w="3592" w:type="dxa"/>
            <w:vAlign w:val="center"/>
          </w:tcPr>
          <w:p>
            <w:pPr>
              <w:spacing w:line="360" w:lineRule="exact"/>
              <w:jc w:val="center"/>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科创经发局、建设交运局、社事群工局、市场监管分局、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、市不动产高新区分中心</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（12）建立现场踏勘标准化电子化审查模式，开展现场踏勘网上预勘服务，开启</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自主选择、远程核查、在线反馈</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的踏勘服务新模式。</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、建设交运局、综合执法局、应急分局、市场监管分局、社事群工局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（13）推行企业注销</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套餐式</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服务模式，实现注销</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集成办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一次办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w:t>
            </w:r>
          </w:p>
        </w:tc>
        <w:tc>
          <w:tcPr>
            <w:tcW w:w="3592" w:type="dxa"/>
            <w:vAlign w:val="center"/>
          </w:tcPr>
          <w:p>
            <w:pPr>
              <w:spacing w:line="360" w:lineRule="exact"/>
              <w:jc w:val="center"/>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行政审批政务服务局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（14）打造</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三级三务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政务服务模式，区、镇（街道）、村（社区）的三级党务、政务、公共服务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三合一</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rPr>
              <w:t>、行政审批政务服务局、财政金融局、科创经发局、建设交运局、社事群工局、综合执法局、城乡统筹中心、市场监管分局、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（15）持续做好</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一套标准</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规范管理、</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一张清单</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下放到底、</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一个窗口</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集成服务、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一枚印章</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高效审批、</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一个平台</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灵活智办的</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五个一</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政务服务。</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（16）继续巩固企业开办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110</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改革成果，切实推进</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网上办、掌上办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和</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不见面</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审批。</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（17）深化不动产登记一体化改革、全城通办，大力推进川渝通办。</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市不动产高新区分中心</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（18）深入开展工程建设项目</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多合一、四联合</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审批模式，进一步压缩审批时限。</w:t>
            </w:r>
          </w:p>
        </w:tc>
        <w:tc>
          <w:tcPr>
            <w:tcW w:w="3592" w:type="dxa"/>
            <w:vAlign w:val="center"/>
          </w:tcPr>
          <w:p>
            <w:pPr>
              <w:spacing w:line="360" w:lineRule="exact"/>
              <w:jc w:val="center"/>
              <w:rPr>
                <w:rFonts w:hint="eastAsia" w:ascii="Times New Roman" w:hAnsi="Times New Roman" w:eastAsia="FangSong_GB2312" w:cs="Times New Roman"/>
                <w:b w:val="0"/>
                <w:bCs w:val="0"/>
                <w:color w:val="auto"/>
                <w:szCs w:val="21"/>
                <w:lang w:eastAsia="zh-CN"/>
              </w:rPr>
            </w:pP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、科创经发局、建设交运局、社事群工局、经济合作局、行政审批政务服务局、综合执法局、城乡统筹中心、</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、市场监管分局、</w:t>
            </w:r>
            <w:r>
              <w:rPr>
                <w:rFonts w:hint="eastAsia" w:ascii="Times New Roman" w:hAnsi="Times New Roman" w:eastAsia="FangSong_GB2312" w:cs="Times New Roman"/>
                <w:b w:val="0"/>
                <w:bCs w:val="0"/>
                <w:color w:val="auto"/>
                <w:szCs w:val="21"/>
                <w:lang w:eastAsia="zh-CN"/>
              </w:rPr>
              <w:t>应急分局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pStyle w:val="2"/>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（19）持续推进</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掌上办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码上办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自助办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刷脸办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服务，梳理公布便民服务事项清单。</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（20）全力推行做好全程代办服务、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店小二</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式上门服务，构建区、镇、村</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三级</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政务代办体系。</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各镇（街道）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（21）大力推行绿色惠企专窗，依托企业开办专区，提供快速登记、政策咨询、创业指导等服务。</w:t>
            </w:r>
          </w:p>
        </w:tc>
        <w:tc>
          <w:tcPr>
            <w:tcW w:w="3592" w:type="dxa"/>
            <w:vAlign w:val="center"/>
          </w:tcPr>
          <w:p>
            <w:pPr>
              <w:spacing w:line="360" w:lineRule="exact"/>
              <w:jc w:val="center"/>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行政审批政务服务局、社事群工局、市场监管分局、经合局、科创经发局、各镇（街道）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Style w:val="6"/>
                <w:rFonts w:hint="default" w:ascii="Times New Roman" w:hAnsi="Times New Roman" w:cs="Times New Roman"/>
                <w:b w:val="0"/>
                <w:bCs w:val="0"/>
                <w:color w:val="auto"/>
                <w:kern w:val="0"/>
                <w:sz w:val="21"/>
                <w:szCs w:val="21"/>
              </w:rPr>
            </w:pPr>
            <w:r>
              <w:rPr>
                <w:rStyle w:val="6"/>
                <w:rFonts w:hint="default" w:ascii="Times New Roman" w:hAnsi="Times New Roman" w:cs="Times New Roman"/>
                <w:b w:val="0"/>
                <w:bCs w:val="0"/>
                <w:color w:val="auto"/>
                <w:kern w:val="0"/>
                <w:sz w:val="21"/>
                <w:szCs w:val="21"/>
              </w:rPr>
              <w:t>（22）</w:t>
            </w:r>
            <w:r>
              <w:rPr>
                <w:rFonts w:hint="default" w:ascii="Times New Roman" w:hAnsi="Times New Roman" w:eastAsia="FangSong_GB2312" w:cs="Times New Roman"/>
                <w:b w:val="0"/>
                <w:bCs w:val="0"/>
                <w:color w:val="auto"/>
                <w:szCs w:val="21"/>
              </w:rPr>
              <w:t>持续推行错峰服务、延时服务、预约服务、上门服务等特需服务。</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Style w:val="6"/>
                <w:rFonts w:hint="default" w:ascii="Times New Roman" w:hAnsi="Times New Roman" w:cs="Times New Roman"/>
                <w:b w:val="0"/>
                <w:bCs w:val="0"/>
                <w:color w:val="auto"/>
                <w:kern w:val="0"/>
                <w:sz w:val="21"/>
                <w:szCs w:val="21"/>
              </w:rPr>
            </w:pPr>
            <w:r>
              <w:rPr>
                <w:rStyle w:val="6"/>
                <w:rFonts w:hint="default" w:ascii="Times New Roman" w:hAnsi="Times New Roman" w:cs="Times New Roman"/>
                <w:b w:val="0"/>
                <w:bCs w:val="0"/>
                <w:color w:val="auto"/>
                <w:kern w:val="0"/>
                <w:sz w:val="21"/>
                <w:szCs w:val="21"/>
              </w:rPr>
              <w:t>（23）</w:t>
            </w:r>
            <w:r>
              <w:rPr>
                <w:rFonts w:hint="default" w:ascii="Times New Roman" w:hAnsi="Times New Roman" w:eastAsia="FangSong_GB2312" w:cs="Times New Roman"/>
                <w:b w:val="0"/>
                <w:bCs w:val="0"/>
                <w:color w:val="auto"/>
                <w:szCs w:val="21"/>
              </w:rPr>
              <w:t>做好各级政务服务场所的适老化改造行动。针对老年群体，增设老年人服务专窗、绿色通道、敬老岗，办事窗口保留现金和银行卡支付方式和代缴费用服务；推动养老金等津贴补贴领取、社会保险等待遇资格认证、户籍办理等高频事项向镇村延伸，鼓励为行动不便的老年人提供上门服务；优化政务服务应用，完善政务服务平台授权代理、亲友代办等功能，为老年人提供大字版、简洁版、一对一等应用服务。</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社事群工局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公安分局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各镇（街道）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（24）对标市市民中心，全面推进园区政务服务大厅亲民化便民化改造，实现功能配置更完备、环境氛围更温馨、服务提供更贴心，进一步提升群众和企业的办事体验感。</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90" w:type="dxa"/>
            <w:vMerge w:val="restart"/>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4</w:t>
            </w:r>
          </w:p>
        </w:tc>
        <w:tc>
          <w:tcPr>
            <w:tcW w:w="1303" w:type="dxa"/>
            <w:vMerge w:val="restart"/>
            <w:vAlign w:val="center"/>
          </w:tcPr>
          <w:p>
            <w:pPr>
              <w:spacing w:line="360" w:lineRule="exact"/>
              <w:jc w:val="center"/>
              <w:rPr>
                <w:rFonts w:hint="default" w:ascii="Times New Roman" w:hAnsi="Times New Roman" w:eastAsia="FangSong_GB2312" w:cs="Times New Roman"/>
                <w:b w:val="0"/>
                <w:bCs w:val="0"/>
                <w:color w:val="auto"/>
                <w:szCs w:val="21"/>
              </w:rPr>
            </w:pPr>
            <w:r>
              <w:rPr>
                <w:rStyle w:val="6"/>
                <w:rFonts w:hint="default" w:ascii="Times New Roman" w:hAnsi="Times New Roman" w:cs="Times New Roman"/>
                <w:b w:val="0"/>
                <w:bCs w:val="0"/>
                <w:color w:val="auto"/>
                <w:sz w:val="21"/>
                <w:szCs w:val="21"/>
              </w:rPr>
              <w:t>管理提档专项行动</w:t>
            </w:r>
          </w:p>
        </w:tc>
        <w:tc>
          <w:tcPr>
            <w:tcW w:w="1924" w:type="dxa"/>
            <w:vMerge w:val="restart"/>
            <w:vAlign w:val="center"/>
          </w:tcPr>
          <w:p>
            <w:pPr>
              <w:spacing w:line="300" w:lineRule="exact"/>
              <w:rPr>
                <w:rStyle w:val="6"/>
                <w:rFonts w:hint="default" w:ascii="Times New Roman" w:hAnsi="Times New Roman" w:cs="Times New Roman"/>
                <w:b w:val="0"/>
                <w:bCs w:val="0"/>
                <w:color w:val="auto"/>
                <w:sz w:val="21"/>
                <w:szCs w:val="21"/>
              </w:rPr>
            </w:pPr>
            <w:r>
              <w:rPr>
                <w:rFonts w:hint="default" w:ascii="Times New Roman" w:hAnsi="Times New Roman" w:eastAsia="FangSong_GB2312" w:cs="Times New Roman"/>
                <w:b w:val="0"/>
                <w:bCs w:val="0"/>
                <w:color w:val="auto"/>
                <w:szCs w:val="21"/>
              </w:rPr>
              <w:t>强化标准化、阳光化、精细化管理。</w:t>
            </w: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（25）进一步健全政务服务事项、政务服务大厅、政务服务模式、政务服务制度、政务服务队伍等五个方面的标准化管理。</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Style w:val="6"/>
                <w:rFonts w:hint="default" w:ascii="Times New Roman" w:hAnsi="Times New Roman" w:cs="Times New Roman"/>
                <w:b w:val="0"/>
                <w:bCs w:val="0"/>
                <w:color w:val="auto"/>
                <w:sz w:val="21"/>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（26）对标上级关于推进镇村便民服务标准化规范化便利化建设的相关要求，扎实开展基层便民服务三化建设工作。</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Style w:val="6"/>
                <w:rFonts w:hint="default" w:ascii="Times New Roman" w:hAnsi="Times New Roman" w:cs="Times New Roman"/>
                <w:b w:val="0"/>
                <w:bCs w:val="0"/>
                <w:color w:val="auto"/>
                <w:sz w:val="21"/>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（27）强化阳光化管理。加强主动公开公示，除涉及国家秘密、商业秘密、个人隐私及其他依法不予公开的信息外，落实专人对行政许可信息进行即时公开公示。加快推进</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码上监督</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，持续优化</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好差评</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制度，积极推动政务服务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好差评</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和营商环境评价两评合一。</w:t>
            </w:r>
          </w:p>
        </w:tc>
        <w:tc>
          <w:tcPr>
            <w:tcW w:w="3592" w:type="dxa"/>
            <w:vAlign w:val="center"/>
          </w:tcPr>
          <w:p>
            <w:pPr>
              <w:spacing w:line="360" w:lineRule="exact"/>
              <w:jc w:val="center"/>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Style w:val="6"/>
                <w:rFonts w:hint="default" w:ascii="Times New Roman" w:hAnsi="Times New Roman" w:cs="Times New Roman"/>
                <w:b w:val="0"/>
                <w:bCs w:val="0"/>
                <w:color w:val="auto"/>
                <w:sz w:val="21"/>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28）强化精细化管理。各窗口服务单位实行每日一次晨会、每周一次列队等制度，让每位窗口工作人员每天都以最好的精神面貌和最优质的服务迎接每一位服务对象。狠抓窗口作风建设，强化效能督查考核，不断提升服务效能。</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p>
            <w:pPr>
              <w:spacing w:line="360" w:lineRule="exact"/>
              <w:jc w:val="center"/>
              <w:rPr>
                <w:rFonts w:hint="default" w:ascii="Times New Roman" w:hAnsi="Times New Roman" w:cs="Times New Roman"/>
                <w:b w:val="0"/>
                <w:bCs w:val="0"/>
                <w:color w:val="auto"/>
              </w:rPr>
            </w:pPr>
            <w:r>
              <w:rPr>
                <w:rFonts w:hint="default" w:ascii="Times New Roman" w:hAnsi="Times New Roman" w:eastAsia="FangSong_GB2312" w:cs="Times New Roman"/>
                <w:b w:val="0"/>
                <w:bCs w:val="0"/>
                <w:color w:val="auto"/>
                <w:szCs w:val="21"/>
              </w:rPr>
              <w:t>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690" w:type="dxa"/>
            <w:vMerge w:val="restart"/>
            <w:vAlign w:val="center"/>
          </w:tcPr>
          <w:p>
            <w:pPr>
              <w:spacing w:line="360" w:lineRule="exact"/>
              <w:rPr>
                <w:rFonts w:hint="default" w:ascii="Times New Roman" w:hAnsi="Times New Roman" w:eastAsia="FangSong_GB2312" w:cs="Times New Roman"/>
                <w:b w:val="0"/>
                <w:bCs w:val="0"/>
                <w:color w:val="auto"/>
                <w:szCs w:val="21"/>
              </w:rPr>
            </w:pPr>
          </w:p>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5</w:t>
            </w:r>
          </w:p>
        </w:tc>
        <w:tc>
          <w:tcPr>
            <w:tcW w:w="1303" w:type="dxa"/>
            <w:vMerge w:val="restart"/>
            <w:vAlign w:val="center"/>
          </w:tcPr>
          <w:p>
            <w:pPr>
              <w:spacing w:line="360" w:lineRule="exact"/>
              <w:jc w:val="center"/>
              <w:rPr>
                <w:rFonts w:hint="default" w:ascii="Times New Roman" w:hAnsi="Times New Roman" w:eastAsia="FangSong_GB2312" w:cs="Times New Roman"/>
                <w:b w:val="0"/>
                <w:bCs w:val="0"/>
                <w:color w:val="auto"/>
                <w:szCs w:val="21"/>
              </w:rPr>
            </w:pPr>
          </w:p>
          <w:p>
            <w:pPr>
              <w:spacing w:line="360" w:lineRule="exact"/>
              <w:jc w:val="center"/>
              <w:rPr>
                <w:rFonts w:hint="default" w:ascii="Times New Roman" w:hAnsi="Times New Roman" w:eastAsia="FangSong_GB2312" w:cs="Times New Roman"/>
                <w:b w:val="0"/>
                <w:bCs w:val="0"/>
                <w:color w:val="auto"/>
                <w:szCs w:val="21"/>
              </w:rPr>
            </w:pPr>
            <w:r>
              <w:rPr>
                <w:rStyle w:val="6"/>
                <w:rFonts w:hint="default" w:ascii="Times New Roman" w:hAnsi="Times New Roman" w:cs="Times New Roman"/>
                <w:b w:val="0"/>
                <w:bCs w:val="0"/>
                <w:color w:val="auto"/>
                <w:sz w:val="21"/>
                <w:szCs w:val="21"/>
              </w:rPr>
              <w:t>审管提效专项行动</w:t>
            </w:r>
          </w:p>
        </w:tc>
        <w:tc>
          <w:tcPr>
            <w:tcW w:w="1924" w:type="dxa"/>
            <w:vMerge w:val="restart"/>
            <w:vAlign w:val="center"/>
          </w:tcPr>
          <w:p>
            <w:pPr>
              <w:spacing w:line="300" w:lineRule="exact"/>
              <w:rPr>
                <w:rFonts w:hint="default" w:ascii="Times New Roman" w:hAnsi="Times New Roman" w:eastAsia="FangSong_GB2312" w:cs="Times New Roman"/>
                <w:b w:val="0"/>
                <w:bCs w:val="0"/>
                <w:color w:val="auto"/>
                <w:szCs w:val="21"/>
              </w:rPr>
            </w:pPr>
            <w:r>
              <w:rPr>
                <w:rStyle w:val="6"/>
                <w:rFonts w:hint="default" w:ascii="Times New Roman" w:hAnsi="Times New Roman" w:cs="Times New Roman"/>
                <w:b w:val="0"/>
                <w:bCs w:val="0"/>
                <w:color w:val="auto"/>
                <w:sz w:val="21"/>
                <w:szCs w:val="21"/>
              </w:rPr>
              <w:t>完善审管权责清单，优化审管衔接机制，推动</w:t>
            </w:r>
            <w:r>
              <w:rPr>
                <w:rStyle w:val="6"/>
                <w:rFonts w:hint="eastAsia" w:ascii="Times New Roman" w:hAnsi="Times New Roman" w:eastAsia="FangSong_GB2312" w:cs="Times New Roman"/>
                <w:b w:val="0"/>
                <w:bCs w:val="0"/>
                <w:color w:val="auto"/>
                <w:sz w:val="21"/>
                <w:szCs w:val="21"/>
                <w:lang w:eastAsia="zh-CN"/>
              </w:rPr>
              <w:t>“</w:t>
            </w:r>
            <w:r>
              <w:rPr>
                <w:rStyle w:val="6"/>
                <w:rFonts w:hint="default" w:ascii="Times New Roman" w:hAnsi="Times New Roman" w:cs="Times New Roman"/>
                <w:b w:val="0"/>
                <w:bCs w:val="0"/>
                <w:color w:val="auto"/>
                <w:sz w:val="21"/>
                <w:szCs w:val="21"/>
              </w:rPr>
              <w:t>互联网+</w:t>
            </w:r>
            <w:r>
              <w:rPr>
                <w:rStyle w:val="6"/>
                <w:rFonts w:hint="eastAsia" w:ascii="Times New Roman" w:hAnsi="Times New Roman" w:eastAsia="FangSong_GB2312" w:cs="Times New Roman"/>
                <w:b w:val="0"/>
                <w:bCs w:val="0"/>
                <w:color w:val="auto"/>
                <w:sz w:val="21"/>
                <w:szCs w:val="21"/>
                <w:lang w:eastAsia="zh-CN"/>
              </w:rPr>
              <w:t>”</w:t>
            </w:r>
            <w:r>
              <w:rPr>
                <w:rStyle w:val="6"/>
                <w:rFonts w:hint="default" w:ascii="Times New Roman" w:hAnsi="Times New Roman" w:cs="Times New Roman"/>
                <w:b w:val="0"/>
                <w:bCs w:val="0"/>
                <w:color w:val="auto"/>
                <w:sz w:val="21"/>
                <w:szCs w:val="21"/>
              </w:rPr>
              <w:t>建设。</w:t>
            </w: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（29）持续抓好《遂宁高新区行政审批与行业监管职责边界事项职责分工方案（试行）》的执行落实及优化完善，实行权力和责任两张清单动态管理。</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（30）按照《遂宁高新区行政审批与监管分离互动办法（试行）》《遂宁高新区重大行政审批事项联席会商制度（试行）》等相关制度做好审管无缝衔接，强化审管协同联动，全力构建政务服务共同体。</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p>
            <w:pPr>
              <w:spacing w:line="360" w:lineRule="exact"/>
              <w:jc w:val="center"/>
              <w:rPr>
                <w:rFonts w:hint="default" w:ascii="Times New Roman" w:hAnsi="Times New Roman" w:eastAsia="FangSong_GB2312" w:cs="Times New Roman"/>
                <w:b w:val="0"/>
                <w:bCs w:val="0"/>
                <w:color w:val="auto"/>
                <w:szCs w:val="21"/>
              </w:rPr>
            </w:pP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shd w:val="clear" w:color="auto" w:fill="FFFFFF"/>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shd w:val="clear" w:color="auto" w:fill="FFFFFF"/>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shd w:val="clear" w:color="auto" w:fill="FFFFFF"/>
              </w:rPr>
            </w:pPr>
          </w:p>
        </w:tc>
        <w:tc>
          <w:tcPr>
            <w:tcW w:w="4337" w:type="dxa"/>
            <w:vAlign w:val="center"/>
          </w:tcPr>
          <w:p>
            <w:pPr>
              <w:rPr>
                <w:rFonts w:hint="default" w:ascii="Times New Roman" w:hAnsi="Times New Roman" w:eastAsia="FangSong_GB2312" w:cs="Times New Roman"/>
                <w:b w:val="0"/>
                <w:bCs w:val="0"/>
                <w:color w:val="auto"/>
                <w:szCs w:val="21"/>
                <w:shd w:val="clear" w:color="auto" w:fill="FFFFFF"/>
              </w:rPr>
            </w:pPr>
            <w:r>
              <w:rPr>
                <w:rFonts w:hint="default" w:ascii="Times New Roman" w:hAnsi="Times New Roman" w:eastAsia="FangSong_GB2312" w:cs="Times New Roman"/>
                <w:b w:val="0"/>
                <w:bCs w:val="0"/>
                <w:color w:val="auto"/>
                <w:szCs w:val="21"/>
                <w:shd w:val="clear" w:color="auto" w:fill="FFFFFF"/>
              </w:rPr>
              <w:t>（31）</w:t>
            </w:r>
            <w:r>
              <w:rPr>
                <w:rFonts w:hint="default" w:ascii="Times New Roman" w:hAnsi="Times New Roman" w:eastAsia="FangSong_GB2312" w:cs="Times New Roman"/>
                <w:b w:val="0"/>
                <w:bCs w:val="0"/>
                <w:color w:val="auto"/>
                <w:szCs w:val="21"/>
              </w:rPr>
              <w:t>推动</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互联网+</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建设。充分利用互联网资源不断提升政务服务和行业监管水平，促进</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重审批</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向</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宽审批</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轻监管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向</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严监管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转变，全面实现审管再提质。</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restart"/>
            <w:vAlign w:val="center"/>
          </w:tcPr>
          <w:p>
            <w:pPr>
              <w:pStyle w:val="2"/>
              <w:jc w:val="center"/>
              <w:rPr>
                <w:rFonts w:hint="default" w:ascii="Times New Roman" w:hAnsi="Times New Roman" w:eastAsia="FangSong_GB2312" w:cs="Times New Roman"/>
                <w:b w:val="0"/>
                <w:bCs w:val="0"/>
                <w:color w:val="auto"/>
                <w:sz w:val="21"/>
                <w:szCs w:val="21"/>
              </w:rPr>
            </w:pPr>
          </w:p>
          <w:p>
            <w:pPr>
              <w:pStyle w:val="2"/>
              <w:jc w:val="both"/>
              <w:rPr>
                <w:rFonts w:hint="default" w:ascii="Times New Roman" w:hAnsi="Times New Roman" w:eastAsia="FangSong_GB2312" w:cs="Times New Roman"/>
                <w:b w:val="0"/>
                <w:bCs w:val="0"/>
                <w:color w:val="auto"/>
                <w:sz w:val="21"/>
                <w:szCs w:val="21"/>
              </w:rPr>
            </w:pPr>
          </w:p>
          <w:p>
            <w:pPr>
              <w:pStyle w:val="2"/>
              <w:jc w:val="center"/>
              <w:rPr>
                <w:rFonts w:hint="default" w:ascii="Times New Roman" w:hAnsi="Times New Roman" w:eastAsia="FangSong_GB2312" w:cs="Times New Roman"/>
                <w:b w:val="0"/>
                <w:bCs w:val="0"/>
                <w:color w:val="auto"/>
                <w:sz w:val="21"/>
                <w:szCs w:val="21"/>
              </w:rPr>
            </w:pPr>
            <w:r>
              <w:rPr>
                <w:rFonts w:hint="default" w:ascii="Times New Roman" w:hAnsi="Times New Roman" w:eastAsia="FangSong_GB2312" w:cs="Times New Roman"/>
                <w:b w:val="0"/>
                <w:bCs w:val="0"/>
                <w:color w:val="auto"/>
                <w:sz w:val="21"/>
                <w:szCs w:val="21"/>
              </w:rPr>
              <w:t>6</w:t>
            </w:r>
          </w:p>
          <w:p>
            <w:pPr>
              <w:pStyle w:val="2"/>
              <w:jc w:val="both"/>
              <w:rPr>
                <w:rFonts w:hint="default" w:ascii="Times New Roman" w:hAnsi="Times New Roman" w:eastAsia="FangSong_GB2312" w:cs="Times New Roman"/>
                <w:b w:val="0"/>
                <w:bCs w:val="0"/>
                <w:color w:val="auto"/>
                <w:sz w:val="21"/>
                <w:szCs w:val="21"/>
                <w:lang w:val="en-US" w:eastAsia="zh-CN"/>
              </w:rPr>
            </w:pPr>
          </w:p>
        </w:tc>
        <w:tc>
          <w:tcPr>
            <w:tcW w:w="1303" w:type="dxa"/>
            <w:vMerge w:val="restart"/>
            <w:vAlign w:val="center"/>
          </w:tcPr>
          <w:p>
            <w:pPr>
              <w:pStyle w:val="2"/>
              <w:jc w:val="center"/>
              <w:rPr>
                <w:rFonts w:hint="default" w:ascii="Times New Roman" w:hAnsi="Times New Roman" w:eastAsia="FangSong_GB2312" w:cs="Times New Roman"/>
                <w:b w:val="0"/>
                <w:bCs w:val="0"/>
                <w:color w:val="auto"/>
                <w:kern w:val="2"/>
                <w:sz w:val="21"/>
                <w:szCs w:val="21"/>
              </w:rPr>
            </w:pPr>
          </w:p>
          <w:p>
            <w:pPr>
              <w:pStyle w:val="2"/>
              <w:jc w:val="center"/>
              <w:rPr>
                <w:rFonts w:hint="default" w:ascii="Times New Roman" w:hAnsi="Times New Roman" w:eastAsia="FangSong_GB2312" w:cs="Times New Roman"/>
                <w:b w:val="0"/>
                <w:bCs w:val="0"/>
                <w:color w:val="auto"/>
                <w:kern w:val="2"/>
                <w:sz w:val="21"/>
                <w:szCs w:val="21"/>
              </w:rPr>
            </w:pPr>
          </w:p>
          <w:p>
            <w:pPr>
              <w:pStyle w:val="2"/>
              <w:jc w:val="center"/>
              <w:rPr>
                <w:rFonts w:hint="default" w:ascii="Times New Roman" w:hAnsi="Times New Roman" w:eastAsia="FangSong_GB2312" w:cs="Times New Roman"/>
                <w:b w:val="0"/>
                <w:bCs w:val="0"/>
                <w:color w:val="auto"/>
                <w:kern w:val="2"/>
                <w:sz w:val="21"/>
                <w:szCs w:val="21"/>
              </w:rPr>
            </w:pPr>
            <w:r>
              <w:rPr>
                <w:rFonts w:hint="default" w:ascii="Times New Roman" w:hAnsi="Times New Roman" w:eastAsia="FangSong_GB2312" w:cs="Times New Roman"/>
                <w:b w:val="0"/>
                <w:bCs w:val="0"/>
                <w:color w:val="auto"/>
                <w:kern w:val="2"/>
                <w:sz w:val="21"/>
                <w:szCs w:val="21"/>
              </w:rPr>
              <w:t>政务提智专项行动</w:t>
            </w:r>
          </w:p>
          <w:p>
            <w:pPr>
              <w:pStyle w:val="2"/>
              <w:jc w:val="center"/>
              <w:rPr>
                <w:rFonts w:hint="default" w:ascii="Times New Roman" w:hAnsi="Times New Roman" w:eastAsia="FangSong_GB2312" w:cs="Times New Roman"/>
                <w:b w:val="0"/>
                <w:bCs w:val="0"/>
                <w:color w:val="auto"/>
                <w:kern w:val="2"/>
                <w:sz w:val="21"/>
                <w:szCs w:val="21"/>
              </w:rPr>
            </w:pPr>
          </w:p>
        </w:tc>
        <w:tc>
          <w:tcPr>
            <w:tcW w:w="1924" w:type="dxa"/>
            <w:vMerge w:val="restart"/>
            <w:vAlign w:val="center"/>
          </w:tcPr>
          <w:p>
            <w:pPr>
              <w:spacing w:line="300" w:lineRule="exact"/>
              <w:jc w:val="center"/>
              <w:rPr>
                <w:rFonts w:hint="default" w:ascii="Times New Roman" w:hAnsi="Times New Roman" w:cs="Times New Roman"/>
                <w:b w:val="0"/>
                <w:bCs w:val="0"/>
                <w:color w:val="auto"/>
              </w:rPr>
            </w:pPr>
          </w:p>
          <w:p>
            <w:pPr>
              <w:spacing w:line="300" w:lineRule="exact"/>
              <w:jc w:val="both"/>
              <w:rPr>
                <w:rFonts w:hint="eastAsia" w:ascii="Times New Roman" w:hAnsi="Times New Roman" w:cs="Times New Roman" w:eastAsiaTheme="minorEastAsia"/>
                <w:b w:val="0"/>
                <w:bCs w:val="0"/>
                <w:color w:val="auto"/>
                <w:lang w:eastAsia="zh-CN"/>
              </w:rPr>
            </w:pPr>
            <w:r>
              <w:rPr>
                <w:rFonts w:hint="default" w:ascii="Times New Roman" w:hAnsi="Times New Roman" w:cs="Times New Roman"/>
                <w:b w:val="0"/>
                <w:bCs w:val="0"/>
                <w:color w:val="auto"/>
              </w:rPr>
              <w:t>持续推动</w:t>
            </w:r>
            <w:r>
              <w:rPr>
                <w:rFonts w:hint="eastAsia" w:ascii="Times New Roman" w:hAnsi="Times New Roman" w:cs="Times New Roman"/>
                <w:b w:val="0"/>
                <w:bCs w:val="0"/>
                <w:color w:val="auto"/>
                <w:lang w:eastAsia="zh-CN"/>
              </w:rPr>
              <w:t>“</w:t>
            </w:r>
            <w:r>
              <w:rPr>
                <w:rFonts w:hint="default" w:ascii="Times New Roman" w:hAnsi="Times New Roman" w:cs="Times New Roman"/>
                <w:b w:val="0"/>
                <w:bCs w:val="0"/>
                <w:color w:val="auto"/>
              </w:rPr>
              <w:t>一网通办</w:t>
            </w:r>
            <w:r>
              <w:rPr>
                <w:rFonts w:hint="eastAsia" w:ascii="Times New Roman" w:hAnsi="Times New Roman" w:cs="Times New Roman"/>
                <w:b w:val="0"/>
                <w:bCs w:val="0"/>
                <w:color w:val="auto"/>
                <w:lang w:eastAsia="zh-CN"/>
              </w:rPr>
              <w:t>”“</w:t>
            </w:r>
            <w:r>
              <w:rPr>
                <w:rFonts w:hint="default" w:ascii="Times New Roman" w:hAnsi="Times New Roman" w:cs="Times New Roman"/>
                <w:b w:val="0"/>
                <w:bCs w:val="0"/>
                <w:color w:val="auto"/>
              </w:rPr>
              <w:t>一机通办</w:t>
            </w:r>
            <w:r>
              <w:rPr>
                <w:rFonts w:hint="eastAsia" w:ascii="Times New Roman" w:hAnsi="Times New Roman" w:cs="Times New Roman"/>
                <w:b w:val="0"/>
                <w:bCs w:val="0"/>
                <w:color w:val="auto"/>
                <w:lang w:eastAsia="zh-CN"/>
              </w:rPr>
              <w:t>”“</w:t>
            </w:r>
            <w:r>
              <w:rPr>
                <w:rFonts w:hint="default" w:ascii="Times New Roman" w:hAnsi="Times New Roman" w:cs="Times New Roman"/>
                <w:b w:val="0"/>
                <w:bCs w:val="0"/>
                <w:color w:val="auto"/>
              </w:rPr>
              <w:t>掌上办</w:t>
            </w:r>
            <w:r>
              <w:rPr>
                <w:rFonts w:hint="eastAsia" w:ascii="Times New Roman" w:hAnsi="Times New Roman" w:cs="Times New Roman"/>
                <w:b w:val="0"/>
                <w:bCs w:val="0"/>
                <w:color w:val="auto"/>
                <w:lang w:eastAsia="zh-CN"/>
              </w:rPr>
              <w:t>”“</w:t>
            </w:r>
            <w:r>
              <w:rPr>
                <w:rFonts w:hint="default" w:ascii="Times New Roman" w:hAnsi="Times New Roman" w:cs="Times New Roman"/>
                <w:b w:val="0"/>
                <w:bCs w:val="0"/>
                <w:color w:val="auto"/>
              </w:rPr>
              <w:t>一码通办</w:t>
            </w:r>
            <w:r>
              <w:rPr>
                <w:rFonts w:hint="eastAsia" w:ascii="Times New Roman" w:hAnsi="Times New Roman" w:cs="Times New Roman"/>
                <w:b w:val="0"/>
                <w:bCs w:val="0"/>
                <w:color w:val="auto"/>
                <w:lang w:eastAsia="zh-CN"/>
              </w:rPr>
              <w:t>”</w:t>
            </w:r>
          </w:p>
          <w:p>
            <w:pPr>
              <w:pStyle w:val="2"/>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（32）利用四川</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互联网＋政务服务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一体化平台实现</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一网通办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，扎实抓好政务服务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一网通办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能力提升百日攻坚行动，实现</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一网通办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前提下的</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最多跑一次</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tcBorders>
              <w:bottom w:val="single" w:color="auto" w:sz="4" w:space="0"/>
            </w:tcBorders>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（33）利用24小时自助服务机实现</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一机通办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，进一步梳理高频便民服务事项并尽可能多地加载各类业务，推动 一批高频便民事项可在大厅自助办理。</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市不动产高新区分中心</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市房管高新区分中心</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税务分局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（34）探索指尖程序集成政务服务功能实现</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一点通</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，积极推进覆盖范围广、应用频率高的政务服务事项向移动端延伸,推动更多政务服务事项"掌上办"，像网购一样方便。</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行政审批政务服局</w:t>
            </w:r>
            <w:r>
              <w:rPr>
                <w:rFonts w:hint="default" w:ascii="Times New Roman" w:hAnsi="Times New Roman" w:eastAsia="FangSong_GB2312" w:cs="Times New Roman"/>
                <w:b w:val="0"/>
                <w:bCs w:val="0"/>
                <w:color w:val="auto"/>
                <w:szCs w:val="21"/>
                <w:lang w:eastAsia="zh-CN"/>
              </w:rPr>
              <w:t>、</w:t>
            </w: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（35）利用四川一体化平台实现</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一码通办</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，通过扫码即可获得办理指南及办理部分政务服务事项，实现</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一码注册、一码咨询、一码办事</w:t>
            </w:r>
            <w:r>
              <w:rPr>
                <w:rFonts w:hint="eastAsia"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行务政审批政务服局</w:t>
            </w:r>
            <w:r>
              <w:rPr>
                <w:rFonts w:hint="default" w:ascii="Times New Roman" w:hAnsi="Times New Roman" w:eastAsia="FangSong_GB2312" w:cs="Times New Roman"/>
                <w:b w:val="0"/>
                <w:bCs w:val="0"/>
                <w:color w:val="auto"/>
                <w:szCs w:val="21"/>
                <w:lang w:eastAsia="zh-CN"/>
              </w:rPr>
              <w:t>、</w:t>
            </w: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690" w:type="dxa"/>
            <w:vMerge w:val="restart"/>
            <w:vAlign w:val="center"/>
          </w:tcPr>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p>
          <w:p>
            <w:pPr>
              <w:spacing w:line="360" w:lineRule="exact"/>
              <w:jc w:val="center"/>
              <w:rPr>
                <w:rFonts w:hint="default" w:ascii="Times New Roman" w:hAnsi="Times New Roman" w:cs="Times New Roman"/>
                <w:b w:val="0"/>
                <w:bCs w:val="0"/>
                <w:color w:val="auto"/>
              </w:rPr>
            </w:pPr>
            <w:r>
              <w:rPr>
                <w:rFonts w:hint="default" w:ascii="Times New Roman" w:hAnsi="Times New Roman" w:cs="Times New Roman"/>
                <w:b w:val="0"/>
                <w:bCs w:val="0"/>
                <w:color w:val="auto"/>
              </w:rPr>
              <w:t>7</w:t>
            </w:r>
          </w:p>
          <w:p>
            <w:pPr>
              <w:pStyle w:val="2"/>
              <w:rPr>
                <w:rFonts w:hint="default" w:ascii="Times New Roman" w:hAnsi="Times New Roman" w:eastAsia="FangSong_GB2312" w:cs="Times New Roman"/>
                <w:b w:val="0"/>
                <w:bCs w:val="0"/>
                <w:color w:val="auto"/>
                <w:szCs w:val="21"/>
                <w:lang w:val="en-US" w:eastAsia="zh-CN"/>
              </w:rPr>
            </w:pPr>
          </w:p>
        </w:tc>
        <w:tc>
          <w:tcPr>
            <w:tcW w:w="1303" w:type="dxa"/>
            <w:vMerge w:val="restart"/>
            <w:vAlign w:val="center"/>
          </w:tcPr>
          <w:p>
            <w:pPr>
              <w:spacing w:line="360" w:lineRule="exact"/>
              <w:jc w:val="center"/>
              <w:rPr>
                <w:rFonts w:hint="default" w:ascii="Times New Roman" w:hAnsi="Times New Roman" w:eastAsia="FangSong_GB2312" w:cs="Times New Roman"/>
                <w:b w:val="0"/>
                <w:bCs w:val="0"/>
                <w:color w:val="auto"/>
                <w:kern w:val="2"/>
                <w:sz w:val="21"/>
                <w:szCs w:val="21"/>
                <w:lang w:val="en-US" w:eastAsia="zh-CN" w:bidi="ar-SA"/>
              </w:rPr>
            </w:pPr>
          </w:p>
          <w:p>
            <w:pPr>
              <w:spacing w:line="360" w:lineRule="exact"/>
              <w:jc w:val="center"/>
              <w:rPr>
                <w:rFonts w:hint="default" w:ascii="Times New Roman" w:hAnsi="Times New Roman" w:eastAsia="FangSong_GB2312" w:cs="Times New Roman"/>
                <w:b w:val="0"/>
                <w:bCs w:val="0"/>
                <w:color w:val="auto"/>
                <w:kern w:val="2"/>
                <w:sz w:val="21"/>
                <w:szCs w:val="21"/>
                <w:lang w:val="en-US" w:eastAsia="zh-CN" w:bidi="ar-SA"/>
              </w:rPr>
            </w:pPr>
          </w:p>
          <w:p>
            <w:pPr>
              <w:spacing w:line="360" w:lineRule="exact"/>
              <w:jc w:val="center"/>
              <w:rPr>
                <w:rFonts w:hint="default" w:ascii="Times New Roman" w:hAnsi="Times New Roman" w:eastAsia="FangSong_GB2312" w:cs="Times New Roman"/>
                <w:b w:val="0"/>
                <w:bCs w:val="0"/>
                <w:color w:val="auto"/>
                <w:kern w:val="2"/>
                <w:sz w:val="21"/>
                <w:szCs w:val="21"/>
                <w:lang w:val="en-US" w:eastAsia="zh-CN" w:bidi="ar-SA"/>
              </w:rPr>
            </w:pPr>
            <w:r>
              <w:rPr>
                <w:rFonts w:hint="default" w:ascii="Times New Roman" w:hAnsi="Times New Roman" w:eastAsia="FangSong_GB2312" w:cs="Times New Roman"/>
                <w:b w:val="0"/>
                <w:bCs w:val="0"/>
                <w:color w:val="auto"/>
                <w:kern w:val="2"/>
                <w:sz w:val="21"/>
                <w:szCs w:val="21"/>
                <w:lang w:val="en-US" w:eastAsia="zh-CN" w:bidi="ar-SA"/>
              </w:rPr>
              <w:t>干部提能专项行动</w:t>
            </w:r>
          </w:p>
          <w:p>
            <w:pPr>
              <w:spacing w:line="360" w:lineRule="exact"/>
              <w:jc w:val="center"/>
              <w:rPr>
                <w:rFonts w:hint="default" w:ascii="Times New Roman" w:hAnsi="Times New Roman" w:eastAsia="FangSong_GB2312" w:cs="Times New Roman"/>
                <w:b w:val="0"/>
                <w:bCs w:val="0"/>
                <w:color w:val="auto"/>
                <w:kern w:val="2"/>
                <w:sz w:val="21"/>
                <w:szCs w:val="21"/>
                <w:lang w:val="en-US" w:eastAsia="zh-CN" w:bidi="ar-SA"/>
              </w:rPr>
            </w:pPr>
          </w:p>
        </w:tc>
        <w:tc>
          <w:tcPr>
            <w:tcW w:w="1924" w:type="dxa"/>
            <w:vMerge w:val="restart"/>
            <w:vAlign w:val="center"/>
          </w:tcPr>
          <w:p>
            <w:pPr>
              <w:spacing w:line="360" w:lineRule="exact"/>
              <w:jc w:val="center"/>
              <w:rPr>
                <w:rFonts w:hint="default" w:ascii="Times New Roman" w:hAnsi="Times New Roman" w:eastAsia="FangSong_GB2312" w:cs="Times New Roman"/>
                <w:b w:val="0"/>
                <w:bCs w:val="0"/>
                <w:color w:val="auto"/>
                <w:kern w:val="2"/>
                <w:sz w:val="21"/>
                <w:szCs w:val="21"/>
                <w:lang w:val="en-US" w:eastAsia="zh-CN" w:bidi="ar-SA"/>
              </w:rPr>
            </w:pPr>
          </w:p>
          <w:p>
            <w:pPr>
              <w:spacing w:line="360" w:lineRule="exact"/>
              <w:jc w:val="center"/>
              <w:rPr>
                <w:rFonts w:hint="default" w:ascii="Times New Roman" w:hAnsi="Times New Roman" w:eastAsia="FangSong_GB2312" w:cs="Times New Roman"/>
                <w:b w:val="0"/>
                <w:bCs w:val="0"/>
                <w:color w:val="auto"/>
                <w:kern w:val="2"/>
                <w:sz w:val="21"/>
                <w:szCs w:val="21"/>
                <w:lang w:val="en-US" w:eastAsia="zh-CN" w:bidi="ar-SA"/>
              </w:rPr>
            </w:pPr>
            <w:r>
              <w:rPr>
                <w:rFonts w:hint="default" w:ascii="Times New Roman" w:hAnsi="Times New Roman" w:eastAsia="FangSong_GB2312" w:cs="Times New Roman"/>
                <w:b w:val="0"/>
                <w:bCs w:val="0"/>
                <w:color w:val="auto"/>
                <w:kern w:val="2"/>
                <w:sz w:val="21"/>
                <w:szCs w:val="21"/>
                <w:lang w:val="en-US" w:eastAsia="zh-CN" w:bidi="ar-SA"/>
              </w:rPr>
              <w:t>加强窗口工作人员业务培训工作和落实</w:t>
            </w:r>
            <w:r>
              <w:rPr>
                <w:rFonts w:hint="eastAsia" w:ascii="Times New Roman" w:hAnsi="Times New Roman" w:eastAsia="FangSong_GB2312" w:cs="Times New Roman"/>
                <w:b w:val="0"/>
                <w:bCs w:val="0"/>
                <w:color w:val="auto"/>
                <w:kern w:val="2"/>
                <w:sz w:val="21"/>
                <w:szCs w:val="21"/>
                <w:lang w:val="en-US" w:eastAsia="zh-CN" w:bidi="ar-SA"/>
              </w:rPr>
              <w:t>“</w:t>
            </w:r>
            <w:r>
              <w:rPr>
                <w:rFonts w:hint="default" w:ascii="Times New Roman" w:hAnsi="Times New Roman" w:eastAsia="FangSong_GB2312" w:cs="Times New Roman"/>
                <w:b w:val="0"/>
                <w:bCs w:val="0"/>
                <w:color w:val="auto"/>
                <w:kern w:val="2"/>
                <w:sz w:val="21"/>
                <w:szCs w:val="21"/>
                <w:lang w:val="en-US" w:eastAsia="zh-CN" w:bidi="ar-SA"/>
              </w:rPr>
              <w:t>上派下挂</w:t>
            </w:r>
            <w:r>
              <w:rPr>
                <w:rFonts w:hint="eastAsia" w:ascii="Times New Roman" w:hAnsi="Times New Roman" w:eastAsia="FangSong_GB2312" w:cs="Times New Roman"/>
                <w:b w:val="0"/>
                <w:bCs w:val="0"/>
                <w:color w:val="auto"/>
                <w:kern w:val="2"/>
                <w:sz w:val="21"/>
                <w:szCs w:val="21"/>
                <w:lang w:val="en-US" w:eastAsia="zh-CN" w:bidi="ar-SA"/>
              </w:rPr>
              <w:t>”</w:t>
            </w:r>
            <w:r>
              <w:rPr>
                <w:rFonts w:hint="default" w:ascii="Times New Roman" w:hAnsi="Times New Roman" w:eastAsia="FangSong_GB2312" w:cs="Times New Roman"/>
                <w:b w:val="0"/>
                <w:bCs w:val="0"/>
                <w:color w:val="auto"/>
                <w:kern w:val="2"/>
                <w:sz w:val="21"/>
                <w:szCs w:val="21"/>
                <w:lang w:val="en-US" w:eastAsia="zh-CN" w:bidi="ar-SA"/>
              </w:rPr>
              <w:t>制度。</w:t>
            </w:r>
          </w:p>
          <w:p>
            <w:pPr>
              <w:spacing w:line="360" w:lineRule="exact"/>
              <w:jc w:val="center"/>
              <w:rPr>
                <w:rFonts w:hint="default" w:ascii="Times New Roman" w:hAnsi="Times New Roman" w:eastAsia="FangSong_GB2312" w:cs="Times New Roman"/>
                <w:b w:val="0"/>
                <w:bCs w:val="0"/>
                <w:color w:val="auto"/>
                <w:kern w:val="2"/>
                <w:sz w:val="21"/>
                <w:szCs w:val="21"/>
                <w:lang w:val="en-US" w:eastAsia="zh-CN" w:bidi="ar-SA"/>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36）通过自学、集中学、交流学、轮岗学等多种方式，定期对窗口工作人员在办事效果、业务技能、作风礼仪方面进行全面培训指导。每季度开展1次政治理论宣讲活动，每周开展1次社交礼仪、职业道德或岗位技能培训。</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行政审批政务服务局</w:t>
            </w:r>
          </w:p>
          <w:p>
            <w:pPr>
              <w:spacing w:line="360" w:lineRule="exact"/>
              <w:jc w:val="center"/>
              <w:rPr>
                <w:rFonts w:hint="default" w:ascii="Times New Roman" w:hAnsi="Times New Roman" w:eastAsia="FangSong_GB2312" w:cs="Times New Roman"/>
                <w:b w:val="0"/>
                <w:bCs w:val="0"/>
                <w:color w:val="auto"/>
                <w:szCs w:val="21"/>
              </w:rPr>
            </w:pP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rPr>
              <w:t>、财政金融局、科创经发局、建设交运局、社事群工局、综合执法局、城乡统筹中心、市场监管分局、</w:t>
            </w:r>
            <w:r>
              <w:rPr>
                <w:rFonts w:hint="eastAsia" w:ascii="Times New Roman" w:hAnsi="Times New Roman" w:eastAsia="FangSong_GB2312" w:cs="Times New Roman"/>
                <w:b w:val="0"/>
                <w:bCs w:val="0"/>
                <w:color w:val="auto"/>
                <w:szCs w:val="21"/>
                <w:lang w:eastAsia="zh-CN"/>
              </w:rPr>
              <w:t>应急分局</w:t>
            </w:r>
            <w:r>
              <w:rPr>
                <w:rFonts w:hint="default" w:ascii="Times New Roman" w:hAnsi="Times New Roman" w:eastAsia="FangSong_GB2312" w:cs="Times New Roman"/>
                <w:b w:val="0"/>
                <w:bCs w:val="0"/>
                <w:color w:val="auto"/>
                <w:szCs w:val="21"/>
              </w:rPr>
              <w:t>、司法分局、</w:t>
            </w:r>
            <w:r>
              <w:rPr>
                <w:rFonts w:hint="eastAsia" w:ascii="Times New Roman" w:hAnsi="Times New Roman" w:eastAsia="FangSong_GB2312" w:cs="Times New Roman"/>
                <w:b w:val="0"/>
                <w:bCs w:val="0"/>
                <w:color w:val="auto"/>
                <w:szCs w:val="21"/>
                <w:lang w:eastAsia="zh-CN"/>
              </w:rPr>
              <w:t>自然资源规划分局</w:t>
            </w:r>
            <w:r>
              <w:rPr>
                <w:rFonts w:hint="default" w:ascii="Times New Roman" w:hAnsi="Times New Roman" w:eastAsia="FangSong_GB2312" w:cs="Times New Roman"/>
                <w:b w:val="0"/>
                <w:bCs w:val="0"/>
                <w:color w:val="auto"/>
                <w:szCs w:val="21"/>
              </w:rPr>
              <w:t>、公安分局、镇（街道）</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（37）全年组织参加现场演练和案例分析2次以上，提升群体上访、安全隐患等应急处突能力。</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应急分局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90"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303" w:type="dxa"/>
            <w:vMerge w:val="continue"/>
            <w:vAlign w:val="center"/>
          </w:tcPr>
          <w:p>
            <w:pPr>
              <w:spacing w:line="360" w:lineRule="exact"/>
              <w:jc w:val="center"/>
              <w:rPr>
                <w:rFonts w:hint="default" w:ascii="Times New Roman" w:hAnsi="Times New Roman" w:eastAsia="FangSong_GB2312" w:cs="Times New Roman"/>
                <w:b w:val="0"/>
                <w:bCs w:val="0"/>
                <w:color w:val="auto"/>
                <w:szCs w:val="21"/>
              </w:rPr>
            </w:pPr>
          </w:p>
        </w:tc>
        <w:tc>
          <w:tcPr>
            <w:tcW w:w="1924" w:type="dxa"/>
            <w:vMerge w:val="continue"/>
            <w:vAlign w:val="center"/>
          </w:tcPr>
          <w:p>
            <w:pPr>
              <w:spacing w:line="300" w:lineRule="exact"/>
              <w:rPr>
                <w:rFonts w:hint="default" w:ascii="Times New Roman" w:hAnsi="Times New Roman" w:eastAsia="FangSong_GB2312" w:cs="Times New Roman"/>
                <w:b w:val="0"/>
                <w:bCs w:val="0"/>
                <w:color w:val="auto"/>
                <w:szCs w:val="21"/>
              </w:rPr>
            </w:pPr>
          </w:p>
        </w:tc>
        <w:tc>
          <w:tcPr>
            <w:tcW w:w="4337" w:type="dxa"/>
            <w:vAlign w:val="center"/>
          </w:tcPr>
          <w:p>
            <w:pPr>
              <w:spacing w:line="300" w:lineRule="exact"/>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（38）选派年轻优秀的干部，通过上派市政务服务和大数据管理局学习进一步提升工作能力，通过下派镇、街道挂职进一步丰富工作经验和指导基层业务工作。</w:t>
            </w:r>
          </w:p>
        </w:tc>
        <w:tc>
          <w:tcPr>
            <w:tcW w:w="3592"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eastAsia" w:ascii="Times New Roman" w:hAnsi="Times New Roman" w:eastAsia="FangSong_GB2312" w:cs="Times New Roman"/>
                <w:b w:val="0"/>
                <w:bCs w:val="0"/>
                <w:color w:val="auto"/>
                <w:szCs w:val="21"/>
                <w:lang w:eastAsia="zh-CN"/>
              </w:rPr>
              <w:t>党群部</w:t>
            </w:r>
            <w:r>
              <w:rPr>
                <w:rFonts w:hint="default" w:ascii="Times New Roman" w:hAnsi="Times New Roman" w:eastAsia="FangSong_GB2312" w:cs="Times New Roman"/>
                <w:b w:val="0"/>
                <w:bCs w:val="0"/>
                <w:color w:val="auto"/>
                <w:szCs w:val="21"/>
                <w:lang w:eastAsia="zh-CN"/>
              </w:rPr>
              <w:t>、</w:t>
            </w:r>
            <w:r>
              <w:rPr>
                <w:rFonts w:hint="default" w:ascii="Times New Roman" w:hAnsi="Times New Roman" w:eastAsia="FangSong_GB2312" w:cs="Times New Roman"/>
                <w:b w:val="0"/>
                <w:bCs w:val="0"/>
                <w:color w:val="auto"/>
                <w:szCs w:val="21"/>
              </w:rPr>
              <w:t>行政审批政务服务局</w:t>
            </w:r>
          </w:p>
        </w:tc>
        <w:tc>
          <w:tcPr>
            <w:tcW w:w="1387" w:type="dxa"/>
            <w:vAlign w:val="center"/>
          </w:tcPr>
          <w:p>
            <w:pPr>
              <w:spacing w:line="360" w:lineRule="exact"/>
              <w:jc w:val="center"/>
              <w:rPr>
                <w:rFonts w:hint="default" w:ascii="Times New Roman" w:hAnsi="Times New Roman" w:eastAsia="FangSong_GB2312" w:cs="Times New Roman"/>
                <w:b w:val="0"/>
                <w:bCs w:val="0"/>
                <w:color w:val="auto"/>
                <w:szCs w:val="21"/>
              </w:rPr>
            </w:pPr>
            <w:r>
              <w:rPr>
                <w:rFonts w:hint="default" w:ascii="Times New Roman" w:hAnsi="Times New Roman" w:eastAsia="FangSong_GB2312" w:cs="Times New Roman"/>
                <w:b w:val="0"/>
                <w:bCs w:val="0"/>
                <w:color w:val="auto"/>
                <w:szCs w:val="21"/>
              </w:rPr>
              <w:t>长期</w:t>
            </w:r>
          </w:p>
        </w:tc>
      </w:tr>
    </w:tbl>
    <w:p>
      <w:pPr>
        <w:pStyle w:val="2"/>
        <w:rPr>
          <w:rFonts w:hint="default" w:ascii="Times New Roman" w:hAnsi="Times New Roman" w:cs="Times New Roman"/>
          <w:b w:val="0"/>
          <w:bCs w:val="0"/>
          <w:color w:val="auto"/>
        </w:rPr>
        <w:sectPr>
          <w:pgSz w:w="16838" w:h="11906" w:orient="landscape"/>
          <w:pgMar w:top="1803" w:right="1440" w:bottom="1803" w:left="1440" w:header="851" w:footer="992" w:gutter="0"/>
          <w:pgNumType w:fmt="decimal"/>
          <w:cols w:space="0" w:num="1"/>
          <w:rtlGutter w:val="0"/>
          <w:docGrid w:type="lines" w:linePitch="319" w:charSpace="0"/>
        </w:sectPr>
      </w:pPr>
    </w:p>
    <w:p>
      <w:pPr>
        <w:pStyle w:val="2"/>
        <w:rPr>
          <w:rFonts w:hint="default" w:ascii="Times New Roman" w:hAnsi="Times New Roman" w:cs="Times New Roman"/>
          <w:b w:val="0"/>
          <w:bCs w:val="0"/>
          <w:color w:val="auto"/>
        </w:rPr>
      </w:pPr>
    </w:p>
    <w:p>
      <w:pPr>
        <w:pStyle w:val="2"/>
        <w:rPr>
          <w:rFonts w:hint="default" w:ascii="Times New Roman" w:hAnsi="Times New Roman" w:cs="Times New Roman"/>
          <w:b w:val="0"/>
          <w:bCs w:val="0"/>
          <w:color w:val="auto"/>
        </w:rPr>
      </w:pPr>
    </w:p>
    <w:p>
      <w:pPr>
        <w:pStyle w:val="2"/>
        <w:rPr>
          <w:rFonts w:hint="default" w:ascii="Times New Roman" w:hAnsi="Times New Roman" w:cs="Times New Roman"/>
          <w:b w:val="0"/>
          <w:bCs w:val="0"/>
          <w:color w:val="auto"/>
        </w:rPr>
      </w:pPr>
    </w:p>
    <w:p>
      <w:pPr>
        <w:bidi w:val="0"/>
        <w:rPr>
          <w:rFonts w:hint="default"/>
          <w:color w:val="auto"/>
        </w:rPr>
      </w:pPr>
    </w:p>
    <w:p>
      <w:pPr>
        <w:bidi w:val="0"/>
        <w:rPr>
          <w:rFonts w:hint="default"/>
          <w:color w:val="auto"/>
        </w:rPr>
      </w:pPr>
    </w:p>
    <w:p>
      <w:pPr>
        <w:bidi w:val="0"/>
        <w:rPr>
          <w:rFonts w:hint="default"/>
          <w:color w:val="auto"/>
        </w:rPr>
      </w:pPr>
    </w:p>
    <w:p>
      <w:pPr>
        <w:bidi w:val="0"/>
        <w:rPr>
          <w:rFonts w:hint="default"/>
          <w:color w:val="auto"/>
        </w:rPr>
      </w:pPr>
    </w:p>
    <w:p>
      <w:pPr>
        <w:bidi w:val="0"/>
        <w:jc w:val="both"/>
        <w:rPr>
          <w:rFonts w:hint="default"/>
          <w:color w:val="auto"/>
        </w:rPr>
      </w:pPr>
    </w:p>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71659"/>
    <w:rsid w:val="3907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color w:val="000000"/>
      <w:kern w:val="0"/>
      <w:sz w:val="24"/>
    </w:r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font41"/>
    <w:basedOn w:val="5"/>
    <w:qFormat/>
    <w:uiPriority w:val="0"/>
    <w:rPr>
      <w:rFonts w:hint="eastAsia" w:ascii="FangSong_GB2312" w:eastAsia="FangSong_GB2312" w:cs="FangSong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2021-04-30T02:25:00Z</dcterms:created>
  <dc:creator>物流港目督室</dc:creator>
  <cp:lastModifiedBy>物流港目督室</cp:lastModifiedBy>
  <dcterms:modified xsi:type="dcterms:W3CDTF">2021-04-30T02:25:27Z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F818C2A7B5674640864C0DCEBD7F5239</vt:lpwstr>
  </property>
</Properties>
</file>