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遂宁高新区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年债务管理情况及202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年申报计划情况的说明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黑体" w:cs="Times New Roman"/>
          <w:sz w:val="32"/>
          <w:szCs w:val="32"/>
        </w:rPr>
        <w:t>年政府债务基本情况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（一）债务余额和限额情况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高新区政府债务限额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27.45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亿元，政府债务余额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25.62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亿元。债务余额控制在省政府核定的债务限额内，债务风险总体可控。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（二）新增债券资金到位和安排情况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年，高新区新增政府债券资金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8.39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亿元，其中：新增一般债券资金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亿元，用于保升镇幼儿园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S207高新段建设工程建设项目。新增专项债券资金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亿元，用于高新智能制造产业园基础设施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雁栖湖城市基础设施建设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工业污水处理厂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凉水井棚户区改造工程（四期）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物流港北部棚改一期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政府债务还本付息情况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1.还本情况。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年高新区通过财政预算安排偿还到期债务本金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30140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万元，其中：一般债券还本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18665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万元，专项债券还本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11475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2.付息情况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年高新区通过预算安排偿还到期债务利息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8105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万元，其中：一般债券付息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3817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万元，专项债券付息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4288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黑体" w:cs="Times New Roman"/>
          <w:sz w:val="32"/>
          <w:szCs w:val="32"/>
        </w:rPr>
        <w:t>年政府债务管理工作情况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加强组织领导。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高新区管委会设立政府性债务管理领导小组，负责领导本地区政府性债务日常管理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，领导小组下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办公室于财政金融局，具体负责园区债务的管理和指导工作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（二）规范举债行为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政府及其部门唯一举债途径为发行政府债券。我区在市政府下达限额内，申请地方政府债券，并将举借债务结构、使用、偿还等情况向市财政局和市人大常委会报告。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（三）及时化解债务。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按政府债务管理有关政策规定，将政府债务的举借、使用、偿还分类纳入预算收支管理。同时，园区加大土地出让力度，增加财政收入，做好债务预警机制，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确保债务风险能够早发现、早报告、早处置。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年政府债券申报和到位工作情况</w:t>
      </w:r>
    </w:p>
    <w:p>
      <w:pPr>
        <w:pStyle w:val="4"/>
        <w:keepNext w:val="0"/>
        <w:keepLines w:val="0"/>
        <w:widowControl/>
        <w:suppressLineNumbers w:val="0"/>
        <w:spacing w:line="580" w:lineRule="auto"/>
        <w:ind w:left="0" w:firstLine="612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按照上级对新增地方政府债券和再融资债券需求的申报要求，我园区 2021年拟申报新增债券项目9个，新增债券资金总需求7.34亿元。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截至目前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，已取得债券资金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亿元。2021年全年债券资金额度以财政厅实际审核下达额度为准。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154" w:right="1474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-12.5pt;height:23.5pt;width:48.9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CB96326"/>
    <w:rsid w:val="001963ED"/>
    <w:rsid w:val="002E130C"/>
    <w:rsid w:val="00B85F88"/>
    <w:rsid w:val="00BC13AB"/>
    <w:rsid w:val="00D2762E"/>
    <w:rsid w:val="00FB7C64"/>
    <w:rsid w:val="0FC138E5"/>
    <w:rsid w:val="1B596966"/>
    <w:rsid w:val="231A0044"/>
    <w:rsid w:val="247D69A8"/>
    <w:rsid w:val="279357F7"/>
    <w:rsid w:val="355353A7"/>
    <w:rsid w:val="39595C59"/>
    <w:rsid w:val="4C031182"/>
    <w:rsid w:val="4E1A739A"/>
    <w:rsid w:val="59DF5893"/>
    <w:rsid w:val="5A2A6B3D"/>
    <w:rsid w:val="5BA85AA3"/>
    <w:rsid w:val="65A44BC4"/>
    <w:rsid w:val="65AA71C7"/>
    <w:rsid w:val="690F0CE9"/>
    <w:rsid w:val="6AA5238E"/>
    <w:rsid w:val="6CB96326"/>
    <w:rsid w:val="6E7569FC"/>
    <w:rsid w:val="7F10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</Words>
  <Characters>795</Characters>
  <Lines>6</Lines>
  <Paragraphs>1</Paragraphs>
  <TotalTime>27</TotalTime>
  <ScaleCrop>false</ScaleCrop>
  <LinksUpToDate>false</LinksUpToDate>
  <CharactersWithSpaces>933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2019-03-15T01:57:00Z</dcterms:created>
  <dc:creator>Administrator</dc:creator>
  <cp:lastModifiedBy>HUAWEI</cp:lastModifiedBy>
  <cp:lastPrinted>2020-06-10T09:24:00Z</cp:lastPrinted>
  <dcterms:modified xsi:type="dcterms:W3CDTF">2022-03-10T01:38:03Z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3B06CFA2D9D844559BDFFC0C6418F3C8</vt:lpwstr>
  </property>
</Properties>
</file>