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40"/>
          <w:tab w:val="left" w:pos="2160"/>
          <w:tab w:val="left" w:pos="2340"/>
        </w:tabs>
        <w:jc w:val="both"/>
        <w:rPr>
          <w:rFonts w:hint="eastAsia" w:ascii="Arial" w:hAnsi="Arial" w:eastAsia="楷体" w:cs="Arial"/>
          <w:b/>
          <w:sz w:val="36"/>
          <w:highlight w:val="none"/>
        </w:rPr>
      </w:pPr>
    </w:p>
    <w:p>
      <w:pPr>
        <w:tabs>
          <w:tab w:val="left" w:pos="2818"/>
        </w:tabs>
        <w:spacing w:line="360" w:lineRule="auto"/>
        <w:rPr>
          <w:rFonts w:hint="eastAsia" w:ascii="Arial" w:hAnsi="Arial" w:eastAsia="楷体" w:cs="Arial"/>
          <w:b/>
          <w:sz w:val="36"/>
          <w:highlight w:val="none"/>
        </w:rPr>
      </w:pPr>
    </w:p>
    <w:p>
      <w:pPr>
        <w:snapToGrid w:val="0"/>
        <w:spacing w:line="400" w:lineRule="atLeast"/>
        <w:jc w:val="center"/>
        <w:rPr>
          <w:sz w:val="52"/>
          <w:szCs w:val="40"/>
          <w:highlight w:val="none"/>
        </w:rPr>
      </w:pPr>
      <w:r>
        <w:rPr>
          <w:rFonts w:hint="eastAsia" w:ascii="方正小标宋简体" w:hAnsi="方正小标宋简体" w:eastAsia="方正小标宋简体" w:cs="方正小标宋简体"/>
          <w:b w:val="0"/>
          <w:bCs/>
          <w:color w:val="auto"/>
          <w:sz w:val="72"/>
          <w:szCs w:val="72"/>
          <w:highlight w:val="none"/>
          <w:lang w:val="en-US" w:eastAsia="zh-CN"/>
        </w:rPr>
        <w:t>遂宁天一投资集团有限公司</w:t>
      </w:r>
    </w:p>
    <w:p>
      <w:pPr>
        <w:snapToGrid w:val="0"/>
        <w:spacing w:line="360" w:lineRule="auto"/>
        <w:jc w:val="center"/>
        <w:rPr>
          <w:rFonts w:hint="eastAsia" w:ascii="方正小标宋简体" w:hAnsi="方正小标宋简体" w:eastAsia="方正小标宋简体" w:cs="方正小标宋简体"/>
          <w:b/>
          <w:sz w:val="48"/>
          <w:szCs w:val="48"/>
          <w:highlight w:val="none"/>
        </w:rPr>
      </w:pPr>
      <w:r>
        <w:rPr>
          <w:rFonts w:hint="eastAsia" w:ascii="方正小标宋简体" w:hAnsi="方正小标宋简体" w:eastAsia="方正小标宋简体" w:cs="方正小标宋简体"/>
          <w:b/>
          <w:bCs/>
          <w:sz w:val="48"/>
          <w:szCs w:val="48"/>
          <w:highlight w:val="none"/>
          <w:lang w:val="en-US" w:eastAsia="zh-CN"/>
        </w:rPr>
        <w:t>高新区光电产业园</w:t>
      </w:r>
      <w:r>
        <w:rPr>
          <w:rFonts w:hint="eastAsia" w:ascii="方正小标宋简体" w:hAnsi="方正小标宋简体" w:eastAsia="方正小标宋简体" w:cs="方正小标宋简体"/>
          <w:b/>
          <w:sz w:val="48"/>
          <w:szCs w:val="48"/>
          <w:highlight w:val="none"/>
        </w:rPr>
        <w:t>消防维保服务</w:t>
      </w:r>
    </w:p>
    <w:p>
      <w:pPr>
        <w:snapToGrid w:val="0"/>
        <w:spacing w:line="400" w:lineRule="atLeast"/>
        <w:jc w:val="center"/>
        <w:rPr>
          <w:sz w:val="40"/>
          <w:szCs w:val="28"/>
          <w:highlight w:val="none"/>
        </w:rPr>
      </w:pPr>
    </w:p>
    <w:p>
      <w:pPr>
        <w:snapToGrid w:val="0"/>
        <w:spacing w:line="400" w:lineRule="atLeast"/>
        <w:jc w:val="center"/>
        <w:rPr>
          <w:rFonts w:hint="eastAsia" w:ascii="方正小标宋简体" w:hAnsi="方正小标宋简体" w:eastAsia="方正小标宋简体" w:cs="方正小标宋简体"/>
          <w:b/>
          <w:sz w:val="48"/>
          <w:szCs w:val="48"/>
          <w:highlight w:val="none"/>
          <w:lang w:eastAsia="zh-CN"/>
        </w:rPr>
      </w:pPr>
      <w:r>
        <w:rPr>
          <w:rFonts w:hint="eastAsia" w:ascii="方正小标宋简体" w:hAnsi="方正小标宋简体" w:eastAsia="方正小标宋简体" w:cs="方正小标宋简体"/>
          <w:b/>
          <w:sz w:val="48"/>
          <w:szCs w:val="48"/>
          <w:highlight w:val="none"/>
          <w:lang w:eastAsia="zh-CN"/>
        </w:rPr>
        <w:t>竞</w:t>
      </w:r>
    </w:p>
    <w:p>
      <w:pPr>
        <w:snapToGrid w:val="0"/>
        <w:spacing w:line="400" w:lineRule="atLeast"/>
        <w:jc w:val="center"/>
        <w:rPr>
          <w:rFonts w:hint="eastAsia" w:ascii="方正小标宋简体" w:hAnsi="方正小标宋简体" w:eastAsia="方正小标宋简体" w:cs="方正小标宋简体"/>
          <w:b/>
          <w:sz w:val="48"/>
          <w:szCs w:val="48"/>
          <w:highlight w:val="none"/>
          <w:lang w:eastAsia="zh-CN"/>
        </w:rPr>
      </w:pPr>
      <w:r>
        <w:rPr>
          <w:rFonts w:hint="eastAsia" w:ascii="方正小标宋简体" w:hAnsi="方正小标宋简体" w:eastAsia="方正小标宋简体" w:cs="方正小标宋简体"/>
          <w:b/>
          <w:sz w:val="48"/>
          <w:szCs w:val="48"/>
          <w:highlight w:val="none"/>
          <w:lang w:eastAsia="zh-CN"/>
        </w:rPr>
        <w:t>争</w:t>
      </w:r>
    </w:p>
    <w:p>
      <w:pPr>
        <w:snapToGrid w:val="0"/>
        <w:spacing w:line="400" w:lineRule="atLeast"/>
        <w:jc w:val="center"/>
        <w:rPr>
          <w:rFonts w:hint="eastAsia" w:ascii="方正小标宋简体" w:hAnsi="方正小标宋简体" w:eastAsia="方正小标宋简体" w:cs="方正小标宋简体"/>
          <w:b/>
          <w:sz w:val="48"/>
          <w:szCs w:val="48"/>
          <w:highlight w:val="none"/>
          <w:lang w:eastAsia="zh-CN"/>
        </w:rPr>
      </w:pPr>
      <w:r>
        <w:rPr>
          <w:rFonts w:hint="eastAsia" w:ascii="方正小标宋简体" w:hAnsi="方正小标宋简体" w:eastAsia="方正小标宋简体" w:cs="方正小标宋简体"/>
          <w:b/>
          <w:sz w:val="48"/>
          <w:szCs w:val="48"/>
          <w:highlight w:val="none"/>
          <w:lang w:eastAsia="zh-CN"/>
        </w:rPr>
        <w:t>性</w:t>
      </w:r>
    </w:p>
    <w:p>
      <w:pPr>
        <w:snapToGrid w:val="0"/>
        <w:spacing w:line="400" w:lineRule="atLeast"/>
        <w:jc w:val="center"/>
        <w:rPr>
          <w:rFonts w:hint="eastAsia" w:ascii="方正小标宋简体" w:hAnsi="方正小标宋简体" w:eastAsia="方正小标宋简体" w:cs="方正小标宋简体"/>
          <w:b/>
          <w:sz w:val="48"/>
          <w:szCs w:val="48"/>
          <w:highlight w:val="none"/>
          <w:lang w:eastAsia="zh-CN"/>
        </w:rPr>
      </w:pPr>
      <w:r>
        <w:rPr>
          <w:rFonts w:hint="eastAsia" w:ascii="方正小标宋简体" w:hAnsi="方正小标宋简体" w:eastAsia="方正小标宋简体" w:cs="方正小标宋简体"/>
          <w:b/>
          <w:sz w:val="48"/>
          <w:szCs w:val="48"/>
          <w:highlight w:val="none"/>
          <w:lang w:eastAsia="zh-CN"/>
        </w:rPr>
        <w:t>磋</w:t>
      </w:r>
    </w:p>
    <w:p>
      <w:pPr>
        <w:snapToGrid w:val="0"/>
        <w:spacing w:line="400" w:lineRule="atLeast"/>
        <w:jc w:val="center"/>
        <w:rPr>
          <w:rFonts w:hint="eastAsia" w:ascii="方正小标宋简体" w:hAnsi="方正小标宋简体" w:eastAsia="方正小标宋简体" w:cs="方正小标宋简体"/>
          <w:b/>
          <w:sz w:val="48"/>
          <w:szCs w:val="48"/>
          <w:highlight w:val="none"/>
          <w:lang w:eastAsia="zh-CN"/>
        </w:rPr>
      </w:pPr>
      <w:r>
        <w:rPr>
          <w:rFonts w:hint="eastAsia" w:ascii="方正小标宋简体" w:hAnsi="方正小标宋简体" w:eastAsia="方正小标宋简体" w:cs="方正小标宋简体"/>
          <w:b/>
          <w:sz w:val="48"/>
          <w:szCs w:val="48"/>
          <w:highlight w:val="none"/>
          <w:lang w:eastAsia="zh-CN"/>
        </w:rPr>
        <w:t>商</w:t>
      </w:r>
    </w:p>
    <w:p>
      <w:pPr>
        <w:snapToGrid w:val="0"/>
        <w:spacing w:line="400" w:lineRule="atLeast"/>
        <w:jc w:val="center"/>
        <w:rPr>
          <w:rFonts w:hint="eastAsia" w:ascii="方正小标宋简体" w:hAnsi="方正小标宋简体" w:eastAsia="方正小标宋简体" w:cs="方正小标宋简体"/>
          <w:b/>
          <w:sz w:val="48"/>
          <w:szCs w:val="48"/>
          <w:highlight w:val="none"/>
          <w:lang w:eastAsia="zh-CN"/>
        </w:rPr>
      </w:pPr>
      <w:r>
        <w:rPr>
          <w:rFonts w:hint="eastAsia" w:ascii="方正小标宋简体" w:hAnsi="方正小标宋简体" w:eastAsia="方正小标宋简体" w:cs="方正小标宋简体"/>
          <w:b/>
          <w:sz w:val="48"/>
          <w:szCs w:val="48"/>
          <w:highlight w:val="none"/>
          <w:lang w:eastAsia="zh-CN"/>
        </w:rPr>
        <w:t>文</w:t>
      </w:r>
    </w:p>
    <w:p>
      <w:pPr>
        <w:snapToGrid w:val="0"/>
        <w:spacing w:line="400" w:lineRule="atLeast"/>
        <w:jc w:val="center"/>
        <w:rPr>
          <w:rFonts w:hint="eastAsia" w:ascii="方正小标宋简体" w:hAnsi="方正小标宋简体" w:eastAsia="方正小标宋简体" w:cs="方正小标宋简体"/>
          <w:b/>
          <w:sz w:val="48"/>
          <w:szCs w:val="48"/>
          <w:highlight w:val="none"/>
          <w:lang w:eastAsia="zh-CN"/>
        </w:rPr>
      </w:pPr>
      <w:r>
        <w:rPr>
          <w:rFonts w:hint="eastAsia" w:ascii="方正小标宋简体" w:hAnsi="方正小标宋简体" w:eastAsia="方正小标宋简体" w:cs="方正小标宋简体"/>
          <w:b/>
          <w:sz w:val="48"/>
          <w:szCs w:val="48"/>
          <w:highlight w:val="none"/>
          <w:lang w:eastAsia="zh-CN"/>
        </w:rPr>
        <w:t>件</w:t>
      </w:r>
    </w:p>
    <w:p>
      <w:pPr>
        <w:snapToGrid w:val="0"/>
        <w:spacing w:line="400" w:lineRule="atLeast"/>
        <w:jc w:val="center"/>
        <w:rPr>
          <w:rFonts w:ascii="宋体" w:hAnsi="宋体"/>
          <w:b/>
          <w:sz w:val="32"/>
          <w:szCs w:val="32"/>
          <w:highlight w:val="none"/>
        </w:rPr>
      </w:pPr>
    </w:p>
    <w:p>
      <w:pPr>
        <w:snapToGrid w:val="0"/>
        <w:spacing w:line="400" w:lineRule="atLeast"/>
        <w:jc w:val="center"/>
        <w:rPr>
          <w:rFonts w:ascii="宋体" w:hAnsi="宋体"/>
          <w:b/>
          <w:sz w:val="32"/>
          <w:szCs w:val="32"/>
          <w:highlight w:val="none"/>
        </w:rPr>
      </w:pPr>
    </w:p>
    <w:p>
      <w:pPr>
        <w:snapToGrid w:val="0"/>
        <w:spacing w:line="400" w:lineRule="atLeast"/>
        <w:jc w:val="center"/>
        <w:rPr>
          <w:rFonts w:ascii="宋体" w:hAnsi="宋体"/>
          <w:b/>
          <w:sz w:val="32"/>
          <w:szCs w:val="32"/>
          <w:highlight w:val="none"/>
        </w:rPr>
      </w:pPr>
    </w:p>
    <w:p>
      <w:pPr>
        <w:snapToGrid w:val="0"/>
        <w:spacing w:line="400" w:lineRule="atLeast"/>
        <w:jc w:val="center"/>
        <w:rPr>
          <w:rFonts w:ascii="宋体" w:hAnsi="宋体"/>
          <w:b/>
          <w:sz w:val="32"/>
          <w:szCs w:val="32"/>
          <w:highlight w:val="none"/>
        </w:rPr>
      </w:pPr>
    </w:p>
    <w:p>
      <w:pPr>
        <w:snapToGrid w:val="0"/>
        <w:spacing w:line="400" w:lineRule="atLeast"/>
        <w:jc w:val="center"/>
        <w:rPr>
          <w:rFonts w:hint="eastAsia" w:ascii="方正小标宋简体" w:hAnsi="方正小标宋简体" w:eastAsia="方正小标宋简体" w:cs="方正小标宋简体"/>
          <w:b w:val="0"/>
          <w:bCs/>
          <w:color w:val="auto"/>
          <w:sz w:val="32"/>
          <w:szCs w:val="32"/>
          <w:highlight w:val="none"/>
          <w:lang w:val="en-US" w:eastAsia="zh-CN"/>
        </w:rPr>
      </w:pPr>
      <w:r>
        <w:rPr>
          <w:rFonts w:hint="eastAsia" w:ascii="方正小标宋简体" w:hAnsi="方正小标宋简体" w:eastAsia="方正小标宋简体" w:cs="方正小标宋简体"/>
          <w:bCs/>
          <w:color w:val="auto"/>
          <w:sz w:val="32"/>
          <w:szCs w:val="32"/>
          <w:highlight w:val="none"/>
        </w:rPr>
        <w:t>采购人：</w:t>
      </w:r>
      <w:r>
        <w:rPr>
          <w:rFonts w:hint="eastAsia" w:ascii="方正小标宋简体" w:hAnsi="方正小标宋简体" w:eastAsia="方正小标宋简体" w:cs="方正小标宋简体"/>
          <w:b w:val="0"/>
          <w:bCs/>
          <w:color w:val="auto"/>
          <w:sz w:val="32"/>
          <w:szCs w:val="32"/>
          <w:highlight w:val="none"/>
          <w:lang w:val="en-US" w:eastAsia="zh-CN"/>
        </w:rPr>
        <w:t>遂宁天一投资集团有限公司</w:t>
      </w:r>
    </w:p>
    <w:p>
      <w:pPr>
        <w:snapToGrid w:val="0"/>
        <w:spacing w:line="400" w:lineRule="atLeast"/>
        <w:jc w:val="center"/>
        <w:rPr>
          <w:rFonts w:hint="eastAsia" w:ascii="方正小标宋简体" w:hAnsi="方正小标宋简体" w:eastAsia="方正小标宋简体" w:cs="方正小标宋简体"/>
          <w:b w:val="0"/>
          <w:bCs/>
          <w:color w:val="auto"/>
          <w:sz w:val="32"/>
          <w:szCs w:val="32"/>
          <w:highlight w:val="none"/>
          <w:lang w:val="en-US" w:eastAsia="zh-CN"/>
        </w:rPr>
      </w:pPr>
    </w:p>
    <w:p>
      <w:pPr>
        <w:snapToGrid w:val="0"/>
        <w:spacing w:line="400" w:lineRule="atLeast"/>
        <w:jc w:val="center"/>
        <w:rPr>
          <w:rFonts w:hint="default" w:ascii="方正小标宋简体" w:hAnsi="方正小标宋简体" w:eastAsia="方正小标宋简体" w:cs="方正小标宋简体"/>
          <w:b w:val="0"/>
          <w:bCs/>
          <w:color w:val="auto"/>
          <w:sz w:val="32"/>
          <w:szCs w:val="32"/>
          <w:highlight w:val="none"/>
          <w:lang w:val="en-US" w:eastAsia="zh-CN"/>
        </w:rPr>
      </w:pPr>
      <w:r>
        <w:rPr>
          <w:rFonts w:hint="eastAsia" w:ascii="方正小标宋简体" w:hAnsi="方正小标宋简体" w:eastAsia="方正小标宋简体" w:cs="方正小标宋简体"/>
          <w:b w:val="0"/>
          <w:bCs/>
          <w:color w:val="auto"/>
          <w:sz w:val="32"/>
          <w:szCs w:val="32"/>
          <w:highlight w:val="none"/>
          <w:lang w:val="en-US" w:eastAsia="zh-CN"/>
        </w:rPr>
        <w:t>时间：2022年3月4日</w:t>
      </w:r>
    </w:p>
    <w:p>
      <w:pPr>
        <w:tabs>
          <w:tab w:val="left" w:pos="1440"/>
          <w:tab w:val="left" w:pos="2160"/>
          <w:tab w:val="left" w:pos="2340"/>
        </w:tabs>
        <w:rPr>
          <w:highlight w:val="none"/>
        </w:rPr>
      </w:pPr>
    </w:p>
    <w:p>
      <w:pPr>
        <w:tabs>
          <w:tab w:val="left" w:pos="1440"/>
          <w:tab w:val="left" w:pos="2160"/>
          <w:tab w:val="left" w:pos="2340"/>
        </w:tabs>
        <w:rPr>
          <w:highlight w:val="none"/>
        </w:rPr>
      </w:pPr>
    </w:p>
    <w:p>
      <w:pPr>
        <w:tabs>
          <w:tab w:val="left" w:pos="1440"/>
          <w:tab w:val="left" w:pos="2160"/>
          <w:tab w:val="left" w:pos="2340"/>
        </w:tabs>
        <w:ind w:firstLine="1957" w:firstLineChars="932"/>
        <w:rPr>
          <w:highlight w:val="none"/>
        </w:rPr>
        <w:sectPr>
          <w:footerReference r:id="rId3" w:type="default"/>
          <w:pgSz w:w="11906" w:h="16838"/>
          <w:pgMar w:top="1701" w:right="1400" w:bottom="1701" w:left="1400" w:header="851" w:footer="567" w:gutter="0"/>
          <w:cols w:space="720" w:num="1"/>
          <w:docGrid w:type="lines" w:linePitch="312" w:charSpace="0"/>
        </w:sectPr>
      </w:pPr>
    </w:p>
    <w:p>
      <w:pPr>
        <w:tabs>
          <w:tab w:val="left" w:pos="1440"/>
          <w:tab w:val="left" w:pos="2160"/>
          <w:tab w:val="left" w:pos="2340"/>
        </w:tabs>
        <w:ind w:firstLine="1957" w:firstLineChars="932"/>
        <w:rPr>
          <w:highlight w:val="none"/>
        </w:rPr>
      </w:pPr>
    </w:p>
    <w:p>
      <w:pPr>
        <w:tabs>
          <w:tab w:val="left" w:pos="1440"/>
          <w:tab w:val="left" w:pos="2160"/>
          <w:tab w:val="left" w:pos="2340"/>
        </w:tabs>
        <w:jc w:val="center"/>
        <w:rPr>
          <w:b/>
          <w:bCs/>
          <w:sz w:val="24"/>
          <w:highlight w:val="none"/>
        </w:rPr>
      </w:pPr>
      <w:r>
        <w:rPr>
          <w:rFonts w:hint="eastAsia" w:ascii="方正小标宋简体" w:hAnsi="方正小标宋简体" w:eastAsia="方正小标宋简体" w:cs="方正小标宋简体"/>
          <w:b/>
          <w:sz w:val="44"/>
          <w:szCs w:val="44"/>
          <w:highlight w:val="none"/>
          <w:lang w:val="zh-CN"/>
        </w:rPr>
        <w:t>目</w:t>
      </w:r>
      <w:r>
        <w:rPr>
          <w:rFonts w:hint="eastAsia" w:ascii="方正小标宋简体" w:hAnsi="方正小标宋简体" w:eastAsia="方正小标宋简体" w:cs="方正小标宋简体"/>
          <w:b/>
          <w:sz w:val="44"/>
          <w:szCs w:val="44"/>
          <w:highlight w:val="none"/>
          <w:lang w:val="en-US" w:eastAsia="zh-CN"/>
        </w:rPr>
        <w:t xml:space="preserve">  </w:t>
      </w:r>
      <w:r>
        <w:rPr>
          <w:rFonts w:hint="eastAsia" w:ascii="方正小标宋简体" w:hAnsi="方正小标宋简体" w:eastAsia="方正小标宋简体" w:cs="方正小标宋简体"/>
          <w:b/>
          <w:sz w:val="44"/>
          <w:szCs w:val="44"/>
          <w:highlight w:val="none"/>
          <w:lang w:val="zh-CN"/>
        </w:rPr>
        <w:t>录</w:t>
      </w:r>
    </w:p>
    <w:p>
      <w:pPr>
        <w:spacing w:line="360" w:lineRule="auto"/>
        <w:jc w:val="center"/>
        <w:rPr>
          <w:rFonts w:ascii="Arial" w:hAnsi="Arial" w:cs="Arial"/>
          <w:b/>
          <w:sz w:val="52"/>
          <w:highlight w:val="none"/>
          <w:lang w:val="en-AU"/>
        </w:rPr>
      </w:pPr>
    </w:p>
    <w:p>
      <w:pPr>
        <w:adjustRightInd w:val="0"/>
        <w:snapToGrid w:val="0"/>
        <w:spacing w:line="600" w:lineRule="exact"/>
        <w:jc w:val="both"/>
        <w:rPr>
          <w:rFonts w:hint="eastAsia" w:ascii="方正小标宋简体" w:hAnsi="方正小标宋简体" w:eastAsia="方正小标宋简体" w:cs="方正小标宋简体"/>
          <w:b/>
          <w:sz w:val="44"/>
          <w:szCs w:val="44"/>
          <w:highlight w:val="none"/>
        </w:rPr>
      </w:pPr>
    </w:p>
    <w:p>
      <w:pPr>
        <w:pStyle w:val="25"/>
        <w:spacing w:line="600" w:lineRule="exact"/>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一、消防系统维保服务</w:t>
      </w:r>
      <w:r>
        <w:rPr>
          <w:rFonts w:hint="eastAsia" w:ascii="仿宋_GB2312" w:hAnsi="仿宋_GB2312" w:eastAsia="仿宋_GB2312" w:cs="仿宋_GB2312"/>
          <w:sz w:val="32"/>
          <w:szCs w:val="32"/>
          <w:highlight w:val="none"/>
          <w:lang w:eastAsia="zh-CN"/>
        </w:rPr>
        <w:t>竞争性磋商邀请</w:t>
      </w:r>
    </w:p>
    <w:p>
      <w:pPr>
        <w:pStyle w:val="25"/>
        <w:spacing w:line="600" w:lineRule="exact"/>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sz w:val="32"/>
          <w:szCs w:val="32"/>
          <w:highlight w:val="none"/>
        </w:rPr>
        <w:t>二、</w:t>
      </w:r>
      <w:r>
        <w:rPr>
          <w:rFonts w:hint="eastAsia" w:ascii="仿宋_GB2312" w:hAnsi="仿宋_GB2312" w:eastAsia="仿宋_GB2312" w:cs="仿宋_GB2312"/>
          <w:sz w:val="32"/>
          <w:szCs w:val="32"/>
          <w:highlight w:val="none"/>
        </w:rPr>
        <w:t>消防系统维保服务招标说明书</w:t>
      </w:r>
    </w:p>
    <w:p>
      <w:pPr>
        <w:pStyle w:val="25"/>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sz w:val="32"/>
          <w:szCs w:val="32"/>
          <w:highlight w:val="none"/>
        </w:rPr>
        <w:t>三、</w:t>
      </w:r>
      <w:r>
        <w:rPr>
          <w:rFonts w:hint="eastAsia" w:ascii="仿宋_GB2312" w:hAnsi="仿宋_GB2312" w:eastAsia="仿宋_GB2312" w:cs="仿宋_GB2312"/>
          <w:sz w:val="32"/>
          <w:szCs w:val="32"/>
          <w:highlight w:val="none"/>
          <w:lang w:eastAsia="zh-CN"/>
        </w:rPr>
        <w:t>项目</w:t>
      </w:r>
      <w:r>
        <w:rPr>
          <w:rFonts w:hint="eastAsia" w:ascii="仿宋_GB2312" w:hAnsi="仿宋_GB2312" w:eastAsia="仿宋_GB2312" w:cs="仿宋_GB2312"/>
          <w:sz w:val="32"/>
          <w:szCs w:val="32"/>
          <w:highlight w:val="none"/>
        </w:rPr>
        <w:t>概况及消防系统维保概论</w:t>
      </w:r>
    </w:p>
    <w:p>
      <w:pPr>
        <w:pStyle w:val="25"/>
        <w:spacing w:line="600" w:lineRule="exact"/>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四、消防系统维保服务日常内容和要求</w:t>
      </w:r>
    </w:p>
    <w:p>
      <w:pPr>
        <w:pStyle w:val="25"/>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五、消防系统维保服务工作要求和标准</w:t>
      </w:r>
    </w:p>
    <w:p>
      <w:pPr>
        <w:pStyle w:val="25"/>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六、消防系统维保服务投标书的内容和要求</w:t>
      </w:r>
    </w:p>
    <w:p>
      <w:pPr>
        <w:pStyle w:val="25"/>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七、消防系统维保服务投标声明书</w:t>
      </w:r>
    </w:p>
    <w:p>
      <w:pPr>
        <w:pStyle w:val="25"/>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八、投标书预算格式样本及说明</w:t>
      </w:r>
    </w:p>
    <w:p>
      <w:pPr>
        <w:pStyle w:val="25"/>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九、消防系统维保服务考核办法</w:t>
      </w:r>
    </w:p>
    <w:p>
      <w:pPr>
        <w:rPr>
          <w:rFonts w:hint="eastAsia" w:ascii="仿宋_GB2312" w:hAnsi="仿宋_GB2312" w:eastAsia="仿宋_GB2312" w:cs="仿宋_GB2312"/>
          <w:sz w:val="32"/>
          <w:szCs w:val="32"/>
          <w:highlight w:val="none"/>
        </w:rPr>
      </w:pPr>
    </w:p>
    <w:p>
      <w:pPr>
        <w:rPr>
          <w:highlight w:val="none"/>
        </w:rPr>
      </w:pPr>
    </w:p>
    <w:p>
      <w:pPr>
        <w:rPr>
          <w:highlight w:val="none"/>
        </w:rPr>
      </w:pPr>
    </w:p>
    <w:p>
      <w:pPr>
        <w:jc w:val="left"/>
        <w:rPr>
          <w:rFonts w:hint="eastAsia"/>
          <w:highlight w:val="none"/>
        </w:rPr>
      </w:pPr>
    </w:p>
    <w:p>
      <w:pPr>
        <w:pStyle w:val="22"/>
        <w:rPr>
          <w:rFonts w:hint="default" w:eastAsia="宋体"/>
          <w:highlight w:val="none"/>
          <w:lang w:val="en-US" w:eastAsia="zh-CN"/>
        </w:rPr>
      </w:pPr>
    </w:p>
    <w:p>
      <w:pPr>
        <w:rPr>
          <w:rFonts w:ascii="Arial" w:hAnsi="Arial" w:cs="Arial"/>
          <w:b/>
          <w:sz w:val="28"/>
          <w:szCs w:val="28"/>
          <w:highlight w:val="none"/>
          <w:lang w:val="en-AU"/>
        </w:rPr>
      </w:pPr>
      <w:r>
        <w:rPr>
          <w:rFonts w:ascii="Arial" w:hAnsi="Arial" w:cs="Arial"/>
          <w:b/>
          <w:sz w:val="28"/>
          <w:szCs w:val="28"/>
          <w:highlight w:val="none"/>
          <w:lang w:val="en-AU"/>
        </w:rPr>
        <w:br w:type="page"/>
      </w:r>
      <w:bookmarkStart w:id="6" w:name="_GoBack"/>
      <w:bookmarkEnd w:id="6"/>
    </w:p>
    <w:p>
      <w:pPr>
        <w:spacing w:line="360" w:lineRule="auto"/>
        <w:jc w:val="both"/>
        <w:rPr>
          <w:rFonts w:ascii="Arial" w:hAnsi="Arial" w:cs="Arial"/>
          <w:b/>
          <w:sz w:val="28"/>
          <w:szCs w:val="28"/>
          <w:highlight w:val="none"/>
          <w:lang w:val="en-AU"/>
        </w:rPr>
      </w:pPr>
    </w:p>
    <w:p>
      <w:pPr>
        <w:spacing w:line="360" w:lineRule="auto"/>
        <w:jc w:val="center"/>
        <w:rPr>
          <w:rStyle w:val="30"/>
          <w:rFonts w:hint="eastAsia" w:ascii="方正小标宋简体" w:hAnsi="方正小标宋简体" w:eastAsia="方正小标宋简体" w:cs="方正小标宋简体"/>
          <w:b/>
          <w:color w:val="auto"/>
          <w:sz w:val="44"/>
          <w:szCs w:val="44"/>
          <w:highlight w:val="none"/>
          <w:u w:val="none"/>
        </w:rPr>
      </w:pPr>
      <w:r>
        <w:rPr>
          <w:rStyle w:val="30"/>
          <w:rFonts w:hint="eastAsia" w:ascii="方正小标宋简体" w:hAnsi="方正小标宋简体" w:eastAsia="方正小标宋简体" w:cs="方正小标宋简体"/>
          <w:b/>
          <w:color w:val="auto"/>
          <w:sz w:val="44"/>
          <w:szCs w:val="44"/>
          <w:highlight w:val="none"/>
          <w:u w:val="none"/>
          <w:lang w:val="en-AU"/>
        </w:rPr>
        <w:t xml:space="preserve"> </w:t>
      </w:r>
      <w:r>
        <w:rPr>
          <w:rStyle w:val="30"/>
          <w:rFonts w:hint="eastAsia" w:ascii="方正小标宋简体" w:hAnsi="方正小标宋简体" w:eastAsia="方正小标宋简体" w:cs="方正小标宋简体"/>
          <w:b/>
          <w:color w:val="auto"/>
          <w:sz w:val="44"/>
          <w:szCs w:val="44"/>
          <w:highlight w:val="none"/>
          <w:u w:val="none"/>
          <w:lang w:val="en-US" w:eastAsia="zh-CN"/>
        </w:rPr>
        <w:t>高新区光电产业园消防维保服务</w:t>
      </w:r>
      <w:r>
        <w:rPr>
          <w:rStyle w:val="30"/>
          <w:rFonts w:hint="eastAsia" w:ascii="方正小标宋简体" w:hAnsi="方正小标宋简体" w:eastAsia="方正小标宋简体" w:cs="方正小标宋简体"/>
          <w:b/>
          <w:color w:val="auto"/>
          <w:sz w:val="44"/>
          <w:szCs w:val="44"/>
          <w:highlight w:val="none"/>
          <w:u w:val="none"/>
        </w:rPr>
        <w:t>项目</w:t>
      </w:r>
    </w:p>
    <w:p>
      <w:pPr>
        <w:pStyle w:val="25"/>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textAlignment w:val="auto"/>
        <w:rPr>
          <w:rStyle w:val="30"/>
          <w:rFonts w:hint="eastAsia" w:ascii="方正小标宋简体" w:hAnsi="方正小标宋简体" w:eastAsia="方正小标宋简体" w:cs="方正小标宋简体"/>
          <w:color w:val="auto"/>
          <w:sz w:val="44"/>
          <w:szCs w:val="44"/>
          <w:highlight w:val="none"/>
          <w:u w:val="none"/>
        </w:rPr>
      </w:pPr>
      <w:r>
        <w:rPr>
          <w:rStyle w:val="30"/>
          <w:rFonts w:hint="eastAsia" w:ascii="方正小标宋简体" w:hAnsi="方正小标宋简体" w:eastAsia="方正小标宋简体" w:cs="方正小标宋简体"/>
          <w:color w:val="auto"/>
          <w:sz w:val="44"/>
          <w:szCs w:val="44"/>
          <w:highlight w:val="none"/>
          <w:u w:val="none"/>
        </w:rPr>
        <w:t>消防维保服务</w:t>
      </w:r>
      <w:r>
        <w:rPr>
          <w:rStyle w:val="30"/>
          <w:rFonts w:hint="eastAsia" w:ascii="方正小标宋简体" w:hAnsi="方正小标宋简体" w:eastAsia="方正小标宋简体" w:cs="方正小标宋简体"/>
          <w:color w:val="auto"/>
          <w:sz w:val="44"/>
          <w:szCs w:val="44"/>
          <w:highlight w:val="none"/>
          <w:u w:val="none"/>
          <w:lang w:eastAsia="zh-CN"/>
        </w:rPr>
        <w:t>竞争性磋商邀请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rPr>
          <w:rFonts w:hint="eastAsia" w:ascii="仿宋_GB2312" w:hAnsi="仿宋_GB2312" w:eastAsia="仿宋_GB2312" w:cs="仿宋_GB2312"/>
          <w:b/>
          <w:bCs/>
          <w:sz w:val="28"/>
          <w:szCs w:val="28"/>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29" w:leftChars="0" w:right="0" w:rightChars="0" w:firstLine="643" w:firstLineChars="200"/>
        <w:jc w:val="both"/>
        <w:textAlignment w:val="auto"/>
        <w:outlineLvl w:val="9"/>
        <w:rPr>
          <w:rFonts w:hint="eastAsia" w:ascii="仿宋_GB2312" w:hAnsi="仿宋_GB2312" w:eastAsia="仿宋_GB2312" w:cs="仿宋_GB2312"/>
          <w:b w:val="0"/>
          <w:bCs/>
          <w:color w:val="auto"/>
          <w:sz w:val="32"/>
          <w:szCs w:val="32"/>
          <w:highlight w:val="none"/>
          <w:lang w:val="en-US" w:eastAsia="zh-CN"/>
        </w:rPr>
      </w:pPr>
      <w:r>
        <w:rPr>
          <w:rFonts w:hint="default" w:ascii="Times New Roman" w:hAnsi="Times New Roman" w:eastAsia="黑体" w:cs="Times New Roman"/>
          <w:b/>
          <w:bCs/>
          <w:sz w:val="32"/>
          <w:szCs w:val="32"/>
          <w:highlight w:val="none"/>
          <w:lang w:val="en-US" w:eastAsia="zh-CN"/>
        </w:rPr>
        <w:t>1.</w:t>
      </w:r>
      <w:r>
        <w:rPr>
          <w:rFonts w:hint="default" w:ascii="Times New Roman" w:hAnsi="Times New Roman" w:eastAsia="黑体" w:cs="Times New Roman"/>
          <w:b/>
          <w:bCs/>
          <w:sz w:val="32"/>
          <w:szCs w:val="32"/>
          <w:highlight w:val="none"/>
        </w:rPr>
        <w:t>招标单位：</w:t>
      </w:r>
      <w:r>
        <w:rPr>
          <w:rFonts w:hint="eastAsia" w:ascii="仿宋_GB2312" w:hAnsi="仿宋_GB2312" w:eastAsia="仿宋_GB2312" w:cs="仿宋_GB2312"/>
          <w:b w:val="0"/>
          <w:bCs/>
          <w:color w:val="auto"/>
          <w:sz w:val="32"/>
          <w:szCs w:val="32"/>
          <w:highlight w:val="none"/>
          <w:lang w:val="en-US" w:eastAsia="zh-CN"/>
        </w:rPr>
        <w:t>遂宁天一投资集团有限公司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29" w:leftChars="0" w:right="0" w:rightChars="0" w:firstLine="643" w:firstLineChars="200"/>
        <w:jc w:val="both"/>
        <w:textAlignment w:val="auto"/>
        <w:outlineLvl w:val="9"/>
        <w:rPr>
          <w:rFonts w:hint="eastAsia" w:ascii="仿宋_GB2312" w:hAnsi="仿宋_GB2312" w:eastAsia="仿宋_GB2312" w:cs="仿宋_GB2312"/>
          <w:b w:val="0"/>
          <w:bCs/>
          <w:color w:val="auto"/>
          <w:sz w:val="32"/>
          <w:szCs w:val="32"/>
          <w:highlight w:val="none"/>
          <w:lang w:val="en-US" w:eastAsia="zh-CN"/>
        </w:rPr>
      </w:pPr>
      <w:r>
        <w:rPr>
          <w:rFonts w:hint="default" w:ascii="Times New Roman" w:hAnsi="Times New Roman" w:eastAsia="黑体" w:cs="Times New Roman"/>
          <w:b/>
          <w:bCs/>
          <w:sz w:val="32"/>
          <w:szCs w:val="32"/>
          <w:highlight w:val="none"/>
          <w:lang w:val="en-US" w:eastAsia="zh-CN"/>
        </w:rPr>
        <w:t>2.</w:t>
      </w:r>
      <w:r>
        <w:rPr>
          <w:rFonts w:hint="default" w:ascii="Times New Roman" w:hAnsi="Times New Roman" w:eastAsia="黑体" w:cs="Times New Roman"/>
          <w:b/>
          <w:bCs/>
          <w:sz w:val="32"/>
          <w:szCs w:val="32"/>
          <w:highlight w:val="none"/>
        </w:rPr>
        <w:t>招标内容：</w:t>
      </w:r>
      <w:r>
        <w:rPr>
          <w:rFonts w:hint="eastAsia" w:ascii="仿宋_GB2312" w:hAnsi="仿宋_GB2312" w:eastAsia="仿宋_GB2312" w:cs="仿宋_GB2312"/>
          <w:b w:val="0"/>
          <w:bCs/>
          <w:color w:val="auto"/>
          <w:sz w:val="32"/>
          <w:szCs w:val="32"/>
          <w:highlight w:val="none"/>
          <w:lang w:val="en-US" w:eastAsia="zh-CN"/>
        </w:rPr>
        <w:t>高新区光电产业园消防维保服务项目消防系统维保服务标，包括但不限于以下内容：消防报警主机系统、泵房给水系统、消防排烟系统、消防应急/疏散照明系统、消防联动控制系统、消防应急广播系统、消防防火卷帘、消防气体灭火系统、消防栓系统、自动喷淋系统、应急照明系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default" w:ascii="仿宋_GB2312" w:hAnsi="仿宋_GB2312" w:eastAsia="仿宋_GB2312" w:cs="仿宋_GB2312"/>
          <w:sz w:val="32"/>
          <w:szCs w:val="32"/>
          <w:highlight w:val="none"/>
          <w:lang w:val="en-US" w:eastAsia="zh-CN"/>
        </w:rPr>
      </w:pPr>
      <w:r>
        <w:rPr>
          <w:rFonts w:hint="default" w:ascii="Times New Roman" w:hAnsi="Times New Roman" w:eastAsia="黑体" w:cs="Times New Roman"/>
          <w:b/>
          <w:bCs/>
          <w:sz w:val="32"/>
          <w:szCs w:val="32"/>
          <w:highlight w:val="none"/>
          <w:lang w:val="en-US" w:eastAsia="zh-CN"/>
        </w:rPr>
        <w:t>3.</w:t>
      </w:r>
      <w:r>
        <w:rPr>
          <w:rFonts w:hint="default" w:ascii="Times New Roman" w:hAnsi="Times New Roman" w:eastAsia="黑体" w:cs="Times New Roman"/>
          <w:b/>
          <w:bCs/>
          <w:sz w:val="32"/>
          <w:szCs w:val="32"/>
          <w:highlight w:val="none"/>
        </w:rPr>
        <w:t>招标地点：</w:t>
      </w:r>
      <w:r>
        <w:rPr>
          <w:rFonts w:hint="eastAsia" w:eastAsia="仿宋_GB2312" w:cs="Times New Roman"/>
          <w:bCs/>
          <w:color w:val="auto"/>
          <w:sz w:val="32"/>
          <w:szCs w:val="32"/>
          <w:highlight w:val="none"/>
          <w:lang w:eastAsia="zh-CN"/>
        </w:rPr>
        <w:t>遂宁市高新区天一集团投资有限公司开标室（西部铁路物流园海关楼四楼）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default" w:ascii="Times New Roman" w:hAnsi="Times New Roman" w:eastAsia="仿宋_GB2312" w:cs="Times New Roman"/>
          <w:sz w:val="28"/>
          <w:szCs w:val="28"/>
          <w:highlight w:val="none"/>
          <w:lang w:val="en-US" w:eastAsia="zh-CN"/>
        </w:rPr>
      </w:pPr>
      <w:r>
        <w:rPr>
          <w:rFonts w:hint="default" w:ascii="Times New Roman" w:hAnsi="Times New Roman" w:eastAsia="黑体" w:cs="Times New Roman"/>
          <w:b/>
          <w:bCs/>
          <w:sz w:val="32"/>
          <w:szCs w:val="32"/>
          <w:highlight w:val="none"/>
          <w:lang w:val="en-US" w:eastAsia="zh-CN"/>
        </w:rPr>
        <w:t>4.</w:t>
      </w:r>
      <w:r>
        <w:rPr>
          <w:rFonts w:hint="default" w:ascii="Times New Roman" w:hAnsi="Times New Roman" w:eastAsia="黑体" w:cs="Times New Roman"/>
          <w:b/>
          <w:bCs/>
          <w:sz w:val="32"/>
          <w:szCs w:val="32"/>
          <w:highlight w:val="none"/>
        </w:rPr>
        <w:t>开标日期：</w:t>
      </w:r>
      <w:r>
        <w:rPr>
          <w:rFonts w:hint="default" w:ascii="Times New Roman" w:hAnsi="Times New Roman" w:eastAsia="仿宋_GB2312" w:cs="Times New Roman"/>
          <w:color w:val="auto"/>
          <w:sz w:val="32"/>
          <w:szCs w:val="32"/>
          <w:lang w:val="en-US" w:eastAsia="zh-CN"/>
        </w:rPr>
        <w:t>2022年3月11日上午10：00（北京时间）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default" w:ascii="Times New Roman" w:hAnsi="Times New Roman" w:eastAsia="黑体" w:cs="Times New Roman"/>
          <w:b/>
          <w:bCs/>
          <w:sz w:val="32"/>
          <w:szCs w:val="32"/>
          <w:highlight w:val="none"/>
          <w:lang w:val="en-US" w:eastAsia="zh-CN"/>
        </w:rPr>
        <w:t>5.</w:t>
      </w:r>
      <w:r>
        <w:rPr>
          <w:rFonts w:hint="default" w:ascii="Times New Roman" w:hAnsi="Times New Roman" w:eastAsia="黑体" w:cs="Times New Roman"/>
          <w:b/>
          <w:bCs/>
          <w:sz w:val="32"/>
          <w:szCs w:val="32"/>
          <w:highlight w:val="none"/>
        </w:rPr>
        <w:t>招标方式</w:t>
      </w:r>
      <w:r>
        <w:rPr>
          <w:rFonts w:hint="default" w:ascii="Times New Roman" w:hAnsi="Times New Roman" w:eastAsia="黑体" w:cs="Times New Roman"/>
          <w:sz w:val="32"/>
          <w:szCs w:val="32"/>
          <w:highlight w:val="none"/>
          <w:lang w:val="en-US" w:eastAsia="zh-CN"/>
        </w:rPr>
        <w:t>：</w:t>
      </w:r>
      <w:r>
        <w:rPr>
          <w:rFonts w:hint="eastAsia" w:ascii="仿宋_GB2312" w:hAnsi="仿宋_GB2312" w:eastAsia="仿宋_GB2312" w:cs="仿宋_GB2312"/>
          <w:sz w:val="32"/>
          <w:szCs w:val="32"/>
          <w:highlight w:val="none"/>
          <w:lang w:val="en-US" w:eastAsia="zh-CN"/>
        </w:rPr>
        <w:t>招标单位在考察各消防系统维保公司的情况后，邀请通过资质预审的消防系统维保服务公司参加投标，并根据各投标单位的报价、服务方案、消防系统维保服务计划书以及相应优惠条件，选定中标单位。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default" w:ascii="Times New Roman" w:hAnsi="Times New Roman" w:eastAsia="黑体" w:cs="Times New Roman"/>
          <w:b/>
          <w:sz w:val="32"/>
          <w:szCs w:val="32"/>
          <w:highlight w:val="none"/>
        </w:rPr>
      </w:pPr>
      <w:r>
        <w:rPr>
          <w:rFonts w:hint="default" w:ascii="Times New Roman" w:hAnsi="Times New Roman" w:eastAsia="黑体" w:cs="Times New Roman"/>
          <w:b/>
          <w:sz w:val="32"/>
          <w:szCs w:val="32"/>
          <w:highlight w:val="none"/>
          <w:lang w:val="en-US" w:eastAsia="zh-CN"/>
        </w:rPr>
        <w:t>6.</w:t>
      </w:r>
      <w:r>
        <w:rPr>
          <w:rFonts w:hint="default" w:ascii="Times New Roman" w:hAnsi="Times New Roman" w:eastAsia="黑体" w:cs="Times New Roman"/>
          <w:b/>
          <w:sz w:val="32"/>
          <w:szCs w:val="32"/>
          <w:highlight w:val="none"/>
        </w:rPr>
        <w:t>投标单位的要求</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（1）投标单位应具备独立法人</w:t>
      </w:r>
      <w:r>
        <w:rPr>
          <w:rFonts w:hint="default" w:ascii="Times New Roman" w:hAnsi="Times New Roman" w:eastAsia="仿宋_GB2312" w:cs="Times New Roman"/>
          <w:sz w:val="32"/>
          <w:szCs w:val="32"/>
          <w:highlight w:val="none"/>
          <w:lang w:eastAsia="zh-CN"/>
        </w:rPr>
        <w:t>资格</w:t>
      </w:r>
      <w:r>
        <w:rPr>
          <w:rFonts w:hint="default" w:ascii="Times New Roman" w:hAnsi="Times New Roman" w:eastAsia="仿宋_GB2312" w:cs="Times New Roman"/>
          <w:sz w:val="32"/>
          <w:szCs w:val="32"/>
          <w:highlight w:val="none"/>
        </w:rPr>
        <w:t>，同时具有消防维修保养资质证书；</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（2）投标单位必须有3年以上大型商场、超市、写字楼、酒店的日常消防维保服务经验，已通过ISO9001质量体系认证的公司将优先考虑；</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default" w:ascii="Times New Roman" w:hAnsi="Times New Roman" w:eastAsia="黑体" w:cs="Times New Roman"/>
          <w:b/>
          <w:sz w:val="32"/>
          <w:szCs w:val="32"/>
          <w:highlight w:val="none"/>
          <w:lang w:val="en-US" w:eastAsia="zh-CN"/>
        </w:rPr>
        <w:t>7.</w:t>
      </w:r>
      <w:r>
        <w:rPr>
          <w:rFonts w:hint="default" w:ascii="Times New Roman" w:hAnsi="Times New Roman" w:eastAsia="黑体" w:cs="Times New Roman"/>
          <w:b/>
          <w:sz w:val="32"/>
          <w:szCs w:val="32"/>
          <w:highlight w:val="none"/>
        </w:rPr>
        <w:t>招标条款之条件</w:t>
      </w:r>
      <w:r>
        <w:rPr>
          <w:rFonts w:hint="default" w:ascii="Times New Roman" w:hAnsi="Times New Roman" w:eastAsia="黑体" w:cs="Times New Roman"/>
          <w:sz w:val="32"/>
          <w:szCs w:val="32"/>
          <w:highlight w:val="none"/>
        </w:rPr>
        <w:t>：</w:t>
      </w:r>
      <w:r>
        <w:rPr>
          <w:rFonts w:hint="eastAsia" w:ascii="仿宋_GB2312" w:hAnsi="仿宋_GB2312" w:eastAsia="仿宋_GB2312" w:cs="仿宋_GB2312"/>
          <w:sz w:val="32"/>
          <w:szCs w:val="32"/>
          <w:highlight w:val="none"/>
        </w:rPr>
        <w:t>主要招标条款及文件已列于本招标书附件中。</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黑体" w:hAnsi="黑体" w:eastAsia="黑体" w:cs="黑体"/>
          <w:b/>
          <w:bCs/>
          <w:sz w:val="32"/>
          <w:szCs w:val="32"/>
          <w:highlight w:val="none"/>
        </w:rPr>
      </w:pPr>
      <w:r>
        <w:rPr>
          <w:rFonts w:hint="default" w:ascii="Times New Roman" w:hAnsi="Times New Roman" w:eastAsia="黑体" w:cs="Times New Roman"/>
          <w:b/>
          <w:bCs/>
          <w:sz w:val="32"/>
          <w:szCs w:val="32"/>
          <w:highlight w:val="none"/>
          <w:lang w:val="en-US" w:eastAsia="zh-CN"/>
        </w:rPr>
        <w:t>8.</w:t>
      </w:r>
      <w:r>
        <w:rPr>
          <w:rFonts w:hint="default" w:ascii="Times New Roman" w:hAnsi="Times New Roman" w:eastAsia="黑体" w:cs="Times New Roman"/>
          <w:b/>
          <w:bCs/>
          <w:sz w:val="32"/>
          <w:szCs w:val="32"/>
          <w:highlight w:val="none"/>
        </w:rPr>
        <w:t>招标文件内容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各单位须根据招标文件的所有条款，编制投标文件，其主要内容应包括：</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800" w:firstLineChars="25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（1）招标文件中的指定条款及表格；</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800" w:firstLineChars="25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lang w:val="en-US" w:eastAsia="zh-CN"/>
        </w:rPr>
        <w:t>高新区光电产业园消防维保服务</w:t>
      </w:r>
      <w:r>
        <w:rPr>
          <w:rFonts w:hint="default" w:ascii="Times New Roman" w:hAnsi="Times New Roman" w:eastAsia="仿宋_GB2312" w:cs="Times New Roman"/>
          <w:sz w:val="32"/>
          <w:szCs w:val="32"/>
          <w:highlight w:val="none"/>
        </w:rPr>
        <w:t>消防系统维保服务工作计划及方案；</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800" w:firstLineChars="25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（3）人员组织架构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岗位配置和岗位职责；</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800" w:firstLineChars="25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（4）向招标单位的承诺保证履行工作考核惩罚方法。</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default" w:ascii="Times New Roman" w:hAnsi="Times New Roman" w:eastAsia="黑体" w:cs="Times New Roman"/>
          <w:b/>
          <w:sz w:val="32"/>
          <w:szCs w:val="32"/>
          <w:highlight w:val="none"/>
        </w:rPr>
      </w:pPr>
      <w:r>
        <w:rPr>
          <w:rFonts w:hint="default" w:ascii="Times New Roman" w:hAnsi="Times New Roman" w:eastAsia="黑体" w:cs="Times New Roman"/>
          <w:b/>
          <w:sz w:val="32"/>
          <w:szCs w:val="32"/>
          <w:highlight w:val="none"/>
          <w:lang w:val="en-US" w:eastAsia="zh-CN"/>
        </w:rPr>
        <w:t>9.</w:t>
      </w:r>
      <w:r>
        <w:rPr>
          <w:rFonts w:hint="default" w:ascii="Times New Roman" w:hAnsi="Times New Roman" w:eastAsia="黑体" w:cs="Times New Roman"/>
          <w:b/>
          <w:sz w:val="32"/>
          <w:szCs w:val="32"/>
          <w:highlight w:val="none"/>
        </w:rPr>
        <w:t>评标原则</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评标小组严格按照邀标文件的要求和条件进行评标，技术标和经济标其中一项并不是确定中标单位的唯一标准，在比较技术标和经济标报价的同时，还将考虑以下因素：</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维保计划书中工作方案的合理性和可操作性；</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诚实信誉、经营信誉；</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对标书文件的响应程度；</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有执行合同的能力；</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有保证服务质量的承诺条件；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消防维保公司的自身实力。</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default" w:ascii="Times New Roman" w:hAnsi="Times New Roman" w:eastAsia="黑体" w:cs="Times New Roman"/>
          <w:b/>
          <w:sz w:val="32"/>
          <w:szCs w:val="32"/>
          <w:highlight w:val="none"/>
        </w:rPr>
      </w:pPr>
      <w:r>
        <w:rPr>
          <w:rFonts w:hint="default" w:ascii="Times New Roman" w:hAnsi="Times New Roman" w:eastAsia="黑体" w:cs="Times New Roman"/>
          <w:b/>
          <w:sz w:val="32"/>
          <w:szCs w:val="32"/>
          <w:highlight w:val="none"/>
          <w:lang w:val="en-US" w:eastAsia="zh-CN"/>
        </w:rPr>
        <w:t>10.</w:t>
      </w:r>
      <w:r>
        <w:rPr>
          <w:rFonts w:hint="default" w:ascii="Times New Roman" w:hAnsi="Times New Roman" w:eastAsia="黑体" w:cs="Times New Roman"/>
          <w:b/>
          <w:sz w:val="32"/>
          <w:szCs w:val="32"/>
          <w:highlight w:val="none"/>
        </w:rPr>
        <w:t>中标的标准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（1）签署的投标文件必须符合招标文件的要求；</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（2）报价合理；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（3）能按要求满足</w:t>
      </w:r>
      <w:r>
        <w:rPr>
          <w:rFonts w:hint="eastAsia" w:ascii="仿宋_GB2312" w:hAnsi="仿宋_GB2312" w:eastAsia="仿宋_GB2312" w:cs="仿宋_GB2312"/>
          <w:bCs/>
          <w:sz w:val="32"/>
          <w:szCs w:val="32"/>
          <w:highlight w:val="none"/>
          <w:lang w:val="en-US" w:eastAsia="zh-CN"/>
        </w:rPr>
        <w:t>高新区光电产业园消防维保服务</w:t>
      </w:r>
      <w:r>
        <w:rPr>
          <w:rFonts w:hint="eastAsia" w:ascii="仿宋_GB2312" w:hAnsi="仿宋_GB2312" w:eastAsia="仿宋_GB2312" w:cs="仿宋_GB2312"/>
          <w:bCs/>
          <w:sz w:val="32"/>
          <w:szCs w:val="32"/>
          <w:highlight w:val="none"/>
        </w:rPr>
        <w:t>项目日常消防维保服务要求；</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（4）</w:t>
      </w:r>
      <w:r>
        <w:rPr>
          <w:rFonts w:hint="eastAsia" w:ascii="仿宋_GB2312" w:hAnsi="仿宋_GB2312" w:eastAsia="仿宋_GB2312" w:cs="仿宋_GB2312"/>
          <w:bCs/>
          <w:sz w:val="32"/>
          <w:szCs w:val="32"/>
          <w:highlight w:val="none"/>
          <w:lang w:eastAsia="zh-CN"/>
        </w:rPr>
        <w:t>维保</w:t>
      </w:r>
      <w:r>
        <w:rPr>
          <w:rFonts w:hint="eastAsia" w:ascii="仿宋_GB2312" w:hAnsi="仿宋_GB2312" w:eastAsia="仿宋_GB2312" w:cs="仿宋_GB2312"/>
          <w:bCs/>
          <w:sz w:val="32"/>
          <w:szCs w:val="32"/>
          <w:highlight w:val="none"/>
        </w:rPr>
        <w:t>方案合理、有效；</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（5）此标不以最低价格作为中标的唯一标准；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（6）投标单位所承接的同类项目考察合格；</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（7）日常维保人员配置合理。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default" w:ascii="Times New Roman" w:hAnsi="Times New Roman" w:eastAsia="黑体" w:cs="Times New Roman"/>
          <w:b/>
          <w:sz w:val="32"/>
          <w:szCs w:val="32"/>
          <w:highlight w:val="none"/>
        </w:rPr>
      </w:pPr>
      <w:r>
        <w:rPr>
          <w:rFonts w:hint="default" w:ascii="Times New Roman" w:hAnsi="Times New Roman" w:eastAsia="黑体" w:cs="Times New Roman"/>
          <w:b/>
          <w:sz w:val="32"/>
          <w:szCs w:val="32"/>
          <w:highlight w:val="none"/>
          <w:lang w:val="en-US" w:eastAsia="zh-CN"/>
        </w:rPr>
        <w:t>11.</w:t>
      </w:r>
      <w:r>
        <w:rPr>
          <w:rFonts w:hint="default" w:ascii="Times New Roman" w:hAnsi="Times New Roman" w:eastAsia="黑体" w:cs="Times New Roman"/>
          <w:b/>
          <w:sz w:val="32"/>
          <w:szCs w:val="32"/>
          <w:highlight w:val="none"/>
        </w:rPr>
        <w:t>本招标文件应包括下列内容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（1）消防系统维保服务招标书（本文件）；</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（2）消防系统维保服务招标说明书（附件一）；</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（3）消防系统维</w:t>
      </w:r>
      <w:r>
        <w:rPr>
          <w:rFonts w:hint="eastAsia" w:ascii="仿宋_GB2312" w:hAnsi="仿宋_GB2312" w:eastAsia="仿宋_GB2312" w:cs="仿宋_GB2312"/>
          <w:sz w:val="32"/>
          <w:szCs w:val="32"/>
          <w:highlight w:val="none"/>
        </w:rPr>
        <w:t>保服务日常内容和标准</w:t>
      </w:r>
      <w:r>
        <w:rPr>
          <w:rFonts w:hint="eastAsia" w:ascii="仿宋_GB2312" w:hAnsi="仿宋_GB2312" w:eastAsia="仿宋_GB2312" w:cs="仿宋_GB2312"/>
          <w:bCs/>
          <w:sz w:val="32"/>
          <w:szCs w:val="32"/>
          <w:highlight w:val="none"/>
        </w:rPr>
        <w:t>（附件二）；</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sz w:val="32"/>
          <w:szCs w:val="32"/>
          <w:highlight w:val="none"/>
        </w:rPr>
      </w:pPr>
      <w:r>
        <w:rPr>
          <w:rFonts w:hint="eastAsia" w:ascii="仿宋_GB2312" w:hAnsi="仿宋_GB2312" w:eastAsia="仿宋_GB2312" w:cs="仿宋_GB2312"/>
          <w:bCs/>
          <w:sz w:val="32"/>
          <w:szCs w:val="32"/>
          <w:highlight w:val="none"/>
        </w:rPr>
        <w:t>（4）消防系统维保服务</w:t>
      </w:r>
      <w:r>
        <w:rPr>
          <w:rFonts w:hint="eastAsia" w:ascii="仿宋_GB2312" w:hAnsi="仿宋_GB2312" w:eastAsia="仿宋_GB2312" w:cs="仿宋_GB2312"/>
          <w:bCs/>
          <w:sz w:val="32"/>
          <w:szCs w:val="32"/>
          <w:highlight w:val="none"/>
          <w:lang w:eastAsia="zh-CN"/>
        </w:rPr>
        <w:t>工作要求和标准</w:t>
      </w:r>
      <w:r>
        <w:rPr>
          <w:rFonts w:hint="eastAsia" w:ascii="仿宋_GB2312" w:hAnsi="仿宋_GB2312" w:eastAsia="仿宋_GB2312" w:cs="仿宋_GB2312"/>
          <w:sz w:val="32"/>
          <w:szCs w:val="32"/>
          <w:highlight w:val="none"/>
        </w:rPr>
        <w:t>（附件三）；</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（5）投标书的内容和要求（附件四）；</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（6）</w:t>
      </w:r>
      <w:r>
        <w:rPr>
          <w:rFonts w:hint="eastAsia" w:ascii="仿宋_GB2312" w:hAnsi="仿宋_GB2312" w:eastAsia="仿宋_GB2312" w:cs="仿宋_GB2312"/>
          <w:b w:val="0"/>
          <w:bCs/>
          <w:kern w:val="2"/>
          <w:sz w:val="32"/>
          <w:szCs w:val="32"/>
          <w:highlight w:val="none"/>
          <w:lang w:val="en-US" w:eastAsia="zh-CN" w:bidi="ar-SA"/>
        </w:rPr>
        <w:t>消防系统维保服务投标声明书</w:t>
      </w:r>
      <w:r>
        <w:rPr>
          <w:rFonts w:hint="eastAsia" w:ascii="仿宋_GB2312" w:hAnsi="仿宋_GB2312" w:eastAsia="仿宋_GB2312" w:cs="仿宋_GB2312"/>
          <w:bCs/>
          <w:sz w:val="32"/>
          <w:szCs w:val="32"/>
          <w:highlight w:val="none"/>
        </w:rPr>
        <w:t>（附件五）；</w:t>
      </w:r>
    </w:p>
    <w:p>
      <w:pPr>
        <w:pStyle w:val="25"/>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 w:val="0"/>
          <w:bCs/>
          <w:kern w:val="2"/>
          <w:sz w:val="32"/>
          <w:szCs w:val="32"/>
          <w:highlight w:val="none"/>
          <w:lang w:val="en-US" w:eastAsia="zh-CN" w:bidi="ar-SA"/>
        </w:rPr>
        <w:t>（7）</w:t>
      </w:r>
      <w:r>
        <w:rPr>
          <w:rFonts w:hint="eastAsia" w:ascii="仿宋_GB2312" w:hAnsi="仿宋_GB2312" w:eastAsia="仿宋_GB2312" w:cs="仿宋_GB2312"/>
          <w:b w:val="0"/>
          <w:bCs w:val="0"/>
          <w:sz w:val="32"/>
          <w:szCs w:val="32"/>
          <w:highlight w:val="none"/>
        </w:rPr>
        <w:t>投标</w:t>
      </w:r>
      <w:r>
        <w:rPr>
          <w:rFonts w:hint="eastAsia" w:ascii="仿宋_GB2312" w:hAnsi="仿宋_GB2312" w:eastAsia="仿宋_GB2312" w:cs="仿宋_GB2312"/>
          <w:b w:val="0"/>
          <w:bCs w:val="0"/>
          <w:sz w:val="32"/>
          <w:szCs w:val="32"/>
          <w:highlight w:val="none"/>
          <w:lang w:eastAsia="zh-CN"/>
        </w:rPr>
        <w:t>报价表</w:t>
      </w:r>
      <w:r>
        <w:rPr>
          <w:rFonts w:hint="eastAsia" w:ascii="仿宋_GB2312" w:hAnsi="仿宋_GB2312" w:eastAsia="仿宋_GB2312" w:cs="仿宋_GB2312"/>
          <w:b w:val="0"/>
          <w:bCs/>
          <w:kern w:val="2"/>
          <w:sz w:val="32"/>
          <w:szCs w:val="32"/>
          <w:highlight w:val="none"/>
          <w:lang w:val="en-US" w:eastAsia="zh-CN" w:bidi="ar-SA"/>
        </w:rPr>
        <w:t>（附件六）；</w:t>
      </w:r>
    </w:p>
    <w:p>
      <w:pPr>
        <w:spacing w:line="360" w:lineRule="auto"/>
        <w:jc w:val="both"/>
        <w:rPr>
          <w:rFonts w:hint="eastAsia" w:ascii="仿宋_GB2312" w:hAnsi="仿宋_GB2312" w:eastAsia="仿宋_GB2312" w:cs="仿宋_GB2312"/>
          <w:sz w:val="28"/>
          <w:szCs w:val="28"/>
          <w:highlight w:val="none"/>
        </w:rPr>
      </w:pPr>
    </w:p>
    <w:p>
      <w:pPr>
        <w:spacing w:line="360" w:lineRule="auto"/>
        <w:jc w:val="left"/>
        <w:rPr>
          <w:rFonts w:hint="eastAsia" w:ascii="仿宋_GB2312" w:hAnsi="仿宋_GB2312" w:eastAsia="仿宋_GB2312" w:cs="仿宋_GB2312"/>
          <w:sz w:val="28"/>
          <w:szCs w:val="28"/>
          <w:highlight w:val="none"/>
        </w:rPr>
      </w:pPr>
    </w:p>
    <w:p>
      <w:pPr>
        <w:spacing w:line="360" w:lineRule="auto"/>
        <w:jc w:val="left"/>
        <w:rPr>
          <w:rFonts w:hint="eastAsia" w:ascii="仿宋_GB2312" w:hAnsi="仿宋_GB2312" w:eastAsia="仿宋_GB2312" w:cs="仿宋_GB2312"/>
          <w:sz w:val="28"/>
          <w:szCs w:val="28"/>
          <w:highlight w:val="none"/>
        </w:rPr>
      </w:pPr>
    </w:p>
    <w:p>
      <w:pPr>
        <w:spacing w:line="360" w:lineRule="auto"/>
        <w:jc w:val="left"/>
        <w:rPr>
          <w:rFonts w:hint="eastAsia" w:ascii="仿宋_GB2312" w:hAnsi="仿宋_GB2312" w:eastAsia="仿宋_GB2312" w:cs="仿宋_GB2312"/>
          <w:sz w:val="28"/>
          <w:szCs w:val="28"/>
          <w:highlight w:val="none"/>
        </w:rPr>
      </w:pPr>
    </w:p>
    <w:p>
      <w:pPr>
        <w:spacing w:line="360" w:lineRule="auto"/>
        <w:jc w:val="left"/>
        <w:rPr>
          <w:rFonts w:hint="eastAsia" w:ascii="仿宋_GB2312" w:hAnsi="仿宋_GB2312" w:eastAsia="仿宋_GB2312" w:cs="仿宋_GB2312"/>
          <w:sz w:val="28"/>
          <w:szCs w:val="28"/>
          <w:highlight w:val="none"/>
        </w:rPr>
      </w:pPr>
    </w:p>
    <w:p>
      <w:pPr>
        <w:spacing w:line="360" w:lineRule="auto"/>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附件一</w:t>
      </w:r>
      <w:bookmarkStart w:id="0" w:name="_Toc414557137"/>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44"/>
          <w:szCs w:val="44"/>
          <w:highlight w:val="none"/>
          <w:lang w:val="en-US" w:eastAsia="zh-CN"/>
        </w:rPr>
      </w:pPr>
      <w:r>
        <w:rPr>
          <w:rFonts w:hint="eastAsia" w:ascii="方正小标宋简体" w:hAnsi="方正小标宋简体" w:eastAsia="方正小标宋简体" w:cs="方正小标宋简体"/>
          <w:b/>
          <w:bCs/>
          <w:sz w:val="44"/>
          <w:szCs w:val="44"/>
          <w:highlight w:val="none"/>
          <w:lang w:val="en-US" w:eastAsia="zh-CN"/>
        </w:rPr>
        <w:t>高新区光电产业园消防维保服务项目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44"/>
          <w:szCs w:val="44"/>
          <w:highlight w:val="none"/>
        </w:rPr>
      </w:pPr>
      <w:r>
        <w:rPr>
          <w:rFonts w:hint="eastAsia" w:ascii="方正小标宋简体" w:hAnsi="方正小标宋简体" w:eastAsia="方正小标宋简体" w:cs="方正小标宋简体"/>
          <w:b/>
          <w:bCs/>
          <w:sz w:val="44"/>
          <w:szCs w:val="44"/>
          <w:highlight w:val="none"/>
        </w:rPr>
        <w:t>消防系统维保服务招标说明书</w:t>
      </w:r>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投标书所有项目报价必须以钢笔填写，须由投标者盖章，签署作实。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投标书采用中文书写，</w:t>
      </w:r>
      <w:r>
        <w:rPr>
          <w:rFonts w:hint="default" w:ascii="Times New Roman" w:hAnsi="Times New Roman" w:eastAsia="仿宋_GB2312" w:cs="Times New Roman"/>
          <w:sz w:val="32"/>
          <w:szCs w:val="32"/>
          <w:highlight w:val="none"/>
          <w:lang w:eastAsia="zh-CN"/>
        </w:rPr>
        <w:t>标书</w:t>
      </w:r>
      <w:r>
        <w:rPr>
          <w:rFonts w:hint="default" w:ascii="Times New Roman" w:hAnsi="Times New Roman" w:eastAsia="仿宋_GB2312" w:cs="Times New Roman"/>
          <w:sz w:val="32"/>
          <w:szCs w:val="32"/>
          <w:highlight w:val="none"/>
        </w:rPr>
        <w:t>一式</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份，其中一份正本，其余均为副本，正副本均须装订成书状。正本中各文件必须提供原件（营业执照副本、组织代码及各种资格证书</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可以提供彩色复印件，并加盖投标方公章），副本可以是正本的复印件，只需在封面盖章、整本加盖骑缝印章</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各投标者的投标书必须与本招标书的文件内容相同，如有重复或缺少，必须即时通知招标者。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如本标书内有任何错漏或文件上有任何出错，招标者将不承担任何责任。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本标书内项目之消防设备管理服务优惠总价为投标最终接受价，而此价格必须包括投标书内所有服务项目之所需器材、装备、服装、消耗物料、工资/福利费用、保险、</w:t>
      </w:r>
      <w:r>
        <w:rPr>
          <w:rFonts w:hint="default" w:ascii="Times New Roman" w:hAnsi="Times New Roman" w:eastAsia="仿宋_GB2312" w:cs="Times New Roman"/>
          <w:sz w:val="32"/>
          <w:szCs w:val="32"/>
          <w:highlight w:val="none"/>
          <w:lang w:eastAsia="zh-CN"/>
        </w:rPr>
        <w:t>税金</w:t>
      </w:r>
      <w:r>
        <w:rPr>
          <w:rFonts w:hint="default" w:ascii="Times New Roman" w:hAnsi="Times New Roman" w:eastAsia="仿宋_GB2312" w:cs="Times New Roman"/>
          <w:sz w:val="32"/>
          <w:szCs w:val="32"/>
          <w:highlight w:val="none"/>
        </w:rPr>
        <w:t>及其他相关之所有费用。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所有费用预算必须按照标书之标准样本要求投标。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如于开标后，投标书内有合理的错误（如手写之误），投标人必须于收到通知后以书面即日内对有关错误做出更正，招标者有权决定是否接受有关更正而无须做出任何解释。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标书内的总价必须包含标书内所述之所有项目费用，不得争议。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投标者有责任于投递标书前自行检查标书内容，以确</w:t>
      </w:r>
      <w:r>
        <w:rPr>
          <w:rFonts w:hint="default" w:ascii="Times New Roman" w:hAnsi="Times New Roman" w:eastAsia="仿宋_GB2312" w:cs="Times New Roman"/>
          <w:sz w:val="32"/>
          <w:szCs w:val="32"/>
          <w:highlight w:val="none"/>
          <w:lang w:eastAsia="zh-CN"/>
        </w:rPr>
        <w:t>保</w:t>
      </w:r>
      <w:r>
        <w:rPr>
          <w:rFonts w:hint="default" w:ascii="Times New Roman" w:hAnsi="Times New Roman" w:eastAsia="仿宋_GB2312" w:cs="Times New Roman"/>
          <w:sz w:val="32"/>
          <w:szCs w:val="32"/>
          <w:highlight w:val="none"/>
        </w:rPr>
        <w:t>无误。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投标</w:t>
      </w:r>
      <w:r>
        <w:rPr>
          <w:rFonts w:hint="default" w:ascii="Times New Roman" w:hAnsi="Times New Roman" w:eastAsia="仿宋_GB2312" w:cs="Times New Roman"/>
          <w:sz w:val="32"/>
          <w:szCs w:val="32"/>
          <w:highlight w:val="none"/>
          <w:lang w:eastAsia="zh-CN"/>
        </w:rPr>
        <w:t>方</w:t>
      </w:r>
      <w:r>
        <w:rPr>
          <w:rFonts w:hint="default" w:ascii="Times New Roman" w:hAnsi="Times New Roman" w:eastAsia="仿宋_GB2312" w:cs="Times New Roman"/>
          <w:sz w:val="32"/>
          <w:szCs w:val="32"/>
          <w:highlight w:val="none"/>
        </w:rPr>
        <w:t>不得擅自更改由招标</w:t>
      </w:r>
      <w:r>
        <w:rPr>
          <w:rFonts w:hint="default" w:ascii="Times New Roman" w:hAnsi="Times New Roman" w:eastAsia="仿宋_GB2312" w:cs="Times New Roman"/>
          <w:sz w:val="32"/>
          <w:szCs w:val="32"/>
          <w:highlight w:val="none"/>
          <w:lang w:eastAsia="zh-CN"/>
        </w:rPr>
        <w:t>方</w:t>
      </w:r>
      <w:r>
        <w:rPr>
          <w:rFonts w:hint="default" w:ascii="Times New Roman" w:hAnsi="Times New Roman" w:eastAsia="仿宋_GB2312" w:cs="Times New Roman"/>
          <w:sz w:val="32"/>
          <w:szCs w:val="32"/>
          <w:highlight w:val="none"/>
        </w:rPr>
        <w:t>所订立的标书内的部分或全部内容，否则有关标书作废。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rPr>
        <w:t>投标</w:t>
      </w:r>
      <w:r>
        <w:rPr>
          <w:rFonts w:hint="default" w:ascii="Times New Roman" w:hAnsi="Times New Roman" w:eastAsia="仿宋_GB2312" w:cs="Times New Roman"/>
          <w:sz w:val="32"/>
          <w:szCs w:val="32"/>
          <w:highlight w:val="none"/>
          <w:lang w:eastAsia="zh-CN"/>
        </w:rPr>
        <w:t>方</w:t>
      </w:r>
      <w:r>
        <w:rPr>
          <w:rFonts w:hint="default" w:ascii="Times New Roman" w:hAnsi="Times New Roman" w:eastAsia="仿宋_GB2312" w:cs="Times New Roman"/>
          <w:sz w:val="32"/>
          <w:szCs w:val="32"/>
          <w:highlight w:val="none"/>
        </w:rPr>
        <w:t>必须于投标书内注明有关免费提供的其他服务详细资料。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rPr>
        <w:t>如投标单位需询标（每家公司限2人），请参加约定会议。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地点：</w:t>
      </w:r>
      <w:r>
        <w:rPr>
          <w:rFonts w:hint="default" w:ascii="Times New Roman" w:hAnsi="Times New Roman" w:eastAsia="仿宋_GB2312" w:cs="Times New Roman"/>
          <w:sz w:val="32"/>
          <w:szCs w:val="32"/>
          <w:highlight w:val="none"/>
          <w:lang w:eastAsia="zh-CN"/>
        </w:rPr>
        <w:t>遂宁市高新区天一集团投资有限公司开标室（西部铁路物流园海关楼四楼）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13.</w:t>
      </w:r>
      <w:r>
        <w:rPr>
          <w:rFonts w:hint="default" w:ascii="Times New Roman" w:hAnsi="Times New Roman" w:eastAsia="仿宋_GB2312" w:cs="Times New Roman"/>
          <w:sz w:val="32"/>
          <w:szCs w:val="32"/>
          <w:highlight w:val="none"/>
        </w:rPr>
        <w:t>标书必须于</w:t>
      </w:r>
      <w:r>
        <w:rPr>
          <w:rFonts w:hint="default" w:ascii="Times New Roman" w:hAnsi="Times New Roman" w:eastAsia="仿宋_GB2312" w:cs="Times New Roman"/>
          <w:color w:val="auto"/>
          <w:sz w:val="32"/>
          <w:szCs w:val="32"/>
          <w:highlight w:val="none"/>
          <w:lang w:val="en-US" w:eastAsia="zh-CN"/>
        </w:rPr>
        <w:t>2022年3月11日上午10：00（北京时间）</w:t>
      </w:r>
      <w:r>
        <w:rPr>
          <w:rFonts w:hint="default" w:ascii="Times New Roman" w:hAnsi="Times New Roman" w:eastAsia="仿宋_GB2312" w:cs="Times New Roman"/>
          <w:sz w:val="32"/>
          <w:szCs w:val="32"/>
          <w:highlight w:val="none"/>
        </w:rPr>
        <w:t>前以密封式递交送至</w:t>
      </w:r>
      <w:r>
        <w:rPr>
          <w:rFonts w:hint="default" w:ascii="Times New Roman" w:hAnsi="Times New Roman" w:eastAsia="仿宋_GB2312" w:cs="Times New Roman"/>
          <w:sz w:val="32"/>
          <w:szCs w:val="32"/>
          <w:highlight w:val="none"/>
          <w:lang w:eastAsia="zh-CN"/>
        </w:rPr>
        <w:t>遂宁市高新区天一集团投资有限公司开标室（西部铁路物流园海关楼四楼）</w:t>
      </w:r>
      <w:r>
        <w:rPr>
          <w:rFonts w:hint="default" w:ascii="Times New Roman" w:hAnsi="Times New Roman" w:eastAsia="仿宋_GB2312" w:cs="Times New Roman"/>
          <w:sz w:val="32"/>
          <w:szCs w:val="32"/>
          <w:highlight w:val="none"/>
        </w:rPr>
        <w:t>，函件外需注明</w:t>
      </w:r>
      <w:r>
        <w:rPr>
          <w:rFonts w:hint="default" w:ascii="Times New Roman" w:hAnsi="Times New Roman" w:eastAsia="仿宋_GB2312" w:cs="Times New Roman"/>
          <w:sz w:val="32"/>
          <w:szCs w:val="32"/>
          <w:highlight w:val="none"/>
          <w:lang w:val="en-US" w:eastAsia="zh-CN"/>
        </w:rPr>
        <w:t>高新区光电产业园消防维保服务</w:t>
      </w:r>
      <w:r>
        <w:rPr>
          <w:rFonts w:hint="default" w:ascii="Times New Roman" w:hAnsi="Times New Roman" w:eastAsia="仿宋_GB2312" w:cs="Times New Roman"/>
          <w:sz w:val="32"/>
          <w:szCs w:val="32"/>
          <w:highlight w:val="none"/>
        </w:rPr>
        <w:t>消防系统维保服务投标书，招标</w:t>
      </w:r>
      <w:r>
        <w:rPr>
          <w:rFonts w:hint="default" w:ascii="Times New Roman" w:hAnsi="Times New Roman" w:eastAsia="仿宋_GB2312" w:cs="Times New Roman"/>
          <w:sz w:val="32"/>
          <w:szCs w:val="32"/>
          <w:highlight w:val="none"/>
          <w:lang w:eastAsia="zh-CN"/>
        </w:rPr>
        <w:t>方</w:t>
      </w:r>
      <w:r>
        <w:rPr>
          <w:rFonts w:hint="default" w:ascii="Times New Roman" w:hAnsi="Times New Roman" w:eastAsia="仿宋_GB2312" w:cs="Times New Roman"/>
          <w:sz w:val="32"/>
          <w:szCs w:val="32"/>
          <w:highlight w:val="none"/>
        </w:rPr>
        <w:t>有权拒绝接收延迟呈交</w:t>
      </w:r>
      <w:r>
        <w:rPr>
          <w:rFonts w:hint="default" w:ascii="Times New Roman" w:hAnsi="Times New Roman" w:eastAsia="仿宋_GB2312" w:cs="Times New Roman"/>
          <w:sz w:val="32"/>
          <w:szCs w:val="32"/>
          <w:highlight w:val="none"/>
          <w:lang w:eastAsia="zh-CN"/>
        </w:rPr>
        <w:t>方的</w:t>
      </w:r>
      <w:r>
        <w:rPr>
          <w:rFonts w:hint="default" w:ascii="Times New Roman" w:hAnsi="Times New Roman" w:eastAsia="仿宋_GB2312" w:cs="Times New Roman"/>
          <w:sz w:val="32"/>
          <w:szCs w:val="32"/>
          <w:highlight w:val="none"/>
        </w:rPr>
        <w:t>标书。</w:t>
      </w:r>
    </w:p>
    <w:p>
      <w:pPr>
        <w:keepNext w:val="0"/>
        <w:keepLines w:val="0"/>
        <w:pageBreakBefore w:val="0"/>
        <w:widowControl w:val="0"/>
        <w:kinsoku/>
        <w:wordWrap/>
        <w:overflowPunct/>
        <w:topLinePunct w:val="0"/>
        <w:autoSpaceDE/>
        <w:autoSpaceDN/>
        <w:bidi w:val="0"/>
        <w:adjustRightInd/>
        <w:snapToGrid/>
        <w:spacing w:line="600" w:lineRule="exact"/>
        <w:ind w:left="420" w:hanging="480" w:hangingChars="150"/>
        <w:jc w:val="both"/>
        <w:textAlignment w:val="auto"/>
        <w:outlineLvl w:val="9"/>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right="6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br w:type="page"/>
      </w:r>
      <w:r>
        <w:rPr>
          <w:rFonts w:hint="eastAsia" w:ascii="仿宋_GB2312" w:hAnsi="仿宋_GB2312" w:eastAsia="仿宋_GB2312" w:cs="仿宋_GB2312"/>
          <w:sz w:val="28"/>
          <w:szCs w:val="28"/>
          <w:highlight w:val="none"/>
        </w:rPr>
        <w:t>附件二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highlight w:val="none"/>
        </w:rPr>
      </w:pPr>
      <w:bookmarkStart w:id="1" w:name="_Toc414557138"/>
      <w:r>
        <w:rPr>
          <w:rFonts w:hint="eastAsia" w:ascii="方正小标宋简体" w:hAnsi="方正小标宋简体" w:eastAsia="方正小标宋简体" w:cs="方正小标宋简体"/>
          <w:b/>
          <w:bCs/>
          <w:sz w:val="44"/>
          <w:szCs w:val="44"/>
          <w:highlight w:val="none"/>
          <w:lang w:val="en-US" w:eastAsia="zh-CN"/>
        </w:rPr>
        <w:t>高新区光电产业园消防维保服务项目</w:t>
      </w:r>
      <w:bookmarkEnd w:id="1"/>
    </w:p>
    <w:p>
      <w:pPr>
        <w:pStyle w:val="25"/>
        <w:keepNext w:val="0"/>
        <w:keepLines w:val="0"/>
        <w:pageBreakBefore w:val="0"/>
        <w:widowControl w:val="0"/>
        <w:kinsoku/>
        <w:wordWrap/>
        <w:overflowPunct/>
        <w:topLinePunct w:val="0"/>
        <w:autoSpaceDE/>
        <w:autoSpaceDN/>
        <w:bidi w:val="0"/>
        <w:adjustRightInd/>
        <w:snapToGrid/>
        <w:spacing w:before="240" w:after="60" w:line="60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b/>
          <w:bCs/>
          <w:sz w:val="44"/>
          <w:szCs w:val="44"/>
          <w:highlight w:val="none"/>
          <w:lang w:eastAsia="zh-CN"/>
        </w:rPr>
        <w:t>消防系统维保服务日常内容和标准</w:t>
      </w:r>
    </w:p>
    <w:p>
      <w:pPr>
        <w:spacing w:line="360" w:lineRule="auto"/>
        <w:jc w:val="center"/>
        <w:rPr>
          <w:rFonts w:hint="eastAsia" w:ascii="仿宋_GB2312" w:hAnsi="仿宋_GB2312" w:eastAsia="仿宋_GB2312" w:cs="仿宋_GB2312"/>
          <w:b/>
          <w:bCs/>
          <w:sz w:val="28"/>
          <w:szCs w:val="28"/>
          <w:highlight w:val="none"/>
        </w:rPr>
      </w:pPr>
    </w:p>
    <w:p>
      <w:pPr>
        <w:keepNext w:val="0"/>
        <w:keepLines w:val="0"/>
        <w:pageBreakBefore w:val="0"/>
        <w:kinsoku/>
        <w:wordWrap/>
        <w:overflowPunct/>
        <w:topLinePunct w:val="0"/>
        <w:autoSpaceDE/>
        <w:autoSpaceDN/>
        <w:bidi w:val="0"/>
        <w:adjustRightInd/>
        <w:snapToGrid/>
        <w:spacing w:line="600" w:lineRule="exact"/>
        <w:ind w:right="0" w:rightChars="0"/>
        <w:textAlignment w:val="auto"/>
        <w:outlineLvl w:val="9"/>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一、合同期限</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本项目消防系统维保服务起始日期暂定为</w:t>
      </w:r>
      <w:r>
        <w:rPr>
          <w:rFonts w:hint="eastAsia" w:ascii="仿宋_GB2312" w:hAnsi="仿宋_GB2312" w:eastAsia="仿宋_GB2312" w:cs="仿宋_GB2312"/>
          <w:b/>
          <w:bCs/>
          <w:color w:val="auto"/>
          <w:sz w:val="32"/>
          <w:szCs w:val="32"/>
          <w:highlight w:val="none"/>
          <w:lang w:val="en-US" w:eastAsia="zh-CN"/>
        </w:rPr>
        <w:t>2022</w:t>
      </w:r>
      <w:r>
        <w:rPr>
          <w:rFonts w:hint="eastAsia" w:ascii="仿宋_GB2312" w:hAnsi="仿宋_GB2312" w:eastAsia="仿宋_GB2312" w:cs="仿宋_GB2312"/>
          <w:b/>
          <w:bCs/>
          <w:color w:val="auto"/>
          <w:sz w:val="32"/>
          <w:szCs w:val="32"/>
          <w:highlight w:val="none"/>
        </w:rPr>
        <w:t>年</w:t>
      </w: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月</w:t>
      </w: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日</w:t>
      </w:r>
      <w:r>
        <w:rPr>
          <w:rFonts w:hint="eastAsia" w:ascii="仿宋_GB2312" w:hAnsi="仿宋_GB2312" w:eastAsia="仿宋_GB2312" w:cs="仿宋_GB2312"/>
          <w:color w:val="auto"/>
          <w:sz w:val="32"/>
          <w:szCs w:val="32"/>
          <w:highlight w:val="none"/>
        </w:rPr>
        <w:t>，合同期限暂定从</w:t>
      </w:r>
      <w:r>
        <w:rPr>
          <w:rFonts w:hint="eastAsia" w:ascii="仿宋_GB2312" w:hAnsi="仿宋_GB2312" w:eastAsia="仿宋_GB2312" w:cs="仿宋_GB2312"/>
          <w:b/>
          <w:bCs/>
          <w:color w:val="auto"/>
          <w:sz w:val="32"/>
          <w:szCs w:val="32"/>
          <w:highlight w:val="none"/>
          <w:lang w:val="en-US" w:eastAsia="zh-CN"/>
        </w:rPr>
        <w:t>2022</w:t>
      </w:r>
      <w:r>
        <w:rPr>
          <w:rFonts w:hint="eastAsia" w:ascii="仿宋_GB2312" w:hAnsi="仿宋_GB2312" w:eastAsia="仿宋_GB2312" w:cs="仿宋_GB2312"/>
          <w:b/>
          <w:bCs/>
          <w:color w:val="auto"/>
          <w:sz w:val="32"/>
          <w:szCs w:val="32"/>
          <w:highlight w:val="none"/>
        </w:rPr>
        <w:t>年</w:t>
      </w: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月</w:t>
      </w: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日起至20</w:t>
      </w:r>
      <w:r>
        <w:rPr>
          <w:rFonts w:hint="eastAsia" w:ascii="仿宋_GB2312" w:hAnsi="仿宋_GB2312" w:eastAsia="仿宋_GB2312" w:cs="仿宋_GB2312"/>
          <w:b/>
          <w:bCs/>
          <w:color w:val="auto"/>
          <w:sz w:val="32"/>
          <w:szCs w:val="32"/>
          <w:highlight w:val="none"/>
          <w:lang w:val="en-US" w:eastAsia="zh-CN"/>
        </w:rPr>
        <w:t>23</w:t>
      </w:r>
      <w:r>
        <w:rPr>
          <w:rFonts w:hint="eastAsia" w:ascii="仿宋_GB2312" w:hAnsi="仿宋_GB2312" w:eastAsia="仿宋_GB2312" w:cs="仿宋_GB2312"/>
          <w:b/>
          <w:bCs/>
          <w:color w:val="auto"/>
          <w:sz w:val="32"/>
          <w:szCs w:val="32"/>
          <w:highlight w:val="none"/>
        </w:rPr>
        <w:t>年</w:t>
      </w: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月</w:t>
      </w:r>
      <w:r>
        <w:rPr>
          <w:rFonts w:hint="eastAsia" w:ascii="仿宋_GB2312" w:hAnsi="仿宋_GB2312" w:eastAsia="仿宋_GB2312" w:cs="仿宋_GB2312"/>
          <w:b/>
          <w:bCs/>
          <w:color w:val="auto"/>
          <w:sz w:val="32"/>
          <w:szCs w:val="32"/>
          <w:highlight w:val="none"/>
          <w:lang w:val="en-US" w:eastAsia="zh-CN"/>
        </w:rPr>
        <w:t>31</w:t>
      </w:r>
      <w:r>
        <w:rPr>
          <w:rFonts w:hint="eastAsia" w:ascii="仿宋_GB2312" w:hAnsi="仿宋_GB2312" w:eastAsia="仿宋_GB2312" w:cs="仿宋_GB2312"/>
          <w:b/>
          <w:bCs/>
          <w:color w:val="auto"/>
          <w:sz w:val="32"/>
          <w:szCs w:val="32"/>
          <w:highlight w:val="none"/>
        </w:rPr>
        <w:t>日止</w:t>
      </w:r>
      <w:r>
        <w:rPr>
          <w:rFonts w:hint="eastAsia" w:ascii="仿宋_GB2312" w:hAnsi="仿宋_GB2312" w:eastAsia="仿宋_GB2312" w:cs="仿宋_GB2312"/>
          <w:color w:val="auto"/>
          <w:sz w:val="32"/>
          <w:szCs w:val="32"/>
          <w:highlight w:val="none"/>
        </w:rPr>
        <w:t>，合计为</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个月。</w:t>
      </w:r>
    </w:p>
    <w:p>
      <w:pPr>
        <w:keepNext w:val="0"/>
        <w:keepLines w:val="0"/>
        <w:pageBreakBefore w:val="0"/>
        <w:kinsoku/>
        <w:wordWrap/>
        <w:overflowPunct/>
        <w:topLinePunct w:val="0"/>
        <w:autoSpaceDE/>
        <w:autoSpaceDN/>
        <w:bidi w:val="0"/>
        <w:adjustRightInd/>
        <w:snapToGrid/>
        <w:spacing w:line="600" w:lineRule="exact"/>
        <w:ind w:right="0" w:rightChars="0"/>
        <w:textAlignment w:val="auto"/>
        <w:outlineLvl w:val="9"/>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二、 工作范围</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lang w:val="en-US" w:eastAsia="zh-CN"/>
        </w:rPr>
        <w:t>高新区光电产业园消防维保服务项</w:t>
      </w:r>
      <w:r>
        <w:rPr>
          <w:rFonts w:hint="eastAsia" w:ascii="仿宋_GB2312" w:hAnsi="仿宋_GB2312" w:eastAsia="仿宋_GB2312" w:cs="仿宋_GB2312"/>
          <w:color w:val="auto"/>
          <w:sz w:val="32"/>
          <w:szCs w:val="32"/>
          <w:highlight w:val="none"/>
        </w:rPr>
        <w:t>目</w:t>
      </w:r>
      <w:r>
        <w:rPr>
          <w:rFonts w:hint="eastAsia" w:ascii="仿宋_GB2312" w:hAnsi="仿宋_GB2312" w:eastAsia="仿宋_GB2312" w:cs="仿宋_GB2312"/>
          <w:color w:val="auto"/>
          <w:sz w:val="32"/>
          <w:szCs w:val="32"/>
          <w:highlight w:val="none"/>
          <w:u w:val="single"/>
        </w:rPr>
        <w:t>面积77244平米（3栋厂房、1栋办公用房、1栋员工倒班房、1栋食堂）</w:t>
      </w:r>
      <w:r>
        <w:rPr>
          <w:rFonts w:hint="eastAsia" w:ascii="仿宋_GB2312" w:hAnsi="仿宋_GB2312" w:eastAsia="仿宋_GB2312" w:cs="仿宋_GB2312"/>
          <w:color w:val="auto"/>
          <w:sz w:val="32"/>
          <w:szCs w:val="32"/>
          <w:highlight w:val="none"/>
          <w:u w:val="none"/>
        </w:rPr>
        <w:t>全</w:t>
      </w:r>
      <w:r>
        <w:rPr>
          <w:rFonts w:hint="eastAsia" w:ascii="仿宋_GB2312" w:hAnsi="仿宋_GB2312" w:eastAsia="仿宋_GB2312" w:cs="仿宋_GB2312"/>
          <w:color w:val="auto"/>
          <w:sz w:val="32"/>
          <w:szCs w:val="32"/>
          <w:highlight w:val="none"/>
        </w:rPr>
        <w:t>范围消防系统维保服务。</w:t>
      </w:r>
    </w:p>
    <w:p>
      <w:pPr>
        <w:keepNext w:val="0"/>
        <w:keepLines w:val="0"/>
        <w:pageBreakBefore w:val="0"/>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b/>
          <w:bCs/>
          <w:sz w:val="28"/>
          <w:szCs w:val="28"/>
          <w:highlight w:val="none"/>
        </w:rPr>
      </w:pPr>
      <w:r>
        <w:rPr>
          <w:rFonts w:hint="eastAsia" w:ascii="黑体" w:hAnsi="黑体" w:eastAsia="黑体" w:cs="黑体"/>
          <w:b/>
          <w:bCs/>
          <w:sz w:val="32"/>
          <w:szCs w:val="32"/>
          <w:highlight w:val="none"/>
        </w:rPr>
        <w:t>三、消防系统维保服务的基本形式</w:t>
      </w:r>
    </w:p>
    <w:p>
      <w:pPr>
        <w:keepNext w:val="0"/>
        <w:keepLines w:val="0"/>
        <w:pageBreakBefore w:val="0"/>
        <w:tabs>
          <w:tab w:val="left" w:pos="720"/>
        </w:tabs>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消防系统维保服务以如下形式为</w:t>
      </w:r>
      <w:r>
        <w:rPr>
          <w:rFonts w:hint="default" w:ascii="Times New Roman" w:hAnsi="Times New Roman" w:eastAsia="仿宋_GB2312" w:cs="Times New Roman"/>
          <w:sz w:val="32"/>
          <w:szCs w:val="32"/>
          <w:highlight w:val="none"/>
          <w:lang w:val="en-US" w:eastAsia="zh-CN"/>
        </w:rPr>
        <w:t>高新区光电产业园消防维保服务</w:t>
      </w:r>
      <w:r>
        <w:rPr>
          <w:rFonts w:hint="default" w:ascii="Times New Roman" w:hAnsi="Times New Roman" w:eastAsia="仿宋_GB2312" w:cs="Times New Roman"/>
          <w:sz w:val="32"/>
          <w:szCs w:val="32"/>
          <w:highlight w:val="none"/>
        </w:rPr>
        <w:t>项目提供服务：</w:t>
      </w:r>
    </w:p>
    <w:p>
      <w:pPr>
        <w:keepNext w:val="0"/>
        <w:keepLines w:val="0"/>
        <w:pageBreakBefore w:val="0"/>
        <w:tabs>
          <w:tab w:val="left" w:pos="720"/>
        </w:tabs>
        <w:kinsoku/>
        <w:wordWrap/>
        <w:overflowPunct/>
        <w:topLinePunct w:val="0"/>
        <w:autoSpaceDE/>
        <w:autoSpaceDN/>
        <w:bidi w:val="0"/>
        <w:adjustRightInd/>
        <w:snapToGrid/>
        <w:spacing w:line="600" w:lineRule="exact"/>
        <w:ind w:left="180"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中标</w:t>
      </w:r>
      <w:r>
        <w:rPr>
          <w:rFonts w:hint="default" w:ascii="Times New Roman" w:hAnsi="Times New Roman" w:eastAsia="仿宋_GB2312" w:cs="Times New Roman"/>
          <w:sz w:val="32"/>
          <w:szCs w:val="32"/>
          <w:highlight w:val="none"/>
        </w:rPr>
        <w:t>方在中标后与</w:t>
      </w:r>
      <w:r>
        <w:rPr>
          <w:rFonts w:hint="default" w:ascii="Times New Roman" w:hAnsi="Times New Roman" w:eastAsia="仿宋_GB2312" w:cs="Times New Roman"/>
          <w:sz w:val="32"/>
          <w:szCs w:val="32"/>
          <w:highlight w:val="none"/>
          <w:lang w:eastAsia="zh-CN"/>
        </w:rPr>
        <w:t>招标方</w:t>
      </w:r>
      <w:r>
        <w:rPr>
          <w:rFonts w:hint="default" w:ascii="Times New Roman" w:hAnsi="Times New Roman" w:eastAsia="仿宋_GB2312" w:cs="Times New Roman"/>
          <w:sz w:val="32"/>
          <w:szCs w:val="32"/>
          <w:highlight w:val="none"/>
        </w:rPr>
        <w:t>签订《</w:t>
      </w:r>
      <w:r>
        <w:rPr>
          <w:rFonts w:hint="default" w:ascii="Times New Roman" w:hAnsi="Times New Roman" w:eastAsia="仿宋_GB2312" w:cs="Times New Roman"/>
          <w:sz w:val="32"/>
          <w:szCs w:val="32"/>
          <w:highlight w:val="none"/>
          <w:lang w:val="en-US" w:eastAsia="zh-CN"/>
        </w:rPr>
        <w:t>高新区光电产业园消防维保服务</w:t>
      </w:r>
      <w:r>
        <w:rPr>
          <w:rFonts w:hint="default" w:ascii="Times New Roman" w:hAnsi="Times New Roman" w:eastAsia="仿宋_GB2312" w:cs="Times New Roman"/>
          <w:sz w:val="32"/>
          <w:szCs w:val="32"/>
          <w:highlight w:val="none"/>
          <w:lang w:eastAsia="zh-CN"/>
        </w:rPr>
        <w:t>项目</w:t>
      </w:r>
      <w:r>
        <w:rPr>
          <w:rFonts w:hint="default" w:ascii="Times New Roman" w:hAnsi="Times New Roman" w:eastAsia="仿宋_GB2312" w:cs="Times New Roman"/>
          <w:sz w:val="32"/>
          <w:szCs w:val="32"/>
          <w:highlight w:val="none"/>
        </w:rPr>
        <w:t>消防系统维保服务合同》。</w:t>
      </w:r>
    </w:p>
    <w:p>
      <w:pPr>
        <w:keepNext w:val="0"/>
        <w:keepLines w:val="0"/>
        <w:pageBreakBefore w:val="0"/>
        <w:tabs>
          <w:tab w:val="left" w:pos="720"/>
        </w:tabs>
        <w:kinsoku/>
        <w:wordWrap/>
        <w:overflowPunct/>
        <w:topLinePunct w:val="0"/>
        <w:autoSpaceDE/>
        <w:autoSpaceDN/>
        <w:bidi w:val="0"/>
        <w:adjustRightInd/>
        <w:snapToGrid/>
        <w:spacing w:line="600" w:lineRule="exact"/>
        <w:ind w:left="180"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中标</w:t>
      </w:r>
      <w:r>
        <w:rPr>
          <w:rFonts w:hint="default" w:ascii="Times New Roman" w:hAnsi="Times New Roman" w:eastAsia="仿宋_GB2312" w:cs="Times New Roman"/>
          <w:sz w:val="32"/>
          <w:szCs w:val="32"/>
          <w:highlight w:val="none"/>
        </w:rPr>
        <w:t>方以包工及包器材的形式</w:t>
      </w:r>
      <w:r>
        <w:rPr>
          <w:rFonts w:hint="default" w:ascii="Times New Roman" w:hAnsi="Times New Roman" w:eastAsia="仿宋_GB2312" w:cs="Times New Roman"/>
          <w:sz w:val="32"/>
          <w:szCs w:val="32"/>
          <w:highlight w:val="none"/>
          <w:lang w:eastAsia="zh-CN"/>
        </w:rPr>
        <w:t>承担</w:t>
      </w:r>
      <w:r>
        <w:rPr>
          <w:rFonts w:hint="default" w:ascii="Times New Roman" w:hAnsi="Times New Roman" w:eastAsia="仿宋_GB2312" w:cs="Times New Roman"/>
          <w:sz w:val="32"/>
          <w:szCs w:val="32"/>
          <w:highlight w:val="none"/>
          <w:lang w:val="en-US" w:eastAsia="zh-CN"/>
        </w:rPr>
        <w:t>高新区光电产业园消防维保服务</w:t>
      </w:r>
      <w:r>
        <w:rPr>
          <w:rFonts w:hint="default" w:ascii="Times New Roman" w:hAnsi="Times New Roman" w:eastAsia="仿宋_GB2312" w:cs="Times New Roman"/>
          <w:sz w:val="32"/>
          <w:szCs w:val="32"/>
          <w:highlight w:val="none"/>
        </w:rPr>
        <w:t>项目的消防系统维保服务，具体情况如下：</w:t>
      </w:r>
    </w:p>
    <w:p>
      <w:pPr>
        <w:keepNext w:val="0"/>
        <w:keepLines w:val="0"/>
        <w:pageBreakBefore w:val="0"/>
        <w:tabs>
          <w:tab w:val="left" w:pos="709"/>
        </w:tabs>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rPr>
        <w:t>（1）</w:t>
      </w:r>
      <w:r>
        <w:rPr>
          <w:rFonts w:hint="default" w:ascii="Times New Roman" w:hAnsi="Times New Roman" w:eastAsia="仿宋_GB2312" w:cs="Times New Roman"/>
          <w:kern w:val="0"/>
          <w:sz w:val="32"/>
          <w:szCs w:val="32"/>
          <w:highlight w:val="none"/>
          <w:lang w:eastAsia="zh-CN"/>
        </w:rPr>
        <w:t>中标方</w:t>
      </w:r>
      <w:r>
        <w:rPr>
          <w:rFonts w:hint="default" w:ascii="Times New Roman" w:hAnsi="Times New Roman" w:eastAsia="仿宋_GB2312" w:cs="Times New Roman"/>
          <w:kern w:val="0"/>
          <w:sz w:val="32"/>
          <w:szCs w:val="32"/>
          <w:highlight w:val="none"/>
        </w:rPr>
        <w:t>应</w:t>
      </w:r>
      <w:r>
        <w:rPr>
          <w:rFonts w:hint="default" w:ascii="Times New Roman" w:hAnsi="Times New Roman" w:eastAsia="仿宋_GB2312" w:cs="Times New Roman"/>
          <w:kern w:val="0"/>
          <w:sz w:val="32"/>
          <w:szCs w:val="32"/>
          <w:highlight w:val="none"/>
          <w:lang w:eastAsia="zh-CN"/>
        </w:rPr>
        <w:t>于入场后</w:t>
      </w:r>
      <w:r>
        <w:rPr>
          <w:rFonts w:hint="default" w:ascii="Times New Roman" w:hAnsi="Times New Roman" w:eastAsia="仿宋_GB2312" w:cs="Times New Roman"/>
          <w:kern w:val="0"/>
          <w:sz w:val="32"/>
          <w:szCs w:val="32"/>
          <w:highlight w:val="none"/>
          <w:lang w:val="en-US" w:eastAsia="zh-CN"/>
        </w:rPr>
        <w:t>15日内</w:t>
      </w:r>
      <w:r>
        <w:rPr>
          <w:rFonts w:hint="default" w:ascii="Times New Roman" w:hAnsi="Times New Roman" w:eastAsia="仿宋_GB2312" w:cs="Times New Roman"/>
          <w:kern w:val="0"/>
          <w:sz w:val="32"/>
          <w:szCs w:val="32"/>
          <w:highlight w:val="none"/>
        </w:rPr>
        <w:t>提供</w:t>
      </w:r>
      <w:r>
        <w:rPr>
          <w:rFonts w:hint="default" w:ascii="Times New Roman" w:hAnsi="Times New Roman" w:eastAsia="仿宋_GB2312" w:cs="Times New Roman"/>
          <w:kern w:val="0"/>
          <w:sz w:val="32"/>
          <w:szCs w:val="32"/>
          <w:highlight w:val="none"/>
          <w:lang w:val="en-US" w:eastAsia="zh-CN"/>
        </w:rPr>
        <w:t>高新区光电产业园消防维保服务</w:t>
      </w:r>
      <w:r>
        <w:rPr>
          <w:rFonts w:hint="default" w:ascii="Times New Roman" w:hAnsi="Times New Roman" w:eastAsia="仿宋_GB2312" w:cs="Times New Roman"/>
          <w:kern w:val="0"/>
          <w:sz w:val="32"/>
          <w:szCs w:val="32"/>
          <w:highlight w:val="none"/>
          <w:lang w:eastAsia="zh-CN"/>
        </w:rPr>
        <w:t>项目相关消防各系统现状运行检测报告</w:t>
      </w:r>
      <w:r>
        <w:rPr>
          <w:rFonts w:hint="default" w:ascii="Times New Roman" w:hAnsi="Times New Roman" w:eastAsia="仿宋_GB2312" w:cs="Times New Roman"/>
          <w:kern w:val="0"/>
          <w:sz w:val="32"/>
          <w:szCs w:val="32"/>
          <w:highlight w:val="none"/>
          <w:lang w:val="en-US" w:eastAsia="zh-CN"/>
        </w:rPr>
        <w:t>，包括：消防报警主机系统、泵房给水系统、消防排烟系统、消防应急/疏散照明系统、消防联动控制系统、消防应急广播系统、消防防火卷帘、消防气体灭火系统、消防栓系统、自动喷淋系统、应急照明系统。</w:t>
      </w:r>
    </w:p>
    <w:p>
      <w:pPr>
        <w:keepNext w:val="0"/>
        <w:keepLines w:val="0"/>
        <w:pageBreakBefore w:val="0"/>
        <w:tabs>
          <w:tab w:val="left" w:pos="709"/>
        </w:tabs>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lang w:eastAsia="zh-CN"/>
        </w:rPr>
        <w:t>）负责</w:t>
      </w:r>
      <w:r>
        <w:rPr>
          <w:rFonts w:hint="default" w:ascii="Times New Roman" w:hAnsi="Times New Roman" w:eastAsia="仿宋_GB2312" w:cs="Times New Roman"/>
          <w:kern w:val="0"/>
          <w:sz w:val="32"/>
          <w:szCs w:val="32"/>
          <w:highlight w:val="none"/>
        </w:rPr>
        <w:t>本</w:t>
      </w:r>
      <w:r>
        <w:rPr>
          <w:rFonts w:hint="default" w:ascii="Times New Roman" w:hAnsi="Times New Roman" w:eastAsia="仿宋_GB2312" w:cs="Times New Roman"/>
          <w:kern w:val="0"/>
          <w:sz w:val="32"/>
          <w:szCs w:val="32"/>
          <w:highlight w:val="none"/>
          <w:lang w:eastAsia="zh-CN"/>
        </w:rPr>
        <w:t>项目</w:t>
      </w:r>
      <w:r>
        <w:rPr>
          <w:rFonts w:hint="default" w:ascii="Times New Roman" w:hAnsi="Times New Roman" w:eastAsia="仿宋_GB2312" w:cs="Times New Roman"/>
          <w:kern w:val="0"/>
          <w:sz w:val="32"/>
          <w:szCs w:val="32"/>
          <w:highlight w:val="none"/>
        </w:rPr>
        <w:t>所属所有消防设备</w:t>
      </w:r>
      <w:r>
        <w:rPr>
          <w:rFonts w:hint="default" w:ascii="Times New Roman" w:hAnsi="Times New Roman" w:eastAsia="仿宋_GB2312" w:cs="Times New Roman"/>
          <w:kern w:val="0"/>
          <w:sz w:val="32"/>
          <w:szCs w:val="32"/>
          <w:highlight w:val="none"/>
          <w:lang w:eastAsia="zh-CN"/>
        </w:rPr>
        <w:t>的维修保养服务</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eastAsia="zh-CN"/>
        </w:rPr>
        <w:t>确保所有设备运行正常，</w:t>
      </w:r>
      <w:r>
        <w:rPr>
          <w:rFonts w:hint="default" w:ascii="Times New Roman" w:hAnsi="Times New Roman" w:eastAsia="仿宋_GB2312" w:cs="Times New Roman"/>
          <w:kern w:val="0"/>
          <w:sz w:val="32"/>
          <w:szCs w:val="32"/>
          <w:highlight w:val="none"/>
        </w:rPr>
        <w:t>使全部设备均达到国家规范要求的技术指标。一旦系统发生故障，</w:t>
      </w:r>
      <w:r>
        <w:rPr>
          <w:rFonts w:hint="default" w:ascii="Times New Roman" w:hAnsi="Times New Roman" w:eastAsia="仿宋_GB2312" w:cs="Times New Roman"/>
          <w:kern w:val="0"/>
          <w:sz w:val="32"/>
          <w:szCs w:val="32"/>
          <w:highlight w:val="none"/>
          <w:lang w:eastAsia="zh-CN"/>
        </w:rPr>
        <w:t>中标方</w:t>
      </w:r>
      <w:r>
        <w:rPr>
          <w:rFonts w:hint="default" w:ascii="Times New Roman" w:hAnsi="Times New Roman" w:eastAsia="仿宋_GB2312" w:cs="Times New Roman"/>
          <w:kern w:val="0"/>
          <w:sz w:val="32"/>
          <w:szCs w:val="32"/>
          <w:highlight w:val="none"/>
        </w:rPr>
        <w:t>应在接到</w:t>
      </w:r>
      <w:r>
        <w:rPr>
          <w:rFonts w:hint="default" w:ascii="Times New Roman" w:hAnsi="Times New Roman" w:eastAsia="仿宋_GB2312" w:cs="Times New Roman"/>
          <w:kern w:val="0"/>
          <w:sz w:val="32"/>
          <w:szCs w:val="32"/>
          <w:highlight w:val="none"/>
          <w:lang w:eastAsia="zh-CN"/>
        </w:rPr>
        <w:t>招标方</w:t>
      </w:r>
      <w:r>
        <w:rPr>
          <w:rFonts w:hint="default" w:ascii="Times New Roman" w:hAnsi="Times New Roman" w:eastAsia="仿宋_GB2312" w:cs="Times New Roman"/>
          <w:kern w:val="0"/>
          <w:sz w:val="32"/>
          <w:szCs w:val="32"/>
          <w:highlight w:val="none"/>
        </w:rPr>
        <w:t>通知后</w:t>
      </w:r>
      <w:r>
        <w:rPr>
          <w:rFonts w:hint="default" w:ascii="Times New Roman" w:hAnsi="Times New Roman" w:eastAsia="仿宋_GB2312" w:cs="Times New Roman"/>
          <w:kern w:val="0"/>
          <w:sz w:val="32"/>
          <w:szCs w:val="32"/>
          <w:highlight w:val="none"/>
          <w:lang w:val="en-US" w:eastAsia="zh-CN"/>
        </w:rPr>
        <w:t>30分钟</w:t>
      </w:r>
      <w:r>
        <w:rPr>
          <w:rFonts w:hint="default" w:ascii="Times New Roman" w:hAnsi="Times New Roman" w:eastAsia="仿宋_GB2312" w:cs="Times New Roman"/>
          <w:kern w:val="0"/>
          <w:sz w:val="32"/>
          <w:szCs w:val="32"/>
          <w:highlight w:val="none"/>
        </w:rPr>
        <w:t>内派人修理。</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）定期检修/测试</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default" w:ascii="Times New Roman" w:hAnsi="Times New Roman" w:eastAsia="仿宋_GB2312" w:cs="Times New Roman"/>
          <w:color w:val="FF0000"/>
          <w:kern w:val="0"/>
          <w:sz w:val="32"/>
          <w:szCs w:val="32"/>
          <w:highlight w:val="none"/>
        </w:rPr>
      </w:pPr>
      <w:r>
        <w:rPr>
          <w:rFonts w:hint="default" w:ascii="Times New Roman" w:hAnsi="Times New Roman" w:eastAsia="仿宋_GB2312" w:cs="Times New Roman"/>
          <w:kern w:val="0"/>
          <w:sz w:val="32"/>
          <w:szCs w:val="32"/>
          <w:highlight w:val="none"/>
        </w:rPr>
        <w:t>在合同有效期内，</w:t>
      </w:r>
      <w:r>
        <w:rPr>
          <w:rFonts w:hint="default" w:ascii="Times New Roman" w:hAnsi="Times New Roman" w:eastAsia="仿宋_GB2312" w:cs="Times New Roman"/>
          <w:kern w:val="0"/>
          <w:sz w:val="32"/>
          <w:szCs w:val="32"/>
          <w:highlight w:val="none"/>
          <w:lang w:eastAsia="zh-CN"/>
        </w:rPr>
        <w:t>中标方应对</w:t>
      </w:r>
      <w:r>
        <w:rPr>
          <w:rFonts w:hint="default" w:ascii="Times New Roman" w:hAnsi="Times New Roman" w:eastAsia="仿宋_GB2312" w:cs="Times New Roman"/>
          <w:kern w:val="0"/>
          <w:sz w:val="32"/>
          <w:szCs w:val="32"/>
          <w:highlight w:val="none"/>
          <w:lang w:val="en-US" w:eastAsia="zh-CN"/>
        </w:rPr>
        <w:t>高新区光电产业园消防维保服务</w:t>
      </w:r>
      <w:r>
        <w:rPr>
          <w:rFonts w:hint="default" w:ascii="Times New Roman" w:hAnsi="Times New Roman" w:eastAsia="仿宋_GB2312" w:cs="Times New Roman"/>
          <w:sz w:val="32"/>
          <w:szCs w:val="32"/>
          <w:highlight w:val="none"/>
        </w:rPr>
        <w:t>项目</w:t>
      </w:r>
      <w:r>
        <w:rPr>
          <w:rFonts w:hint="default" w:ascii="Times New Roman" w:hAnsi="Times New Roman" w:eastAsia="仿宋_GB2312" w:cs="Times New Roman"/>
          <w:kern w:val="0"/>
          <w:sz w:val="32"/>
          <w:szCs w:val="32"/>
          <w:highlight w:val="none"/>
        </w:rPr>
        <w:t>消防系统进行</w:t>
      </w:r>
      <w:r>
        <w:rPr>
          <w:rFonts w:hint="default" w:ascii="Times New Roman" w:hAnsi="Times New Roman" w:eastAsia="仿宋_GB2312" w:cs="Times New Roman"/>
          <w:kern w:val="0"/>
          <w:sz w:val="32"/>
          <w:szCs w:val="32"/>
          <w:highlight w:val="none"/>
          <w:lang w:val="en-US" w:eastAsia="zh-CN"/>
        </w:rPr>
        <w:t>月度、季度、年度</w:t>
      </w:r>
      <w:r>
        <w:rPr>
          <w:rFonts w:hint="default" w:ascii="Times New Roman" w:hAnsi="Times New Roman" w:eastAsia="仿宋_GB2312" w:cs="Times New Roman"/>
          <w:kern w:val="0"/>
          <w:sz w:val="32"/>
          <w:szCs w:val="32"/>
          <w:highlight w:val="none"/>
        </w:rPr>
        <w:t>定期检修试验，具体时间由双方协商。检修后</w:t>
      </w:r>
      <w:r>
        <w:rPr>
          <w:rFonts w:hint="default" w:ascii="Times New Roman" w:hAnsi="Times New Roman" w:eastAsia="仿宋_GB2312" w:cs="Times New Roman"/>
          <w:kern w:val="0"/>
          <w:sz w:val="32"/>
          <w:szCs w:val="32"/>
          <w:highlight w:val="none"/>
          <w:lang w:eastAsia="zh-CN"/>
        </w:rPr>
        <w:t>中标方</w:t>
      </w:r>
      <w:r>
        <w:rPr>
          <w:rFonts w:hint="default" w:ascii="Times New Roman" w:hAnsi="Times New Roman" w:eastAsia="仿宋_GB2312" w:cs="Times New Roman"/>
          <w:kern w:val="0"/>
          <w:sz w:val="32"/>
          <w:szCs w:val="32"/>
          <w:highlight w:val="none"/>
        </w:rPr>
        <w:t>应填写详细的设备定期检修/测试</w:t>
      </w:r>
      <w:r>
        <w:rPr>
          <w:rFonts w:hint="default" w:ascii="Times New Roman" w:hAnsi="Times New Roman" w:eastAsia="仿宋_GB2312" w:cs="Times New Roman"/>
          <w:kern w:val="0"/>
          <w:sz w:val="32"/>
          <w:szCs w:val="32"/>
          <w:highlight w:val="none"/>
          <w:lang w:eastAsia="zh-CN"/>
        </w:rPr>
        <w:t>记</w:t>
      </w:r>
      <w:r>
        <w:rPr>
          <w:rFonts w:hint="default" w:ascii="Times New Roman" w:hAnsi="Times New Roman" w:eastAsia="仿宋_GB2312" w:cs="Times New Roman"/>
          <w:kern w:val="0"/>
          <w:sz w:val="32"/>
          <w:szCs w:val="32"/>
          <w:highlight w:val="none"/>
        </w:rPr>
        <w:t>录单，由甲乙双方签字，双方各自存档，每次保养完成后向招标</w:t>
      </w:r>
      <w:r>
        <w:rPr>
          <w:rFonts w:hint="default" w:ascii="Times New Roman" w:hAnsi="Times New Roman" w:eastAsia="仿宋_GB2312" w:cs="Times New Roman"/>
          <w:kern w:val="0"/>
          <w:sz w:val="32"/>
          <w:szCs w:val="32"/>
          <w:highlight w:val="none"/>
          <w:lang w:eastAsia="zh-CN"/>
        </w:rPr>
        <w:t>方</w:t>
      </w:r>
      <w:r>
        <w:rPr>
          <w:rFonts w:hint="default" w:ascii="Times New Roman" w:hAnsi="Times New Roman" w:eastAsia="仿宋_GB2312" w:cs="Times New Roman"/>
          <w:kern w:val="0"/>
          <w:sz w:val="32"/>
          <w:szCs w:val="32"/>
          <w:highlight w:val="none"/>
        </w:rPr>
        <w:t>提供定期检修/测试工作总结</w:t>
      </w:r>
      <w:r>
        <w:rPr>
          <w:rFonts w:hint="default" w:ascii="Times New Roman" w:hAnsi="Times New Roman" w:eastAsia="仿宋_GB2312" w:cs="Times New Roman"/>
          <w:kern w:val="0"/>
          <w:sz w:val="32"/>
          <w:szCs w:val="32"/>
          <w:highlight w:val="none"/>
          <w:lang w:eastAsia="zh-CN"/>
        </w:rPr>
        <w:t>报</w:t>
      </w:r>
      <w:r>
        <w:rPr>
          <w:rFonts w:hint="default" w:ascii="Times New Roman" w:hAnsi="Times New Roman" w:eastAsia="仿宋_GB2312" w:cs="Times New Roman"/>
          <w:kern w:val="0"/>
          <w:sz w:val="32"/>
          <w:szCs w:val="32"/>
          <w:highlight w:val="none"/>
        </w:rPr>
        <w:t>告。</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）月度检查</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eastAsia="zh-CN"/>
        </w:rPr>
        <w:t>中标方</w:t>
      </w:r>
      <w:r>
        <w:rPr>
          <w:rFonts w:hint="default" w:ascii="Times New Roman" w:hAnsi="Times New Roman" w:eastAsia="仿宋_GB2312" w:cs="Times New Roman"/>
          <w:kern w:val="0"/>
          <w:sz w:val="32"/>
          <w:szCs w:val="32"/>
          <w:highlight w:val="none"/>
        </w:rPr>
        <w:t>每月定期与</w:t>
      </w:r>
      <w:r>
        <w:rPr>
          <w:rFonts w:hint="default" w:ascii="Times New Roman" w:hAnsi="Times New Roman" w:eastAsia="仿宋_GB2312" w:cs="Times New Roman"/>
          <w:kern w:val="0"/>
          <w:sz w:val="32"/>
          <w:szCs w:val="32"/>
          <w:highlight w:val="none"/>
          <w:lang w:eastAsia="zh-CN"/>
        </w:rPr>
        <w:t>现场</w:t>
      </w:r>
      <w:r>
        <w:rPr>
          <w:rFonts w:hint="default" w:ascii="Times New Roman" w:hAnsi="Times New Roman" w:eastAsia="仿宋_GB2312" w:cs="Times New Roman"/>
          <w:kern w:val="0"/>
          <w:sz w:val="32"/>
          <w:szCs w:val="32"/>
          <w:highlight w:val="none"/>
        </w:rPr>
        <w:t>消防值班人员进行交流、查看消防主机打印记录和消防值班记录,了解上一个月消防系统运行情况，对出现的运行故障进行处理；对消防主机进行检查并记录;抽5%的探测器进行模拟火灾实验，检查探测器的报警准确性、报警主机运行状况、联动请求的正确性。到建筑物内进行检查，了解消防设施有无被人为损坏或其他损坏情况。对检查结果进行记录，并向招标</w:t>
      </w:r>
      <w:r>
        <w:rPr>
          <w:rFonts w:hint="default" w:ascii="Times New Roman" w:hAnsi="Times New Roman" w:eastAsia="仿宋_GB2312" w:cs="Times New Roman"/>
          <w:kern w:val="0"/>
          <w:sz w:val="32"/>
          <w:szCs w:val="32"/>
          <w:highlight w:val="none"/>
          <w:lang w:eastAsia="zh-CN"/>
        </w:rPr>
        <w:t>方</w:t>
      </w:r>
      <w:r>
        <w:rPr>
          <w:rFonts w:hint="default" w:ascii="Times New Roman" w:hAnsi="Times New Roman" w:eastAsia="仿宋_GB2312" w:cs="Times New Roman"/>
          <w:kern w:val="0"/>
          <w:sz w:val="32"/>
          <w:szCs w:val="32"/>
          <w:highlight w:val="none"/>
        </w:rPr>
        <w:t>出具《月度检查报告》。</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val="en-US" w:eastAsia="zh-CN"/>
        </w:rPr>
        <w:t>5</w:t>
      </w:r>
      <w:r>
        <w:rPr>
          <w:rFonts w:hint="default" w:ascii="Times New Roman" w:hAnsi="Times New Roman" w:eastAsia="仿宋_GB2312" w:cs="Times New Roman"/>
          <w:kern w:val="0"/>
          <w:sz w:val="32"/>
          <w:szCs w:val="32"/>
          <w:highlight w:val="none"/>
        </w:rPr>
        <w:t>）应急检修</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当</w:t>
      </w:r>
      <w:r>
        <w:rPr>
          <w:rFonts w:hint="default" w:ascii="Times New Roman" w:hAnsi="Times New Roman" w:eastAsia="仿宋_GB2312" w:cs="Times New Roman"/>
          <w:kern w:val="0"/>
          <w:sz w:val="32"/>
          <w:szCs w:val="32"/>
          <w:highlight w:val="none"/>
          <w:lang w:val="en-US" w:eastAsia="zh-CN"/>
        </w:rPr>
        <w:t>高新区光电产业园消防维保服务</w:t>
      </w:r>
      <w:r>
        <w:rPr>
          <w:rFonts w:hint="default" w:ascii="Times New Roman" w:hAnsi="Times New Roman" w:eastAsia="仿宋_GB2312" w:cs="Times New Roman"/>
          <w:sz w:val="32"/>
          <w:szCs w:val="32"/>
          <w:highlight w:val="none"/>
        </w:rPr>
        <w:t>项目</w:t>
      </w:r>
      <w:r>
        <w:rPr>
          <w:rFonts w:hint="default" w:ascii="Times New Roman" w:hAnsi="Times New Roman" w:eastAsia="仿宋_GB2312" w:cs="Times New Roman"/>
          <w:sz w:val="32"/>
          <w:szCs w:val="32"/>
          <w:highlight w:val="none"/>
          <w:lang w:eastAsia="zh-CN"/>
        </w:rPr>
        <w:t>消防</w:t>
      </w:r>
      <w:r>
        <w:rPr>
          <w:rFonts w:hint="default" w:ascii="Times New Roman" w:hAnsi="Times New Roman" w:eastAsia="仿宋_GB2312" w:cs="Times New Roman"/>
          <w:kern w:val="0"/>
          <w:sz w:val="32"/>
          <w:szCs w:val="32"/>
          <w:highlight w:val="none"/>
        </w:rPr>
        <w:t>设备出现严重故障时，中标</w:t>
      </w:r>
      <w:r>
        <w:rPr>
          <w:rFonts w:hint="default" w:ascii="Times New Roman" w:hAnsi="Times New Roman" w:eastAsia="仿宋_GB2312" w:cs="Times New Roman"/>
          <w:kern w:val="0"/>
          <w:sz w:val="32"/>
          <w:szCs w:val="32"/>
          <w:highlight w:val="none"/>
          <w:lang w:eastAsia="zh-CN"/>
        </w:rPr>
        <w:t>方</w:t>
      </w:r>
      <w:r>
        <w:rPr>
          <w:rFonts w:hint="default" w:ascii="Times New Roman" w:hAnsi="Times New Roman" w:eastAsia="仿宋_GB2312" w:cs="Times New Roman"/>
          <w:kern w:val="0"/>
          <w:sz w:val="32"/>
          <w:szCs w:val="32"/>
          <w:highlight w:val="none"/>
        </w:rPr>
        <w:t>接到招标</w:t>
      </w:r>
      <w:r>
        <w:rPr>
          <w:rFonts w:hint="default" w:ascii="Times New Roman" w:hAnsi="Times New Roman" w:eastAsia="仿宋_GB2312" w:cs="Times New Roman"/>
          <w:kern w:val="0"/>
          <w:sz w:val="32"/>
          <w:szCs w:val="32"/>
          <w:highlight w:val="none"/>
          <w:lang w:eastAsia="zh-CN"/>
        </w:rPr>
        <w:t>方</w:t>
      </w:r>
      <w:r>
        <w:rPr>
          <w:rFonts w:hint="default" w:ascii="Times New Roman" w:hAnsi="Times New Roman" w:eastAsia="仿宋_GB2312" w:cs="Times New Roman"/>
          <w:kern w:val="0"/>
          <w:sz w:val="32"/>
          <w:szCs w:val="32"/>
          <w:highlight w:val="none"/>
        </w:rPr>
        <w:t>通知，将于</w:t>
      </w:r>
      <w:r>
        <w:rPr>
          <w:rFonts w:hint="default" w:ascii="Times New Roman" w:hAnsi="Times New Roman" w:eastAsia="仿宋_GB2312" w:cs="Times New Roman"/>
          <w:kern w:val="0"/>
          <w:sz w:val="32"/>
          <w:szCs w:val="32"/>
          <w:highlight w:val="none"/>
          <w:lang w:val="en-US" w:eastAsia="zh-CN"/>
        </w:rPr>
        <w:t>30分钟</w:t>
      </w:r>
      <w:r>
        <w:rPr>
          <w:rFonts w:hint="default" w:ascii="Times New Roman" w:hAnsi="Times New Roman" w:eastAsia="仿宋_GB2312" w:cs="Times New Roman"/>
          <w:kern w:val="0"/>
          <w:sz w:val="32"/>
          <w:szCs w:val="32"/>
          <w:highlight w:val="none"/>
        </w:rPr>
        <w:t>内赶到现场，进行应急维修，对维修结果做好记录，维修完成后向招标</w:t>
      </w:r>
      <w:r>
        <w:rPr>
          <w:rFonts w:hint="default" w:ascii="Times New Roman" w:hAnsi="Times New Roman" w:eastAsia="仿宋_GB2312" w:cs="Times New Roman"/>
          <w:kern w:val="0"/>
          <w:sz w:val="32"/>
          <w:szCs w:val="32"/>
          <w:highlight w:val="none"/>
          <w:lang w:eastAsia="zh-CN"/>
        </w:rPr>
        <w:t>方</w:t>
      </w:r>
      <w:r>
        <w:rPr>
          <w:rFonts w:hint="default" w:ascii="Times New Roman" w:hAnsi="Times New Roman" w:eastAsia="仿宋_GB2312" w:cs="Times New Roman"/>
          <w:kern w:val="0"/>
          <w:sz w:val="32"/>
          <w:szCs w:val="32"/>
          <w:highlight w:val="none"/>
        </w:rPr>
        <w:t>出具《应急检修报告》。</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val="en-US" w:eastAsia="zh-CN"/>
        </w:rPr>
        <w:t>6</w:t>
      </w:r>
      <w:r>
        <w:rPr>
          <w:rFonts w:hint="default" w:ascii="Times New Roman" w:hAnsi="Times New Roman" w:eastAsia="仿宋_GB2312" w:cs="Times New Roman"/>
          <w:kern w:val="0"/>
          <w:sz w:val="32"/>
          <w:szCs w:val="32"/>
          <w:highlight w:val="none"/>
        </w:rPr>
        <w:t>）其他检查</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应招标</w:t>
      </w:r>
      <w:r>
        <w:rPr>
          <w:rFonts w:hint="default" w:ascii="Times New Roman" w:hAnsi="Times New Roman" w:eastAsia="仿宋_GB2312" w:cs="Times New Roman"/>
          <w:kern w:val="0"/>
          <w:sz w:val="32"/>
          <w:szCs w:val="32"/>
          <w:highlight w:val="none"/>
          <w:lang w:eastAsia="zh-CN"/>
        </w:rPr>
        <w:t>方</w:t>
      </w:r>
      <w:r>
        <w:rPr>
          <w:rFonts w:hint="default" w:ascii="Times New Roman" w:hAnsi="Times New Roman" w:eastAsia="仿宋_GB2312" w:cs="Times New Roman"/>
          <w:kern w:val="0"/>
          <w:sz w:val="32"/>
          <w:szCs w:val="32"/>
          <w:highlight w:val="none"/>
        </w:rPr>
        <w:t>要求，可在重大事件之前对消防系统进行常规检查，每次检查时间为1天，</w:t>
      </w:r>
      <w:r>
        <w:rPr>
          <w:rFonts w:hint="default" w:ascii="Times New Roman" w:hAnsi="Times New Roman" w:eastAsia="仿宋_GB2312" w:cs="Times New Roman"/>
          <w:kern w:val="0"/>
          <w:sz w:val="32"/>
          <w:szCs w:val="32"/>
          <w:highlight w:val="none"/>
          <w:lang w:eastAsia="zh-CN"/>
        </w:rPr>
        <w:t>全</w:t>
      </w:r>
      <w:r>
        <w:rPr>
          <w:rFonts w:hint="default" w:ascii="Times New Roman" w:hAnsi="Times New Roman" w:eastAsia="仿宋_GB2312" w:cs="Times New Roman"/>
          <w:kern w:val="0"/>
          <w:sz w:val="32"/>
          <w:szCs w:val="32"/>
          <w:highlight w:val="none"/>
        </w:rPr>
        <w:t>年不超过4次。</w:t>
      </w:r>
    </w:p>
    <w:p>
      <w:pPr>
        <w:keepNext w:val="0"/>
        <w:keepLines w:val="0"/>
        <w:pageBreakBefore w:val="0"/>
        <w:tabs>
          <w:tab w:val="left" w:pos="1440"/>
        </w:tabs>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7）</w:t>
      </w:r>
      <w:r>
        <w:rPr>
          <w:rFonts w:hint="default" w:ascii="Times New Roman" w:hAnsi="Times New Roman" w:eastAsia="仿宋_GB2312" w:cs="Times New Roman"/>
          <w:kern w:val="0"/>
          <w:sz w:val="32"/>
          <w:szCs w:val="32"/>
          <w:highlight w:val="none"/>
        </w:rPr>
        <w:t>在发生火灾时，由于消防</w:t>
      </w:r>
      <w:r>
        <w:rPr>
          <w:rFonts w:hint="default" w:ascii="Times New Roman" w:hAnsi="Times New Roman" w:eastAsia="仿宋_GB2312" w:cs="Times New Roman"/>
          <w:color w:val="auto"/>
          <w:kern w:val="0"/>
          <w:sz w:val="32"/>
          <w:szCs w:val="32"/>
          <w:highlight w:val="none"/>
        </w:rPr>
        <w:t>系统</w:t>
      </w:r>
      <w:r>
        <w:rPr>
          <w:rFonts w:hint="default" w:ascii="Times New Roman" w:hAnsi="Times New Roman" w:eastAsia="仿宋_GB2312" w:cs="Times New Roman"/>
          <w:kern w:val="0"/>
          <w:sz w:val="32"/>
          <w:szCs w:val="32"/>
          <w:highlight w:val="none"/>
        </w:rPr>
        <w:t>的设备或线路不能工作，中标单位应承担相应责任。</w:t>
      </w:r>
    </w:p>
    <w:p>
      <w:pPr>
        <w:keepNext w:val="0"/>
        <w:keepLines w:val="0"/>
        <w:pageBreakBefore w:val="0"/>
        <w:tabs>
          <w:tab w:val="left" w:pos="1440"/>
        </w:tabs>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8</w:t>
      </w:r>
      <w:r>
        <w:rPr>
          <w:rFonts w:hint="default" w:ascii="Times New Roman" w:hAnsi="Times New Roman" w:eastAsia="仿宋_GB2312" w:cs="Times New Roman"/>
          <w:kern w:val="0"/>
          <w:sz w:val="32"/>
          <w:szCs w:val="32"/>
          <w:highlight w:val="none"/>
        </w:rPr>
        <w:t>）中标</w:t>
      </w:r>
      <w:r>
        <w:rPr>
          <w:rFonts w:hint="default" w:ascii="Times New Roman" w:hAnsi="Times New Roman" w:eastAsia="仿宋_GB2312" w:cs="Times New Roman"/>
          <w:kern w:val="0"/>
          <w:sz w:val="32"/>
          <w:szCs w:val="32"/>
          <w:highlight w:val="none"/>
          <w:lang w:eastAsia="zh-CN"/>
        </w:rPr>
        <w:t>方有义务</w:t>
      </w:r>
      <w:r>
        <w:rPr>
          <w:rFonts w:hint="default" w:ascii="Times New Roman" w:hAnsi="Times New Roman" w:eastAsia="仿宋_GB2312" w:cs="Times New Roman"/>
          <w:kern w:val="0"/>
          <w:sz w:val="32"/>
          <w:szCs w:val="32"/>
          <w:highlight w:val="none"/>
        </w:rPr>
        <w:t>协助招标</w:t>
      </w:r>
      <w:r>
        <w:rPr>
          <w:rFonts w:hint="default" w:ascii="Times New Roman" w:hAnsi="Times New Roman" w:eastAsia="仿宋_GB2312" w:cs="Times New Roman"/>
          <w:kern w:val="0"/>
          <w:sz w:val="32"/>
          <w:szCs w:val="32"/>
          <w:highlight w:val="none"/>
          <w:lang w:eastAsia="zh-CN"/>
        </w:rPr>
        <w:t>方</w:t>
      </w:r>
      <w:r>
        <w:rPr>
          <w:rFonts w:hint="default" w:ascii="Times New Roman" w:hAnsi="Times New Roman" w:eastAsia="仿宋_GB2312" w:cs="Times New Roman"/>
          <w:kern w:val="0"/>
          <w:sz w:val="32"/>
          <w:szCs w:val="32"/>
          <w:highlight w:val="none"/>
        </w:rPr>
        <w:t>配合消防主管部门的消防系统安全检查。</w:t>
      </w:r>
    </w:p>
    <w:p>
      <w:pPr>
        <w:keepNext w:val="0"/>
        <w:keepLines w:val="0"/>
        <w:pageBreakBefore w:val="0"/>
        <w:tabs>
          <w:tab w:val="left" w:pos="1440"/>
        </w:tabs>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9</w:t>
      </w:r>
      <w:r>
        <w:rPr>
          <w:rFonts w:hint="default" w:ascii="Times New Roman" w:hAnsi="Times New Roman" w:eastAsia="仿宋_GB2312" w:cs="Times New Roman"/>
          <w:kern w:val="0"/>
          <w:sz w:val="32"/>
          <w:szCs w:val="32"/>
          <w:highlight w:val="none"/>
        </w:rPr>
        <w:t>）中标</w:t>
      </w:r>
      <w:r>
        <w:rPr>
          <w:rFonts w:hint="default" w:ascii="Times New Roman" w:hAnsi="Times New Roman" w:eastAsia="仿宋_GB2312" w:cs="Times New Roman"/>
          <w:kern w:val="0"/>
          <w:sz w:val="32"/>
          <w:szCs w:val="32"/>
          <w:highlight w:val="none"/>
          <w:lang w:eastAsia="zh-CN"/>
        </w:rPr>
        <w:t>方</w:t>
      </w:r>
      <w:r>
        <w:rPr>
          <w:rFonts w:hint="default" w:ascii="Times New Roman" w:hAnsi="Times New Roman" w:eastAsia="仿宋_GB2312" w:cs="Times New Roman"/>
          <w:kern w:val="0"/>
          <w:sz w:val="32"/>
          <w:szCs w:val="32"/>
          <w:highlight w:val="none"/>
        </w:rPr>
        <w:t>应严格遵守</w:t>
      </w:r>
      <w:r>
        <w:rPr>
          <w:rFonts w:hint="default" w:ascii="Times New Roman" w:hAnsi="Times New Roman" w:eastAsia="仿宋_GB2312" w:cs="Times New Roman"/>
          <w:kern w:val="0"/>
          <w:sz w:val="32"/>
          <w:szCs w:val="32"/>
          <w:highlight w:val="none"/>
          <w:lang w:val="en-US" w:eastAsia="zh-CN"/>
        </w:rPr>
        <w:t>高新区光电产业园消防维保服务</w:t>
      </w:r>
      <w:r>
        <w:rPr>
          <w:rFonts w:hint="default" w:ascii="Times New Roman" w:hAnsi="Times New Roman" w:eastAsia="仿宋_GB2312" w:cs="Times New Roman"/>
          <w:sz w:val="32"/>
          <w:szCs w:val="32"/>
          <w:highlight w:val="none"/>
        </w:rPr>
        <w:t>项目</w:t>
      </w:r>
      <w:r>
        <w:rPr>
          <w:rFonts w:hint="default" w:ascii="Times New Roman" w:hAnsi="Times New Roman" w:eastAsia="仿宋_GB2312" w:cs="Times New Roman"/>
          <w:sz w:val="32"/>
          <w:szCs w:val="32"/>
          <w:highlight w:val="none"/>
          <w:lang w:eastAsia="zh-CN"/>
        </w:rPr>
        <w:t>招标单位</w:t>
      </w:r>
      <w:r>
        <w:rPr>
          <w:rFonts w:hint="default" w:ascii="Times New Roman" w:hAnsi="Times New Roman" w:eastAsia="仿宋_GB2312" w:cs="Times New Roman"/>
          <w:kern w:val="0"/>
          <w:sz w:val="32"/>
          <w:szCs w:val="32"/>
          <w:highlight w:val="none"/>
        </w:rPr>
        <w:t>的规章制度，并严格遵守施工现场的安全管理规定。</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10</w:t>
      </w:r>
      <w:r>
        <w:rPr>
          <w:rFonts w:hint="default" w:ascii="Times New Roman" w:hAnsi="Times New Roman" w:eastAsia="仿宋_GB2312" w:cs="Times New Roman"/>
          <w:kern w:val="0"/>
          <w:sz w:val="32"/>
          <w:szCs w:val="32"/>
          <w:highlight w:val="none"/>
        </w:rPr>
        <w:t>）要求有维保记录。</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（1</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）建立消防档案</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为招标</w:t>
      </w:r>
      <w:r>
        <w:rPr>
          <w:rFonts w:hint="default" w:ascii="Times New Roman" w:hAnsi="Times New Roman" w:eastAsia="仿宋_GB2312" w:cs="Times New Roman"/>
          <w:kern w:val="0"/>
          <w:sz w:val="32"/>
          <w:szCs w:val="32"/>
          <w:highlight w:val="none"/>
          <w:lang w:eastAsia="zh-CN"/>
        </w:rPr>
        <w:t>方</w:t>
      </w:r>
      <w:r>
        <w:rPr>
          <w:rFonts w:hint="default" w:ascii="Times New Roman" w:hAnsi="Times New Roman" w:eastAsia="仿宋_GB2312" w:cs="Times New Roman"/>
          <w:kern w:val="0"/>
          <w:sz w:val="32"/>
          <w:szCs w:val="32"/>
          <w:highlight w:val="none"/>
        </w:rPr>
        <w:t>建立一套详细的消防设施档案文件，在以后的系统维护保养过程中将严格按照消防设施档案和消防系统维护保养操作细则及工作报告来执行。</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12</w:t>
      </w:r>
      <w:r>
        <w:rPr>
          <w:rFonts w:hint="default" w:ascii="Times New Roman" w:hAnsi="Times New Roman" w:eastAsia="仿宋_GB2312" w:cs="Times New Roman"/>
          <w:kern w:val="0"/>
          <w:sz w:val="32"/>
          <w:szCs w:val="32"/>
          <w:highlight w:val="none"/>
        </w:rPr>
        <w:t>）技术培训</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中标</w:t>
      </w:r>
      <w:r>
        <w:rPr>
          <w:rFonts w:hint="default" w:ascii="Times New Roman" w:hAnsi="Times New Roman" w:eastAsia="仿宋_GB2312" w:cs="Times New Roman"/>
          <w:kern w:val="0"/>
          <w:sz w:val="32"/>
          <w:szCs w:val="32"/>
          <w:highlight w:val="none"/>
          <w:lang w:eastAsia="zh-CN"/>
        </w:rPr>
        <w:t>方</w:t>
      </w:r>
      <w:r>
        <w:rPr>
          <w:rFonts w:hint="default" w:ascii="Times New Roman" w:hAnsi="Times New Roman" w:eastAsia="仿宋_GB2312" w:cs="Times New Roman"/>
          <w:kern w:val="0"/>
          <w:sz w:val="32"/>
          <w:szCs w:val="32"/>
          <w:highlight w:val="none"/>
        </w:rPr>
        <w:t>负责对招标单位的人员提供技术培训，使招标</w:t>
      </w:r>
      <w:r>
        <w:rPr>
          <w:rFonts w:hint="default" w:ascii="Times New Roman" w:hAnsi="Times New Roman" w:eastAsia="仿宋_GB2312" w:cs="Times New Roman"/>
          <w:kern w:val="0"/>
          <w:sz w:val="32"/>
          <w:szCs w:val="32"/>
          <w:highlight w:val="none"/>
          <w:lang w:eastAsia="zh-CN"/>
        </w:rPr>
        <w:t>方</w:t>
      </w:r>
      <w:r>
        <w:rPr>
          <w:rFonts w:hint="default" w:ascii="Times New Roman" w:hAnsi="Times New Roman" w:eastAsia="仿宋_GB2312" w:cs="Times New Roman"/>
          <w:kern w:val="0"/>
          <w:sz w:val="32"/>
          <w:szCs w:val="32"/>
          <w:highlight w:val="none"/>
        </w:rPr>
        <w:t>的</w:t>
      </w:r>
      <w:r>
        <w:rPr>
          <w:rFonts w:hint="default" w:ascii="Times New Roman" w:hAnsi="Times New Roman" w:eastAsia="仿宋_GB2312" w:cs="Times New Roman"/>
          <w:kern w:val="0"/>
          <w:sz w:val="32"/>
          <w:szCs w:val="32"/>
          <w:highlight w:val="none"/>
          <w:lang w:eastAsia="zh-CN"/>
        </w:rPr>
        <w:t>相关</w:t>
      </w:r>
      <w:r>
        <w:rPr>
          <w:rFonts w:hint="default" w:ascii="Times New Roman" w:hAnsi="Times New Roman" w:eastAsia="仿宋_GB2312" w:cs="Times New Roman"/>
          <w:kern w:val="0"/>
          <w:sz w:val="32"/>
          <w:szCs w:val="32"/>
          <w:highlight w:val="none"/>
        </w:rPr>
        <w:t>人员能进行日常的维护和管理，培训安排在每次检修/试验时进行，也可应招标</w:t>
      </w:r>
      <w:r>
        <w:rPr>
          <w:rFonts w:hint="default" w:ascii="Times New Roman" w:hAnsi="Times New Roman" w:eastAsia="仿宋_GB2312" w:cs="Times New Roman"/>
          <w:kern w:val="0"/>
          <w:sz w:val="32"/>
          <w:szCs w:val="32"/>
          <w:highlight w:val="none"/>
          <w:lang w:eastAsia="zh-CN"/>
        </w:rPr>
        <w:t>方的</w:t>
      </w:r>
      <w:r>
        <w:rPr>
          <w:rFonts w:hint="default" w:ascii="Times New Roman" w:hAnsi="Times New Roman" w:eastAsia="仿宋_GB2312" w:cs="Times New Roman"/>
          <w:kern w:val="0"/>
          <w:sz w:val="32"/>
          <w:szCs w:val="32"/>
          <w:highlight w:val="none"/>
        </w:rPr>
        <w:t>要求在合同有效期内随时进行。</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（1</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）设备保障</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为了保证</w:t>
      </w:r>
      <w:r>
        <w:rPr>
          <w:rFonts w:hint="default" w:ascii="Times New Roman" w:hAnsi="Times New Roman" w:eastAsia="仿宋_GB2312" w:cs="Times New Roman"/>
          <w:kern w:val="0"/>
          <w:sz w:val="32"/>
          <w:szCs w:val="32"/>
          <w:highlight w:val="none"/>
          <w:lang w:val="en-US" w:eastAsia="zh-CN"/>
        </w:rPr>
        <w:t>高新区光电产业园消防维保服务</w:t>
      </w:r>
      <w:r>
        <w:rPr>
          <w:rFonts w:hint="default" w:ascii="Times New Roman" w:hAnsi="Times New Roman" w:eastAsia="仿宋_GB2312" w:cs="Times New Roman"/>
          <w:kern w:val="0"/>
          <w:sz w:val="32"/>
          <w:szCs w:val="32"/>
          <w:highlight w:val="none"/>
          <w:lang w:eastAsia="zh-CN"/>
        </w:rPr>
        <w:t>项目消防</w:t>
      </w:r>
      <w:r>
        <w:rPr>
          <w:rFonts w:hint="default" w:ascii="Times New Roman" w:hAnsi="Times New Roman" w:eastAsia="仿宋_GB2312" w:cs="Times New Roman"/>
          <w:kern w:val="0"/>
          <w:sz w:val="32"/>
          <w:szCs w:val="32"/>
          <w:highlight w:val="none"/>
        </w:rPr>
        <w:t>系统长期稳定运行，中标</w:t>
      </w:r>
      <w:r>
        <w:rPr>
          <w:rFonts w:hint="default" w:ascii="Times New Roman" w:hAnsi="Times New Roman" w:eastAsia="仿宋_GB2312" w:cs="Times New Roman"/>
          <w:kern w:val="0"/>
          <w:sz w:val="32"/>
          <w:szCs w:val="32"/>
          <w:highlight w:val="none"/>
          <w:lang w:eastAsia="zh-CN"/>
        </w:rPr>
        <w:t>方</w:t>
      </w:r>
      <w:r>
        <w:rPr>
          <w:rFonts w:hint="default" w:ascii="Times New Roman" w:hAnsi="Times New Roman" w:eastAsia="仿宋_GB2312" w:cs="Times New Roman"/>
          <w:kern w:val="0"/>
          <w:sz w:val="32"/>
          <w:szCs w:val="32"/>
          <w:highlight w:val="none"/>
        </w:rPr>
        <w:t>承诺在合同有效期内向招标</w:t>
      </w:r>
      <w:r>
        <w:rPr>
          <w:rFonts w:hint="default" w:ascii="Times New Roman" w:hAnsi="Times New Roman" w:eastAsia="仿宋_GB2312" w:cs="Times New Roman"/>
          <w:kern w:val="0"/>
          <w:sz w:val="32"/>
          <w:szCs w:val="32"/>
          <w:highlight w:val="none"/>
          <w:lang w:eastAsia="zh-CN"/>
        </w:rPr>
        <w:t>方</w:t>
      </w:r>
      <w:r>
        <w:rPr>
          <w:rFonts w:hint="default" w:ascii="Times New Roman" w:hAnsi="Times New Roman" w:eastAsia="仿宋_GB2312" w:cs="Times New Roman"/>
          <w:kern w:val="0"/>
          <w:sz w:val="32"/>
          <w:szCs w:val="32"/>
          <w:highlight w:val="none"/>
        </w:rPr>
        <w:t>提供</w:t>
      </w:r>
      <w:r>
        <w:rPr>
          <w:rFonts w:hint="default" w:ascii="Times New Roman" w:hAnsi="Times New Roman" w:eastAsia="仿宋_GB2312" w:cs="Times New Roman"/>
          <w:kern w:val="0"/>
          <w:sz w:val="32"/>
          <w:szCs w:val="32"/>
          <w:highlight w:val="none"/>
          <w:lang w:eastAsia="zh-CN"/>
        </w:rPr>
        <w:t>的项目</w:t>
      </w:r>
      <w:r>
        <w:rPr>
          <w:rFonts w:hint="default" w:ascii="Times New Roman" w:hAnsi="Times New Roman" w:eastAsia="仿宋_GB2312" w:cs="Times New Roman"/>
          <w:kern w:val="0"/>
          <w:sz w:val="32"/>
          <w:szCs w:val="32"/>
          <w:highlight w:val="none"/>
        </w:rPr>
        <w:t>消防系统所需的备品备件，</w:t>
      </w:r>
      <w:r>
        <w:rPr>
          <w:rFonts w:hint="default" w:ascii="Times New Roman" w:hAnsi="Times New Roman" w:eastAsia="仿宋_GB2312" w:cs="Times New Roman"/>
          <w:kern w:val="0"/>
          <w:sz w:val="32"/>
          <w:szCs w:val="32"/>
          <w:highlight w:val="none"/>
          <w:lang w:eastAsia="zh-CN"/>
        </w:rPr>
        <w:t>但</w:t>
      </w:r>
      <w:r>
        <w:rPr>
          <w:rFonts w:hint="default" w:ascii="Times New Roman" w:hAnsi="Times New Roman" w:eastAsia="仿宋_GB2312" w:cs="Times New Roman"/>
          <w:kern w:val="0"/>
          <w:sz w:val="32"/>
          <w:szCs w:val="32"/>
          <w:highlight w:val="none"/>
        </w:rPr>
        <w:t>价格不</w:t>
      </w:r>
      <w:r>
        <w:rPr>
          <w:rFonts w:hint="default" w:ascii="Times New Roman" w:hAnsi="Times New Roman" w:eastAsia="仿宋_GB2312" w:cs="Times New Roman"/>
          <w:kern w:val="0"/>
          <w:sz w:val="32"/>
          <w:szCs w:val="32"/>
          <w:highlight w:val="none"/>
          <w:lang w:eastAsia="zh-CN"/>
        </w:rPr>
        <w:t>能</w:t>
      </w:r>
      <w:r>
        <w:rPr>
          <w:rFonts w:hint="default" w:ascii="Times New Roman" w:hAnsi="Times New Roman" w:eastAsia="仿宋_GB2312" w:cs="Times New Roman"/>
          <w:kern w:val="0"/>
          <w:sz w:val="32"/>
          <w:szCs w:val="32"/>
          <w:highlight w:val="none"/>
        </w:rPr>
        <w:t>高于市场价格。</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default"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14）</w:t>
      </w:r>
      <w:r>
        <w:rPr>
          <w:rFonts w:hint="default" w:ascii="Times New Roman" w:hAnsi="Times New Roman" w:eastAsia="仿宋_GB2312" w:cs="Times New Roman"/>
          <w:kern w:val="0"/>
          <w:sz w:val="32"/>
          <w:szCs w:val="32"/>
          <w:highlight w:val="none"/>
        </w:rPr>
        <w:t>技术督导</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如招标</w:t>
      </w:r>
      <w:r>
        <w:rPr>
          <w:rFonts w:hint="default" w:ascii="Times New Roman" w:hAnsi="Times New Roman" w:eastAsia="仿宋_GB2312" w:cs="Times New Roman"/>
          <w:kern w:val="0"/>
          <w:sz w:val="32"/>
          <w:szCs w:val="32"/>
          <w:highlight w:val="none"/>
          <w:lang w:eastAsia="zh-CN"/>
        </w:rPr>
        <w:t>方需</w:t>
      </w:r>
      <w:r>
        <w:rPr>
          <w:rFonts w:hint="default" w:ascii="Times New Roman" w:hAnsi="Times New Roman" w:eastAsia="仿宋_GB2312" w:cs="Times New Roman"/>
          <w:kern w:val="0"/>
          <w:sz w:val="32"/>
          <w:szCs w:val="32"/>
          <w:highlight w:val="none"/>
        </w:rPr>
        <w:t>对消防系统所在的部位进行改造施工，中标</w:t>
      </w:r>
      <w:r>
        <w:rPr>
          <w:rFonts w:hint="default" w:ascii="Times New Roman" w:hAnsi="Times New Roman" w:eastAsia="仿宋_GB2312" w:cs="Times New Roman"/>
          <w:kern w:val="0"/>
          <w:sz w:val="32"/>
          <w:szCs w:val="32"/>
          <w:highlight w:val="none"/>
          <w:lang w:eastAsia="zh-CN"/>
        </w:rPr>
        <w:t>方</w:t>
      </w:r>
      <w:r>
        <w:rPr>
          <w:rFonts w:hint="default" w:ascii="Times New Roman" w:hAnsi="Times New Roman" w:eastAsia="仿宋_GB2312" w:cs="Times New Roman"/>
          <w:kern w:val="0"/>
          <w:sz w:val="32"/>
          <w:szCs w:val="32"/>
          <w:highlight w:val="none"/>
        </w:rPr>
        <w:t>应负责施工期间的消防报警系统探测点及联动控制点恢复安装的监督、指导、验收，验收后纳入整体技术服务范围。</w:t>
      </w:r>
    </w:p>
    <w:p>
      <w:pPr>
        <w:keepNext w:val="0"/>
        <w:keepLines w:val="0"/>
        <w:pageBreakBefore w:val="0"/>
        <w:kinsoku/>
        <w:wordWrap/>
        <w:overflowPunct/>
        <w:topLinePunct w:val="0"/>
        <w:autoSpaceDE/>
        <w:autoSpaceDN/>
        <w:bidi w:val="0"/>
        <w:adjustRightInd/>
        <w:snapToGrid/>
        <w:spacing w:line="600" w:lineRule="exact"/>
        <w:ind w:right="0" w:rightChars="0"/>
        <w:jc w:val="left"/>
        <w:textAlignment w:val="auto"/>
        <w:outlineLvl w:val="9"/>
        <w:rPr>
          <w:rFonts w:hint="eastAsia" w:ascii="仿宋_GB2312" w:hAnsi="仿宋_GB2312" w:eastAsia="仿宋_GB2312" w:cs="仿宋_GB2312"/>
          <w:sz w:val="28"/>
          <w:szCs w:val="28"/>
          <w:highlight w:val="none"/>
          <w:lang w:eastAsia="zh-CN"/>
        </w:rPr>
      </w:pPr>
      <w:r>
        <w:rPr>
          <w:rFonts w:hint="default" w:ascii="Times New Roman" w:hAnsi="Times New Roman" w:eastAsia="仿宋_GB2312" w:cs="Times New Roman"/>
          <w:sz w:val="32"/>
          <w:szCs w:val="32"/>
          <w:highlight w:val="none"/>
        </w:rPr>
        <w:br w:type="page"/>
      </w:r>
      <w:r>
        <w:rPr>
          <w:rFonts w:hint="eastAsia" w:ascii="仿宋_GB2312" w:hAnsi="仿宋_GB2312" w:eastAsia="仿宋_GB2312" w:cs="仿宋_GB2312"/>
          <w:sz w:val="28"/>
          <w:szCs w:val="28"/>
          <w:highlight w:val="none"/>
        </w:rPr>
        <w:t>附件</w:t>
      </w:r>
      <w:r>
        <w:rPr>
          <w:rFonts w:hint="eastAsia" w:ascii="仿宋_GB2312" w:hAnsi="仿宋_GB2312" w:eastAsia="仿宋_GB2312" w:cs="仿宋_GB2312"/>
          <w:sz w:val="28"/>
          <w:szCs w:val="28"/>
          <w:highlight w:val="none"/>
          <w:lang w:eastAsia="zh-CN"/>
        </w:rPr>
        <w:t>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44"/>
          <w:szCs w:val="44"/>
          <w:highlight w:val="none"/>
          <w:lang w:val="en-US" w:eastAsia="zh-CN"/>
        </w:rPr>
      </w:pPr>
      <w:bookmarkStart w:id="2" w:name="_Toc414557140"/>
      <w:r>
        <w:rPr>
          <w:rFonts w:hint="eastAsia" w:ascii="方正小标宋简体" w:hAnsi="方正小标宋简体" w:eastAsia="方正小标宋简体" w:cs="方正小标宋简体"/>
          <w:b/>
          <w:bCs/>
          <w:sz w:val="44"/>
          <w:szCs w:val="44"/>
          <w:highlight w:val="none"/>
          <w:lang w:val="en-US" w:eastAsia="zh-CN"/>
        </w:rPr>
        <w:t>高新区光电产业园消防维保服务项目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44"/>
          <w:szCs w:val="44"/>
          <w:highlight w:val="none"/>
        </w:rPr>
      </w:pPr>
      <w:r>
        <w:rPr>
          <w:rFonts w:hint="eastAsia" w:ascii="方正小标宋简体" w:hAnsi="方正小标宋简体" w:eastAsia="方正小标宋简体" w:cs="方正小标宋简体"/>
          <w:b/>
          <w:bCs/>
          <w:sz w:val="44"/>
          <w:szCs w:val="44"/>
          <w:highlight w:val="none"/>
        </w:rPr>
        <w:t>消防系统维保服务</w:t>
      </w:r>
      <w:r>
        <w:rPr>
          <w:rFonts w:hint="eastAsia" w:ascii="方正小标宋简体" w:hAnsi="方正小标宋简体" w:eastAsia="方正小标宋简体" w:cs="方正小标宋简体"/>
          <w:b/>
          <w:bCs/>
          <w:sz w:val="44"/>
          <w:szCs w:val="44"/>
          <w:highlight w:val="none"/>
          <w:lang w:eastAsia="zh-CN"/>
        </w:rPr>
        <w:t>工作要求和标准</w:t>
      </w:r>
    </w:p>
    <w:bookmarkEnd w:id="2"/>
    <w:p>
      <w:pPr>
        <w:jc w:val="center"/>
        <w:rPr>
          <w:rFonts w:hint="eastAsia" w:ascii="仿宋_GB2312" w:hAnsi="仿宋_GB2312" w:eastAsia="仿宋_GB2312" w:cs="仿宋_GB2312"/>
          <w:b/>
          <w:bCs/>
          <w:sz w:val="28"/>
          <w:szCs w:val="28"/>
          <w:highlight w:val="none"/>
        </w:rPr>
      </w:pPr>
    </w:p>
    <w:p>
      <w:pPr>
        <w:pStyle w:val="14"/>
        <w:ind w:left="2" w:leftChars="1" w:firstLine="723" w:firstLineChars="22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为了</w:t>
      </w:r>
      <w:r>
        <w:rPr>
          <w:rFonts w:hint="eastAsia" w:ascii="仿宋_GB2312" w:hAnsi="仿宋_GB2312" w:eastAsia="仿宋_GB2312" w:cs="仿宋_GB2312"/>
          <w:kern w:val="0"/>
          <w:sz w:val="32"/>
          <w:szCs w:val="32"/>
          <w:highlight w:val="none"/>
          <w:lang w:val="en-US" w:eastAsia="zh-CN"/>
        </w:rPr>
        <w:t>高新区光电产业园消防维保服务</w:t>
      </w:r>
      <w:r>
        <w:rPr>
          <w:rFonts w:hint="eastAsia" w:ascii="仿宋_GB2312" w:hAnsi="仿宋_GB2312" w:eastAsia="仿宋_GB2312" w:cs="仿宋_GB2312"/>
          <w:sz w:val="32"/>
          <w:szCs w:val="32"/>
          <w:highlight w:val="none"/>
        </w:rPr>
        <w:t>项目的消防系统维保服务水准，保持在与其所在地位和档次相适应的较高标准，故</w:t>
      </w:r>
      <w:r>
        <w:rPr>
          <w:rFonts w:hint="eastAsia" w:ascii="仿宋_GB2312" w:hAnsi="仿宋_GB2312" w:eastAsia="仿宋_GB2312" w:cs="仿宋_GB2312"/>
          <w:sz w:val="32"/>
          <w:szCs w:val="32"/>
          <w:highlight w:val="none"/>
          <w:lang w:eastAsia="zh-CN"/>
        </w:rPr>
        <w:t>对消防维保服务工作要求的</w:t>
      </w:r>
      <w:r>
        <w:rPr>
          <w:rFonts w:hint="eastAsia" w:ascii="仿宋_GB2312" w:hAnsi="仿宋_GB2312" w:eastAsia="仿宋_GB2312" w:cs="仿宋_GB2312"/>
          <w:sz w:val="32"/>
          <w:szCs w:val="32"/>
          <w:highlight w:val="none"/>
        </w:rPr>
        <w:t>条款进行了仔细的描述，以方便</w:t>
      </w:r>
      <w:r>
        <w:rPr>
          <w:rFonts w:hint="eastAsia" w:ascii="仿宋_GB2312" w:hAnsi="仿宋_GB2312" w:eastAsia="仿宋_GB2312" w:cs="仿宋_GB2312"/>
          <w:sz w:val="32"/>
          <w:szCs w:val="32"/>
          <w:highlight w:val="none"/>
          <w:lang w:eastAsia="zh-CN"/>
        </w:rPr>
        <w:t>中标</w:t>
      </w:r>
      <w:r>
        <w:rPr>
          <w:rFonts w:hint="eastAsia" w:ascii="仿宋_GB2312" w:hAnsi="仿宋_GB2312" w:eastAsia="仿宋_GB2312" w:cs="仿宋_GB2312"/>
          <w:sz w:val="32"/>
          <w:szCs w:val="32"/>
          <w:highlight w:val="none"/>
        </w:rPr>
        <w:t>方按照规定进行合理的安排，从而达到规定之要求。</w:t>
      </w:r>
      <w:r>
        <w:rPr>
          <w:rFonts w:hint="eastAsia" w:ascii="仿宋_GB2312" w:hAnsi="仿宋_GB2312" w:eastAsia="仿宋_GB2312" w:cs="仿宋_GB2312"/>
          <w:sz w:val="32"/>
          <w:szCs w:val="32"/>
          <w:highlight w:val="none"/>
          <w:lang w:eastAsia="zh-CN"/>
        </w:rPr>
        <w:t>中标</w:t>
      </w:r>
      <w:r>
        <w:rPr>
          <w:rFonts w:hint="eastAsia" w:ascii="仿宋_GB2312" w:hAnsi="仿宋_GB2312" w:eastAsia="仿宋_GB2312" w:cs="仿宋_GB2312"/>
          <w:sz w:val="32"/>
          <w:szCs w:val="32"/>
          <w:highlight w:val="none"/>
        </w:rPr>
        <w:t>方须同意执行并保持与下列条款与要求所规定的项目一致。</w:t>
      </w:r>
      <w:r>
        <w:rPr>
          <w:rFonts w:hint="eastAsia" w:ascii="仿宋_GB2312" w:hAnsi="仿宋_GB2312" w:eastAsia="仿宋_GB2312" w:cs="仿宋_GB2312"/>
          <w:sz w:val="32"/>
          <w:szCs w:val="32"/>
          <w:highlight w:val="none"/>
          <w:lang w:eastAsia="zh-CN"/>
        </w:rPr>
        <w:t>招标方任</w:t>
      </w:r>
      <w:r>
        <w:rPr>
          <w:rFonts w:hint="eastAsia" w:ascii="仿宋_GB2312" w:hAnsi="仿宋_GB2312" w:eastAsia="仿宋_GB2312" w:cs="仿宋_GB2312"/>
          <w:sz w:val="32"/>
          <w:szCs w:val="32"/>
          <w:highlight w:val="none"/>
        </w:rPr>
        <w:t>何时间发现</w:t>
      </w:r>
      <w:r>
        <w:rPr>
          <w:rFonts w:hint="eastAsia" w:ascii="仿宋_GB2312" w:hAnsi="仿宋_GB2312" w:eastAsia="仿宋_GB2312" w:cs="仿宋_GB2312"/>
          <w:sz w:val="32"/>
          <w:szCs w:val="32"/>
          <w:highlight w:val="none"/>
          <w:lang w:eastAsia="zh-CN"/>
        </w:rPr>
        <w:t>中标</w:t>
      </w:r>
      <w:r>
        <w:rPr>
          <w:rFonts w:hint="eastAsia" w:ascii="仿宋_GB2312" w:hAnsi="仿宋_GB2312" w:eastAsia="仿宋_GB2312" w:cs="仿宋_GB2312"/>
          <w:sz w:val="32"/>
          <w:szCs w:val="32"/>
          <w:highlight w:val="none"/>
        </w:rPr>
        <w:t>方的工作标准不能达到规定所要求，</w:t>
      </w:r>
      <w:r>
        <w:rPr>
          <w:rFonts w:hint="eastAsia" w:ascii="仿宋_GB2312" w:hAnsi="仿宋_GB2312" w:eastAsia="仿宋_GB2312" w:cs="仿宋_GB2312"/>
          <w:sz w:val="32"/>
          <w:szCs w:val="32"/>
          <w:highlight w:val="none"/>
          <w:lang w:eastAsia="zh-CN"/>
        </w:rPr>
        <w:t>中标</w:t>
      </w:r>
      <w:r>
        <w:rPr>
          <w:rFonts w:hint="eastAsia" w:ascii="仿宋_GB2312" w:hAnsi="仿宋_GB2312" w:eastAsia="仿宋_GB2312" w:cs="仿宋_GB2312"/>
          <w:sz w:val="32"/>
          <w:szCs w:val="32"/>
          <w:highlight w:val="none"/>
        </w:rPr>
        <w:t>方应立即进行整改，并提出相关整改跟进的报告。具体考核方式、考核标准及考核办法，详见附件</w:t>
      </w:r>
    </w:p>
    <w:p>
      <w:pPr>
        <w:pStyle w:val="14"/>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sz w:val="32"/>
          <w:szCs w:val="32"/>
          <w:highlight w:val="none"/>
        </w:rPr>
      </w:pPr>
      <w:r>
        <w:rPr>
          <w:rFonts w:hint="eastAsia" w:ascii="黑体" w:hAnsi="黑体" w:eastAsia="黑体" w:cs="黑体"/>
          <w:b/>
          <w:bCs/>
          <w:kern w:val="0"/>
          <w:sz w:val="32"/>
          <w:szCs w:val="32"/>
          <w:highlight w:val="none"/>
          <w:lang w:val="en-US" w:eastAsia="zh-CN"/>
        </w:rPr>
        <w:t>1.</w:t>
      </w:r>
      <w:r>
        <w:rPr>
          <w:rFonts w:hint="eastAsia" w:ascii="黑体" w:hAnsi="黑体" w:eastAsia="黑体" w:cs="黑体"/>
          <w:b/>
          <w:bCs/>
          <w:kern w:val="0"/>
          <w:sz w:val="32"/>
          <w:szCs w:val="32"/>
          <w:highlight w:val="none"/>
        </w:rPr>
        <w:t>日常消防维保服务内容及标准</w:t>
      </w:r>
    </w:p>
    <w:tbl>
      <w:tblPr>
        <w:tblStyle w:val="27"/>
        <w:tblW w:w="10349" w:type="dxa"/>
        <w:jc w:val="center"/>
        <w:tblLayout w:type="fixed"/>
        <w:tblCellMar>
          <w:top w:w="0" w:type="dxa"/>
          <w:left w:w="108" w:type="dxa"/>
          <w:bottom w:w="0" w:type="dxa"/>
          <w:right w:w="108" w:type="dxa"/>
        </w:tblCellMar>
      </w:tblPr>
      <w:tblGrid>
        <w:gridCol w:w="426"/>
        <w:gridCol w:w="426"/>
        <w:gridCol w:w="2976"/>
        <w:gridCol w:w="436"/>
        <w:gridCol w:w="426"/>
        <w:gridCol w:w="426"/>
        <w:gridCol w:w="426"/>
        <w:gridCol w:w="426"/>
        <w:gridCol w:w="426"/>
        <w:gridCol w:w="426"/>
        <w:gridCol w:w="426"/>
        <w:gridCol w:w="426"/>
        <w:gridCol w:w="426"/>
        <w:gridCol w:w="460"/>
        <w:gridCol w:w="460"/>
        <w:gridCol w:w="1331"/>
      </w:tblGrid>
      <w:tr>
        <w:trPr>
          <w:trHeight w:val="570" w:hRule="atLeast"/>
          <w:jc w:val="center"/>
        </w:trPr>
        <w:tc>
          <w:tcPr>
            <w:tcW w:w="10349" w:type="dxa"/>
            <w:gridSpan w:val="16"/>
            <w:tcBorders>
              <w:top w:val="nil"/>
              <w:left w:val="nil"/>
              <w:bottom w:val="nil"/>
              <w:right w:val="nil"/>
            </w:tcBorders>
            <w:noWrap w:val="0"/>
            <w:vAlign w:val="center"/>
          </w:tcPr>
          <w:p>
            <w:pPr>
              <w:widowControl/>
              <w:jc w:val="left"/>
              <w:rPr>
                <w:rFonts w:hint="eastAsia" w:ascii="仿宋_GB2312" w:hAnsi="仿宋_GB2312" w:eastAsia="仿宋_GB2312" w:cs="仿宋_GB2312"/>
                <w:b/>
                <w:bCs/>
                <w:kern w:val="0"/>
                <w:szCs w:val="21"/>
                <w:highlight w:val="none"/>
              </w:rPr>
            </w:pPr>
            <w:r>
              <w:rPr>
                <w:rFonts w:hint="eastAsia" w:ascii="仿宋_GB2312" w:hAnsi="仿宋_GB2312" w:eastAsia="仿宋_GB2312" w:cs="仿宋_GB2312"/>
                <w:kern w:val="0"/>
                <w:szCs w:val="21"/>
                <w:highlight w:val="none"/>
              </w:rPr>
              <w:t xml:space="preserve"> </w:t>
            </w:r>
          </w:p>
        </w:tc>
      </w:tr>
      <w:tr>
        <w:tblPrEx>
          <w:tblCellMar>
            <w:top w:w="0" w:type="dxa"/>
            <w:left w:w="108" w:type="dxa"/>
            <w:bottom w:w="0" w:type="dxa"/>
            <w:right w:w="108" w:type="dxa"/>
          </w:tblCellMar>
        </w:tblPrEx>
        <w:trPr>
          <w:trHeight w:val="438" w:hRule="atLeast"/>
          <w:jc w:val="center"/>
        </w:trPr>
        <w:tc>
          <w:tcPr>
            <w:tcW w:w="426" w:type="dxa"/>
            <w:vMerge w:val="restart"/>
            <w:tcBorders>
              <w:top w:val="single" w:color="auto" w:sz="4" w:space="0"/>
              <w:left w:val="single" w:color="auto" w:sz="4" w:space="0"/>
              <w:bottom w:val="nil"/>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系统类别</w:t>
            </w:r>
          </w:p>
        </w:tc>
        <w:tc>
          <w:tcPr>
            <w:tcW w:w="426" w:type="dxa"/>
            <w:vMerge w:val="restart"/>
            <w:tcBorders>
              <w:top w:val="single" w:color="auto" w:sz="4" w:space="0"/>
              <w:left w:val="single" w:color="auto" w:sz="4" w:space="0"/>
              <w:bottom w:val="nil"/>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序号</w:t>
            </w:r>
          </w:p>
        </w:tc>
        <w:tc>
          <w:tcPr>
            <w:tcW w:w="2976" w:type="dxa"/>
            <w:vMerge w:val="restart"/>
            <w:tcBorders>
              <w:top w:val="single" w:color="auto" w:sz="4" w:space="0"/>
              <w:left w:val="single" w:color="auto" w:sz="4" w:space="0"/>
              <w:bottom w:val="nil"/>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系统维护保养内容</w:t>
            </w:r>
          </w:p>
        </w:tc>
        <w:tc>
          <w:tcPr>
            <w:tcW w:w="1288"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第一季度</w:t>
            </w:r>
          </w:p>
        </w:tc>
        <w:tc>
          <w:tcPr>
            <w:tcW w:w="1278"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第二季度</w:t>
            </w:r>
          </w:p>
        </w:tc>
        <w:tc>
          <w:tcPr>
            <w:tcW w:w="1278"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第三季度</w:t>
            </w:r>
          </w:p>
        </w:tc>
        <w:tc>
          <w:tcPr>
            <w:tcW w:w="1346"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第四季度</w:t>
            </w:r>
          </w:p>
        </w:tc>
        <w:tc>
          <w:tcPr>
            <w:tcW w:w="1331" w:type="dxa"/>
            <w:vMerge w:val="restart"/>
            <w:tcBorders>
              <w:top w:val="single" w:color="auto" w:sz="4" w:space="0"/>
              <w:left w:val="single" w:color="auto" w:sz="4" w:space="0"/>
              <w:bottom w:val="nil"/>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备注</w:t>
            </w:r>
          </w:p>
        </w:tc>
      </w:tr>
      <w:tr>
        <w:tblPrEx>
          <w:tblCellMar>
            <w:top w:w="0" w:type="dxa"/>
            <w:left w:w="108" w:type="dxa"/>
            <w:bottom w:w="0" w:type="dxa"/>
            <w:right w:w="108" w:type="dxa"/>
          </w:tblCellMar>
        </w:tblPrEx>
        <w:trPr>
          <w:trHeight w:val="772" w:hRule="atLeast"/>
          <w:jc w:val="center"/>
        </w:trPr>
        <w:tc>
          <w:tcPr>
            <w:tcW w:w="426"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p>
        </w:tc>
        <w:tc>
          <w:tcPr>
            <w:tcW w:w="426" w:type="dxa"/>
            <w:vMerge w:val="continue"/>
            <w:tcBorders>
              <w:top w:val="single" w:color="auto" w:sz="4" w:space="0"/>
              <w:left w:val="single" w:color="auto" w:sz="4" w:space="0"/>
              <w:bottom w:val="nil"/>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p>
        </w:tc>
        <w:tc>
          <w:tcPr>
            <w:tcW w:w="2976"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p>
        </w:tc>
        <w:tc>
          <w:tcPr>
            <w:tcW w:w="436" w:type="dxa"/>
            <w:tcBorders>
              <w:top w:val="nil"/>
              <w:left w:val="nil"/>
              <w:bottom w:val="nil"/>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一月</w:t>
            </w:r>
          </w:p>
        </w:tc>
        <w:tc>
          <w:tcPr>
            <w:tcW w:w="426" w:type="dxa"/>
            <w:tcBorders>
              <w:top w:val="nil"/>
              <w:left w:val="nil"/>
              <w:bottom w:val="nil"/>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二月</w:t>
            </w:r>
          </w:p>
        </w:tc>
        <w:tc>
          <w:tcPr>
            <w:tcW w:w="426" w:type="dxa"/>
            <w:tcBorders>
              <w:top w:val="nil"/>
              <w:left w:val="nil"/>
              <w:bottom w:val="nil"/>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三月</w:t>
            </w:r>
          </w:p>
        </w:tc>
        <w:tc>
          <w:tcPr>
            <w:tcW w:w="426" w:type="dxa"/>
            <w:tcBorders>
              <w:top w:val="nil"/>
              <w:left w:val="nil"/>
              <w:bottom w:val="nil"/>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四月</w:t>
            </w:r>
          </w:p>
        </w:tc>
        <w:tc>
          <w:tcPr>
            <w:tcW w:w="426" w:type="dxa"/>
            <w:tcBorders>
              <w:top w:val="nil"/>
              <w:left w:val="nil"/>
              <w:bottom w:val="nil"/>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五月</w:t>
            </w:r>
          </w:p>
        </w:tc>
        <w:tc>
          <w:tcPr>
            <w:tcW w:w="426" w:type="dxa"/>
            <w:tcBorders>
              <w:top w:val="nil"/>
              <w:left w:val="nil"/>
              <w:bottom w:val="nil"/>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六月</w:t>
            </w:r>
          </w:p>
        </w:tc>
        <w:tc>
          <w:tcPr>
            <w:tcW w:w="426" w:type="dxa"/>
            <w:tcBorders>
              <w:top w:val="nil"/>
              <w:left w:val="nil"/>
              <w:bottom w:val="nil"/>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七月</w:t>
            </w:r>
          </w:p>
        </w:tc>
        <w:tc>
          <w:tcPr>
            <w:tcW w:w="426" w:type="dxa"/>
            <w:tcBorders>
              <w:top w:val="nil"/>
              <w:left w:val="nil"/>
              <w:bottom w:val="nil"/>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八月</w:t>
            </w:r>
          </w:p>
        </w:tc>
        <w:tc>
          <w:tcPr>
            <w:tcW w:w="426" w:type="dxa"/>
            <w:tcBorders>
              <w:top w:val="nil"/>
              <w:left w:val="nil"/>
              <w:bottom w:val="nil"/>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九月</w:t>
            </w:r>
          </w:p>
        </w:tc>
        <w:tc>
          <w:tcPr>
            <w:tcW w:w="426" w:type="dxa"/>
            <w:tcBorders>
              <w:top w:val="nil"/>
              <w:left w:val="nil"/>
              <w:bottom w:val="nil"/>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十月</w:t>
            </w:r>
          </w:p>
        </w:tc>
        <w:tc>
          <w:tcPr>
            <w:tcW w:w="460" w:type="dxa"/>
            <w:tcBorders>
              <w:top w:val="nil"/>
              <w:left w:val="nil"/>
              <w:bottom w:val="nil"/>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十一月</w:t>
            </w:r>
          </w:p>
        </w:tc>
        <w:tc>
          <w:tcPr>
            <w:tcW w:w="460" w:type="dxa"/>
            <w:tcBorders>
              <w:top w:val="nil"/>
              <w:left w:val="nil"/>
              <w:bottom w:val="nil"/>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十二月</w:t>
            </w:r>
          </w:p>
        </w:tc>
        <w:tc>
          <w:tcPr>
            <w:tcW w:w="1331"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p>
        </w:tc>
      </w:tr>
      <w:tr>
        <w:tblPrEx>
          <w:tblCellMar>
            <w:top w:w="0" w:type="dxa"/>
            <w:left w:w="108" w:type="dxa"/>
            <w:bottom w:w="0" w:type="dxa"/>
            <w:right w:w="108" w:type="dxa"/>
          </w:tblCellMar>
        </w:tblPrEx>
        <w:trPr>
          <w:trHeight w:val="705" w:hRule="atLeast"/>
          <w:jc w:val="center"/>
        </w:trPr>
        <w:tc>
          <w:tcPr>
            <w:tcW w:w="426"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火灾报警系统</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w:t>
            </w:r>
          </w:p>
        </w:tc>
        <w:tc>
          <w:tcPr>
            <w:tcW w:w="297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清洁消防主机、检查设备的运行状况，维护系统的联动程序，保持系统性能完好稳定</w:t>
            </w:r>
          </w:p>
        </w:tc>
        <w:tc>
          <w:tcPr>
            <w:tcW w:w="4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133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每月一次</w:t>
            </w:r>
          </w:p>
        </w:tc>
      </w:tr>
      <w:tr>
        <w:tblPrEx>
          <w:tblCellMar>
            <w:top w:w="0" w:type="dxa"/>
            <w:left w:w="108" w:type="dxa"/>
            <w:bottom w:w="0" w:type="dxa"/>
            <w:right w:w="108" w:type="dxa"/>
          </w:tblCellMar>
        </w:tblPrEx>
        <w:trPr>
          <w:trHeight w:val="465" w:hRule="atLeast"/>
          <w:jc w:val="center"/>
        </w:trPr>
        <w:tc>
          <w:tcPr>
            <w:tcW w:w="42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2</w:t>
            </w:r>
          </w:p>
        </w:tc>
        <w:tc>
          <w:tcPr>
            <w:tcW w:w="297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火灾报警主机的显示功能及打印机是否正常工作</w:t>
            </w:r>
          </w:p>
        </w:tc>
        <w:tc>
          <w:tcPr>
            <w:tcW w:w="43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133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每月一次</w:t>
            </w:r>
          </w:p>
        </w:tc>
      </w:tr>
      <w:tr>
        <w:tblPrEx>
          <w:tblCellMar>
            <w:top w:w="0" w:type="dxa"/>
            <w:left w:w="108" w:type="dxa"/>
            <w:bottom w:w="0" w:type="dxa"/>
            <w:right w:w="108" w:type="dxa"/>
          </w:tblCellMar>
        </w:tblPrEx>
        <w:trPr>
          <w:trHeight w:val="465" w:hRule="atLeast"/>
          <w:jc w:val="center"/>
        </w:trPr>
        <w:tc>
          <w:tcPr>
            <w:tcW w:w="42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3</w:t>
            </w:r>
          </w:p>
        </w:tc>
        <w:tc>
          <w:tcPr>
            <w:tcW w:w="297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检查及测试主机电源、驱动电源主、务电供</w:t>
            </w:r>
          </w:p>
        </w:tc>
        <w:tc>
          <w:tcPr>
            <w:tcW w:w="43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133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每月一次</w:t>
            </w:r>
          </w:p>
        </w:tc>
      </w:tr>
      <w:tr>
        <w:tblPrEx>
          <w:tblCellMar>
            <w:top w:w="0" w:type="dxa"/>
            <w:left w:w="108" w:type="dxa"/>
            <w:bottom w:w="0" w:type="dxa"/>
            <w:right w:w="108" w:type="dxa"/>
          </w:tblCellMar>
        </w:tblPrEx>
        <w:trPr>
          <w:trHeight w:val="330" w:hRule="atLeast"/>
          <w:jc w:val="center"/>
        </w:trPr>
        <w:tc>
          <w:tcPr>
            <w:tcW w:w="42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4</w:t>
            </w:r>
          </w:p>
        </w:tc>
        <w:tc>
          <w:tcPr>
            <w:tcW w:w="297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测试各区域内消防对讲电话是否正常</w:t>
            </w:r>
          </w:p>
        </w:tc>
        <w:tc>
          <w:tcPr>
            <w:tcW w:w="43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133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每季度一次</w:t>
            </w:r>
          </w:p>
        </w:tc>
      </w:tr>
      <w:tr>
        <w:tblPrEx>
          <w:tblCellMar>
            <w:top w:w="0" w:type="dxa"/>
            <w:left w:w="108" w:type="dxa"/>
            <w:bottom w:w="0" w:type="dxa"/>
            <w:right w:w="108" w:type="dxa"/>
          </w:tblCellMar>
        </w:tblPrEx>
        <w:trPr>
          <w:trHeight w:val="465" w:hRule="atLeast"/>
          <w:jc w:val="center"/>
        </w:trPr>
        <w:tc>
          <w:tcPr>
            <w:tcW w:w="42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5</w:t>
            </w:r>
          </w:p>
        </w:tc>
        <w:tc>
          <w:tcPr>
            <w:tcW w:w="297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在消防控制中心远程启动消防泵,测试泵动作和信号反馈情况</w:t>
            </w:r>
          </w:p>
        </w:tc>
        <w:tc>
          <w:tcPr>
            <w:tcW w:w="43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133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每月一次</w:t>
            </w:r>
          </w:p>
        </w:tc>
      </w:tr>
      <w:tr>
        <w:tblPrEx>
          <w:tblCellMar>
            <w:top w:w="0" w:type="dxa"/>
            <w:left w:w="108" w:type="dxa"/>
            <w:bottom w:w="0" w:type="dxa"/>
            <w:right w:w="108" w:type="dxa"/>
          </w:tblCellMar>
        </w:tblPrEx>
        <w:trPr>
          <w:trHeight w:val="360" w:hRule="atLeast"/>
          <w:jc w:val="center"/>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6</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测试感烟探测器及感温探测器</w:t>
            </w:r>
          </w:p>
        </w:tc>
        <w:tc>
          <w:tcPr>
            <w:tcW w:w="4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13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每</w:t>
            </w:r>
            <w:r>
              <w:rPr>
                <w:rFonts w:hint="eastAsia" w:ascii="仿宋_GB2312" w:hAnsi="仿宋_GB2312" w:eastAsia="仿宋_GB2312" w:cs="仿宋_GB2312"/>
                <w:kern w:val="0"/>
                <w:szCs w:val="21"/>
                <w:highlight w:val="none"/>
                <w:lang w:eastAsia="zh-CN"/>
              </w:rPr>
              <w:t>月</w:t>
            </w:r>
            <w:r>
              <w:rPr>
                <w:rFonts w:hint="eastAsia" w:ascii="仿宋_GB2312" w:hAnsi="仿宋_GB2312" w:eastAsia="仿宋_GB2312" w:cs="仿宋_GB2312"/>
                <w:kern w:val="0"/>
                <w:szCs w:val="21"/>
                <w:highlight w:val="none"/>
              </w:rPr>
              <w:t>一次</w:t>
            </w:r>
          </w:p>
        </w:tc>
      </w:tr>
      <w:tr>
        <w:tblPrEx>
          <w:tblCellMar>
            <w:top w:w="0" w:type="dxa"/>
            <w:left w:w="108" w:type="dxa"/>
            <w:bottom w:w="0" w:type="dxa"/>
            <w:right w:w="108" w:type="dxa"/>
          </w:tblCellMar>
        </w:tblPrEx>
        <w:trPr>
          <w:trHeight w:val="267" w:hRule="atLeast"/>
          <w:jc w:val="center"/>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7</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测试湿式报警阀的压力开关输入模块是否工作正常</w:t>
            </w:r>
          </w:p>
        </w:tc>
        <w:tc>
          <w:tcPr>
            <w:tcW w:w="4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13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每</w:t>
            </w:r>
            <w:r>
              <w:rPr>
                <w:rFonts w:hint="eastAsia" w:ascii="仿宋_GB2312" w:hAnsi="仿宋_GB2312" w:eastAsia="仿宋_GB2312" w:cs="仿宋_GB2312"/>
                <w:kern w:val="0"/>
                <w:szCs w:val="21"/>
                <w:highlight w:val="none"/>
                <w:lang w:eastAsia="zh-CN"/>
              </w:rPr>
              <w:t>季度</w:t>
            </w:r>
            <w:r>
              <w:rPr>
                <w:rFonts w:hint="eastAsia" w:ascii="仿宋_GB2312" w:hAnsi="仿宋_GB2312" w:eastAsia="仿宋_GB2312" w:cs="仿宋_GB2312"/>
                <w:kern w:val="0"/>
                <w:szCs w:val="21"/>
                <w:highlight w:val="none"/>
              </w:rPr>
              <w:t>一次</w:t>
            </w:r>
          </w:p>
        </w:tc>
      </w:tr>
      <w:tr>
        <w:tblPrEx>
          <w:tblCellMar>
            <w:top w:w="0" w:type="dxa"/>
            <w:left w:w="108" w:type="dxa"/>
            <w:bottom w:w="0" w:type="dxa"/>
            <w:right w:w="108" w:type="dxa"/>
          </w:tblCellMar>
        </w:tblPrEx>
        <w:trPr>
          <w:trHeight w:val="465" w:hRule="atLeast"/>
          <w:jc w:val="center"/>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8</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清洁手动报警按钮与警铃表面清洁、检查其安装是否牢固</w:t>
            </w:r>
          </w:p>
        </w:tc>
        <w:tc>
          <w:tcPr>
            <w:tcW w:w="4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13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每</w:t>
            </w:r>
            <w:r>
              <w:rPr>
                <w:rFonts w:hint="eastAsia" w:ascii="仿宋_GB2312" w:hAnsi="仿宋_GB2312" w:eastAsia="仿宋_GB2312" w:cs="仿宋_GB2312"/>
                <w:kern w:val="0"/>
                <w:szCs w:val="21"/>
                <w:highlight w:val="none"/>
              </w:rPr>
              <w:t>季度一次</w:t>
            </w:r>
          </w:p>
        </w:tc>
      </w:tr>
      <w:tr>
        <w:tblPrEx>
          <w:tblCellMar>
            <w:top w:w="0" w:type="dxa"/>
            <w:left w:w="108" w:type="dxa"/>
            <w:bottom w:w="0" w:type="dxa"/>
            <w:right w:w="108" w:type="dxa"/>
          </w:tblCellMar>
        </w:tblPrEx>
        <w:trPr>
          <w:trHeight w:val="465" w:hRule="atLeast"/>
          <w:jc w:val="center"/>
        </w:trPr>
        <w:tc>
          <w:tcPr>
            <w:tcW w:w="42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9</w:t>
            </w:r>
          </w:p>
        </w:tc>
        <w:tc>
          <w:tcPr>
            <w:tcW w:w="297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全面测试火灾报警系统的联动功能（联动内容见说明5）</w:t>
            </w:r>
          </w:p>
        </w:tc>
        <w:tc>
          <w:tcPr>
            <w:tcW w:w="4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133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每半年一次</w:t>
            </w:r>
          </w:p>
        </w:tc>
      </w:tr>
      <w:tr>
        <w:tblPrEx>
          <w:tblCellMar>
            <w:top w:w="0" w:type="dxa"/>
            <w:left w:w="108" w:type="dxa"/>
            <w:bottom w:w="0" w:type="dxa"/>
            <w:right w:w="108" w:type="dxa"/>
          </w:tblCellMar>
        </w:tblPrEx>
        <w:trPr>
          <w:trHeight w:val="465" w:hRule="atLeast"/>
          <w:jc w:val="center"/>
        </w:trPr>
        <w:tc>
          <w:tcPr>
            <w:tcW w:w="42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泵房给水系统</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w:t>
            </w:r>
          </w:p>
        </w:tc>
        <w:tc>
          <w:tcPr>
            <w:tcW w:w="297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检查水泵运行时温度、震动、声响及润滑是否</w:t>
            </w:r>
          </w:p>
        </w:tc>
        <w:tc>
          <w:tcPr>
            <w:tcW w:w="43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133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每月一次</w:t>
            </w:r>
          </w:p>
        </w:tc>
      </w:tr>
      <w:tr>
        <w:tblPrEx>
          <w:tblCellMar>
            <w:top w:w="0" w:type="dxa"/>
            <w:left w:w="108" w:type="dxa"/>
            <w:bottom w:w="0" w:type="dxa"/>
            <w:right w:w="108" w:type="dxa"/>
          </w:tblCellMar>
        </w:tblPrEx>
        <w:trPr>
          <w:trHeight w:val="465" w:hRule="atLeast"/>
          <w:jc w:val="center"/>
        </w:trPr>
        <w:tc>
          <w:tcPr>
            <w:tcW w:w="42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2</w:t>
            </w:r>
          </w:p>
        </w:tc>
        <w:tc>
          <w:tcPr>
            <w:tcW w:w="297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检查水泵之密封有否损坏及漏水、腐蚀状况</w:t>
            </w:r>
          </w:p>
        </w:tc>
        <w:tc>
          <w:tcPr>
            <w:tcW w:w="43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133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每月一次</w:t>
            </w:r>
          </w:p>
        </w:tc>
      </w:tr>
      <w:tr>
        <w:tblPrEx>
          <w:tblCellMar>
            <w:top w:w="0" w:type="dxa"/>
            <w:left w:w="108" w:type="dxa"/>
            <w:bottom w:w="0" w:type="dxa"/>
            <w:right w:w="108" w:type="dxa"/>
          </w:tblCellMar>
        </w:tblPrEx>
        <w:trPr>
          <w:trHeight w:val="465" w:hRule="atLeast"/>
          <w:jc w:val="center"/>
        </w:trPr>
        <w:tc>
          <w:tcPr>
            <w:tcW w:w="42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3</w:t>
            </w:r>
          </w:p>
        </w:tc>
        <w:tc>
          <w:tcPr>
            <w:tcW w:w="297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检查水泵/马达连接器及进出口阀门、压力表、软接、止回阀、过滤器</w:t>
            </w:r>
          </w:p>
        </w:tc>
        <w:tc>
          <w:tcPr>
            <w:tcW w:w="43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133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每月一次</w:t>
            </w:r>
          </w:p>
        </w:tc>
      </w:tr>
      <w:tr>
        <w:tblPrEx>
          <w:tblCellMar>
            <w:top w:w="0" w:type="dxa"/>
            <w:left w:w="108" w:type="dxa"/>
            <w:bottom w:w="0" w:type="dxa"/>
            <w:right w:w="108" w:type="dxa"/>
          </w:tblCellMar>
        </w:tblPrEx>
        <w:trPr>
          <w:trHeight w:val="465" w:hRule="atLeast"/>
          <w:jc w:val="center"/>
        </w:trPr>
        <w:tc>
          <w:tcPr>
            <w:tcW w:w="42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4</w:t>
            </w:r>
          </w:p>
        </w:tc>
        <w:tc>
          <w:tcPr>
            <w:tcW w:w="297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检查控制柜内之讯号指示是否正常及柜内控制电器状况</w:t>
            </w:r>
          </w:p>
        </w:tc>
        <w:tc>
          <w:tcPr>
            <w:tcW w:w="43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133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每月一次</w:t>
            </w:r>
          </w:p>
        </w:tc>
      </w:tr>
      <w:tr>
        <w:tblPrEx>
          <w:tblCellMar>
            <w:top w:w="0" w:type="dxa"/>
            <w:left w:w="108" w:type="dxa"/>
            <w:bottom w:w="0" w:type="dxa"/>
            <w:right w:w="108" w:type="dxa"/>
          </w:tblCellMar>
        </w:tblPrEx>
        <w:trPr>
          <w:trHeight w:val="315" w:hRule="atLeast"/>
          <w:jc w:val="center"/>
        </w:trPr>
        <w:tc>
          <w:tcPr>
            <w:tcW w:w="42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5</w:t>
            </w:r>
          </w:p>
        </w:tc>
        <w:tc>
          <w:tcPr>
            <w:tcW w:w="297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检查控制电路、开关、电流及电压</w:t>
            </w:r>
          </w:p>
        </w:tc>
        <w:tc>
          <w:tcPr>
            <w:tcW w:w="43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133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每季度一次</w:t>
            </w:r>
          </w:p>
        </w:tc>
      </w:tr>
      <w:tr>
        <w:tblPrEx>
          <w:tblCellMar>
            <w:top w:w="0" w:type="dxa"/>
            <w:left w:w="108" w:type="dxa"/>
            <w:bottom w:w="0" w:type="dxa"/>
            <w:right w:w="108" w:type="dxa"/>
          </w:tblCellMar>
        </w:tblPrEx>
        <w:trPr>
          <w:trHeight w:val="465" w:hRule="atLeast"/>
          <w:jc w:val="center"/>
        </w:trPr>
        <w:tc>
          <w:tcPr>
            <w:tcW w:w="42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6</w:t>
            </w:r>
          </w:p>
        </w:tc>
        <w:tc>
          <w:tcPr>
            <w:tcW w:w="297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检查测试水泵的压力开关自动启泵功能，及消火栓按钮远程启动功能</w:t>
            </w:r>
          </w:p>
        </w:tc>
        <w:tc>
          <w:tcPr>
            <w:tcW w:w="43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133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每季度一次</w:t>
            </w:r>
          </w:p>
        </w:tc>
      </w:tr>
      <w:tr>
        <w:tblPrEx>
          <w:tblCellMar>
            <w:top w:w="0" w:type="dxa"/>
            <w:left w:w="108" w:type="dxa"/>
            <w:bottom w:w="0" w:type="dxa"/>
            <w:right w:w="108" w:type="dxa"/>
          </w:tblCellMar>
        </w:tblPrEx>
        <w:trPr>
          <w:trHeight w:val="465" w:hRule="atLeast"/>
          <w:jc w:val="center"/>
        </w:trPr>
        <w:tc>
          <w:tcPr>
            <w:tcW w:w="42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7</w:t>
            </w:r>
          </w:p>
        </w:tc>
        <w:tc>
          <w:tcPr>
            <w:tcW w:w="297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检查水泵结合器、安全阀、止回阀、放水阀、接口</w:t>
            </w:r>
          </w:p>
        </w:tc>
        <w:tc>
          <w:tcPr>
            <w:tcW w:w="43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133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每月一次</w:t>
            </w:r>
          </w:p>
        </w:tc>
      </w:tr>
      <w:tr>
        <w:tblPrEx>
          <w:tblCellMar>
            <w:top w:w="0" w:type="dxa"/>
            <w:left w:w="108" w:type="dxa"/>
            <w:bottom w:w="0" w:type="dxa"/>
            <w:right w:w="108" w:type="dxa"/>
          </w:tblCellMar>
        </w:tblPrEx>
        <w:trPr>
          <w:trHeight w:val="465" w:hRule="atLeast"/>
          <w:jc w:val="center"/>
        </w:trPr>
        <w:tc>
          <w:tcPr>
            <w:tcW w:w="42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8</w:t>
            </w:r>
          </w:p>
        </w:tc>
        <w:tc>
          <w:tcPr>
            <w:tcW w:w="297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检查水泵电机外壳，保证马达有效散热</w:t>
            </w:r>
          </w:p>
        </w:tc>
        <w:tc>
          <w:tcPr>
            <w:tcW w:w="43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133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每月一次</w:t>
            </w:r>
          </w:p>
        </w:tc>
      </w:tr>
      <w:tr>
        <w:tblPrEx>
          <w:tblCellMar>
            <w:top w:w="0" w:type="dxa"/>
            <w:left w:w="108" w:type="dxa"/>
            <w:bottom w:w="0" w:type="dxa"/>
            <w:right w:w="108" w:type="dxa"/>
          </w:tblCellMar>
        </w:tblPrEx>
        <w:trPr>
          <w:trHeight w:val="465" w:hRule="atLeast"/>
          <w:jc w:val="center"/>
        </w:trPr>
        <w:tc>
          <w:tcPr>
            <w:tcW w:w="42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9</w:t>
            </w:r>
          </w:p>
        </w:tc>
        <w:tc>
          <w:tcPr>
            <w:tcW w:w="297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检查室外消火栓是否漏水、损坏，启动\关闭动作是否灵活</w:t>
            </w:r>
          </w:p>
        </w:tc>
        <w:tc>
          <w:tcPr>
            <w:tcW w:w="43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133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每季度一次</w:t>
            </w:r>
          </w:p>
        </w:tc>
      </w:tr>
      <w:tr>
        <w:tblPrEx>
          <w:tblCellMar>
            <w:top w:w="0" w:type="dxa"/>
            <w:left w:w="108" w:type="dxa"/>
            <w:bottom w:w="0" w:type="dxa"/>
            <w:right w:w="108" w:type="dxa"/>
          </w:tblCellMar>
        </w:tblPrEx>
        <w:trPr>
          <w:trHeight w:val="285" w:hRule="atLeast"/>
          <w:jc w:val="center"/>
        </w:trPr>
        <w:tc>
          <w:tcPr>
            <w:tcW w:w="42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自动喷淋系统</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w:t>
            </w:r>
          </w:p>
        </w:tc>
        <w:tc>
          <w:tcPr>
            <w:tcW w:w="297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检查系统所有压力表指数</w:t>
            </w:r>
          </w:p>
        </w:tc>
        <w:tc>
          <w:tcPr>
            <w:tcW w:w="4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133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每月一次</w:t>
            </w:r>
          </w:p>
        </w:tc>
      </w:tr>
      <w:tr>
        <w:tblPrEx>
          <w:tblCellMar>
            <w:top w:w="0" w:type="dxa"/>
            <w:left w:w="108" w:type="dxa"/>
            <w:bottom w:w="0" w:type="dxa"/>
            <w:right w:w="108" w:type="dxa"/>
          </w:tblCellMar>
        </w:tblPrEx>
        <w:trPr>
          <w:trHeight w:val="465" w:hRule="atLeast"/>
          <w:jc w:val="center"/>
        </w:trPr>
        <w:tc>
          <w:tcPr>
            <w:tcW w:w="42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2</w:t>
            </w:r>
          </w:p>
        </w:tc>
        <w:tc>
          <w:tcPr>
            <w:tcW w:w="297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测试各类阀组装置性能及各区域内报警阀、稳压装置、水警铃性能</w:t>
            </w:r>
          </w:p>
        </w:tc>
        <w:tc>
          <w:tcPr>
            <w:tcW w:w="436" w:type="dxa"/>
            <w:tcBorders>
              <w:top w:val="nil"/>
              <w:left w:val="nil"/>
              <w:bottom w:val="nil"/>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nil"/>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nil"/>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nil"/>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nil"/>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nil"/>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nil"/>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nil"/>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nil"/>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nil"/>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60" w:type="dxa"/>
            <w:tcBorders>
              <w:top w:val="nil"/>
              <w:left w:val="nil"/>
              <w:bottom w:val="nil"/>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60" w:type="dxa"/>
            <w:tcBorders>
              <w:top w:val="nil"/>
              <w:left w:val="nil"/>
              <w:bottom w:val="nil"/>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133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每季度一次</w:t>
            </w:r>
          </w:p>
        </w:tc>
      </w:tr>
      <w:tr>
        <w:tblPrEx>
          <w:tblCellMar>
            <w:top w:w="0" w:type="dxa"/>
            <w:left w:w="108" w:type="dxa"/>
            <w:bottom w:w="0" w:type="dxa"/>
            <w:right w:w="108" w:type="dxa"/>
          </w:tblCellMar>
        </w:tblPrEx>
        <w:trPr>
          <w:trHeight w:val="285" w:hRule="atLeast"/>
          <w:jc w:val="center"/>
        </w:trPr>
        <w:tc>
          <w:tcPr>
            <w:tcW w:w="42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3</w:t>
            </w:r>
          </w:p>
        </w:tc>
        <w:tc>
          <w:tcPr>
            <w:tcW w:w="297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检查喷头完好状况</w:t>
            </w:r>
          </w:p>
        </w:tc>
        <w:tc>
          <w:tcPr>
            <w:tcW w:w="4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133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每季度一次</w:t>
            </w:r>
          </w:p>
        </w:tc>
      </w:tr>
      <w:tr>
        <w:tblPrEx>
          <w:tblCellMar>
            <w:top w:w="0" w:type="dxa"/>
            <w:left w:w="108" w:type="dxa"/>
            <w:bottom w:w="0" w:type="dxa"/>
            <w:right w:w="108" w:type="dxa"/>
          </w:tblCellMar>
        </w:tblPrEx>
        <w:trPr>
          <w:trHeight w:val="285" w:hRule="atLeast"/>
          <w:jc w:val="center"/>
        </w:trPr>
        <w:tc>
          <w:tcPr>
            <w:tcW w:w="42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4</w:t>
            </w:r>
          </w:p>
        </w:tc>
        <w:tc>
          <w:tcPr>
            <w:tcW w:w="297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测试信号阀、水流指示器</w:t>
            </w:r>
          </w:p>
        </w:tc>
        <w:tc>
          <w:tcPr>
            <w:tcW w:w="43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133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每半年一次</w:t>
            </w:r>
          </w:p>
        </w:tc>
      </w:tr>
      <w:tr>
        <w:tblPrEx>
          <w:tblCellMar>
            <w:top w:w="0" w:type="dxa"/>
            <w:left w:w="108" w:type="dxa"/>
            <w:bottom w:w="0" w:type="dxa"/>
            <w:right w:w="108" w:type="dxa"/>
          </w:tblCellMar>
        </w:tblPrEx>
        <w:trPr>
          <w:trHeight w:val="465" w:hRule="atLeast"/>
          <w:jc w:val="center"/>
        </w:trPr>
        <w:tc>
          <w:tcPr>
            <w:tcW w:w="42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消防栓系统</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w:t>
            </w:r>
          </w:p>
        </w:tc>
        <w:tc>
          <w:tcPr>
            <w:tcW w:w="297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检查消防栓箱外观是否损坏、箱内设备是否缺失</w:t>
            </w:r>
          </w:p>
        </w:tc>
        <w:tc>
          <w:tcPr>
            <w:tcW w:w="43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133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每月一次</w:t>
            </w:r>
          </w:p>
        </w:tc>
      </w:tr>
      <w:tr>
        <w:tblPrEx>
          <w:tblCellMar>
            <w:top w:w="0" w:type="dxa"/>
            <w:left w:w="108" w:type="dxa"/>
            <w:bottom w:w="0" w:type="dxa"/>
            <w:right w:w="108" w:type="dxa"/>
          </w:tblCellMar>
        </w:tblPrEx>
        <w:trPr>
          <w:trHeight w:val="465" w:hRule="atLeast"/>
          <w:jc w:val="center"/>
        </w:trPr>
        <w:tc>
          <w:tcPr>
            <w:tcW w:w="42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2</w:t>
            </w:r>
          </w:p>
        </w:tc>
        <w:tc>
          <w:tcPr>
            <w:tcW w:w="297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检查消防稳压装置、龙头、水管等设备是否老化，是否漏水</w:t>
            </w:r>
          </w:p>
        </w:tc>
        <w:tc>
          <w:tcPr>
            <w:tcW w:w="43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133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每月一次</w:t>
            </w:r>
          </w:p>
        </w:tc>
      </w:tr>
      <w:tr>
        <w:tblPrEx>
          <w:tblCellMar>
            <w:top w:w="0" w:type="dxa"/>
            <w:left w:w="108" w:type="dxa"/>
            <w:bottom w:w="0" w:type="dxa"/>
            <w:right w:w="108" w:type="dxa"/>
          </w:tblCellMar>
        </w:tblPrEx>
        <w:trPr>
          <w:trHeight w:val="1004" w:hRule="atLeast"/>
          <w:jc w:val="center"/>
        </w:trPr>
        <w:tc>
          <w:tcPr>
            <w:tcW w:w="42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应急\疏散照明系统</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w:t>
            </w:r>
          </w:p>
        </w:tc>
        <w:tc>
          <w:tcPr>
            <w:tcW w:w="297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检查应急\疏散照明灯具外观是否破损，安装是否稳固，保持灯具表面清洁</w:t>
            </w:r>
          </w:p>
        </w:tc>
        <w:tc>
          <w:tcPr>
            <w:tcW w:w="43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133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每季度一次</w:t>
            </w:r>
          </w:p>
        </w:tc>
      </w:tr>
      <w:tr>
        <w:tblPrEx>
          <w:tblCellMar>
            <w:top w:w="0" w:type="dxa"/>
            <w:left w:w="108" w:type="dxa"/>
            <w:bottom w:w="0" w:type="dxa"/>
            <w:right w:w="108" w:type="dxa"/>
          </w:tblCellMar>
        </w:tblPrEx>
        <w:trPr>
          <w:trHeight w:val="285" w:hRule="atLeast"/>
          <w:jc w:val="center"/>
        </w:trPr>
        <w:tc>
          <w:tcPr>
            <w:tcW w:w="4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2</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测试应急\疏散灯具是否正常工作</w:t>
            </w:r>
          </w:p>
        </w:tc>
        <w:tc>
          <w:tcPr>
            <w:tcW w:w="4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13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每季度一次</w:t>
            </w:r>
          </w:p>
        </w:tc>
      </w:tr>
      <w:tr>
        <w:tblPrEx>
          <w:tblCellMar>
            <w:top w:w="0" w:type="dxa"/>
            <w:left w:w="108" w:type="dxa"/>
            <w:bottom w:w="0" w:type="dxa"/>
            <w:right w:w="108" w:type="dxa"/>
          </w:tblCellMar>
        </w:tblPrEx>
        <w:trPr>
          <w:trHeight w:val="360" w:hRule="atLeast"/>
          <w:jc w:val="center"/>
        </w:trPr>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气体灭火装置</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w:t>
            </w:r>
          </w:p>
        </w:tc>
        <w:tc>
          <w:tcPr>
            <w:tcW w:w="297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测试各类阀组装置性能</w:t>
            </w:r>
          </w:p>
        </w:tc>
        <w:tc>
          <w:tcPr>
            <w:tcW w:w="4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133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每季度一次</w:t>
            </w:r>
          </w:p>
        </w:tc>
      </w:tr>
      <w:tr>
        <w:tblPrEx>
          <w:tblCellMar>
            <w:top w:w="0" w:type="dxa"/>
            <w:left w:w="108" w:type="dxa"/>
            <w:bottom w:w="0" w:type="dxa"/>
            <w:right w:w="108" w:type="dxa"/>
          </w:tblCellMar>
        </w:tblPrEx>
        <w:trPr>
          <w:trHeight w:val="480" w:hRule="atLeast"/>
          <w:jc w:val="center"/>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2</w:t>
            </w:r>
          </w:p>
        </w:tc>
        <w:tc>
          <w:tcPr>
            <w:tcW w:w="297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检查测试气瓶的压力和开关自动功能</w:t>
            </w:r>
          </w:p>
        </w:tc>
        <w:tc>
          <w:tcPr>
            <w:tcW w:w="43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133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每季度一次</w:t>
            </w:r>
          </w:p>
        </w:tc>
      </w:tr>
      <w:tr>
        <w:tblPrEx>
          <w:tblCellMar>
            <w:top w:w="0" w:type="dxa"/>
            <w:left w:w="108" w:type="dxa"/>
            <w:bottom w:w="0" w:type="dxa"/>
            <w:right w:w="108" w:type="dxa"/>
          </w:tblCellMar>
        </w:tblPrEx>
        <w:trPr>
          <w:trHeight w:val="480" w:hRule="atLeast"/>
          <w:jc w:val="center"/>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3</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清洁气瓶报警装置、检查其安装是否牢固</w:t>
            </w:r>
          </w:p>
        </w:tc>
        <w:tc>
          <w:tcPr>
            <w:tcW w:w="4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13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每季度一次</w:t>
            </w:r>
          </w:p>
        </w:tc>
      </w:tr>
      <w:tr>
        <w:tblPrEx>
          <w:tblCellMar>
            <w:top w:w="0" w:type="dxa"/>
            <w:left w:w="108" w:type="dxa"/>
            <w:bottom w:w="0" w:type="dxa"/>
            <w:right w:w="108" w:type="dxa"/>
          </w:tblCellMar>
        </w:tblPrEx>
        <w:trPr>
          <w:trHeight w:val="1439"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水喷淋系统</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w:t>
            </w:r>
          </w:p>
        </w:tc>
        <w:tc>
          <w:tcPr>
            <w:tcW w:w="297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检查系统管网工作静水压力及储罐工作压力</w:t>
            </w:r>
          </w:p>
        </w:tc>
        <w:tc>
          <w:tcPr>
            <w:tcW w:w="4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133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每季度一次</w:t>
            </w:r>
          </w:p>
        </w:tc>
      </w:tr>
      <w:tr>
        <w:tblPrEx>
          <w:tblCellMar>
            <w:top w:w="0" w:type="dxa"/>
            <w:left w:w="108" w:type="dxa"/>
            <w:bottom w:w="0" w:type="dxa"/>
            <w:right w:w="108" w:type="dxa"/>
          </w:tblCellMar>
        </w:tblPrEx>
        <w:trPr>
          <w:trHeight w:val="520" w:hRule="atLeast"/>
          <w:jc w:val="center"/>
        </w:trPr>
        <w:tc>
          <w:tcPr>
            <w:tcW w:w="42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防火卷帘</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w:t>
            </w:r>
          </w:p>
        </w:tc>
        <w:tc>
          <w:tcPr>
            <w:tcW w:w="297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定期检查启动按钮升降情况</w:t>
            </w:r>
          </w:p>
        </w:tc>
        <w:tc>
          <w:tcPr>
            <w:tcW w:w="43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133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每月一次</w:t>
            </w:r>
          </w:p>
        </w:tc>
      </w:tr>
      <w:tr>
        <w:tblPrEx>
          <w:tblCellMar>
            <w:top w:w="0" w:type="dxa"/>
            <w:left w:w="108" w:type="dxa"/>
            <w:bottom w:w="0" w:type="dxa"/>
            <w:right w:w="108" w:type="dxa"/>
          </w:tblCellMar>
        </w:tblPrEx>
        <w:trPr>
          <w:trHeight w:val="285" w:hRule="atLeast"/>
          <w:jc w:val="center"/>
        </w:trPr>
        <w:tc>
          <w:tcPr>
            <w:tcW w:w="42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2</w:t>
            </w:r>
          </w:p>
        </w:tc>
        <w:tc>
          <w:tcPr>
            <w:tcW w:w="297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定期对电机进行润滑保养</w:t>
            </w:r>
          </w:p>
        </w:tc>
        <w:tc>
          <w:tcPr>
            <w:tcW w:w="4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4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133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每季度一次</w:t>
            </w:r>
          </w:p>
        </w:tc>
      </w:tr>
      <w:tr>
        <w:tblPrEx>
          <w:tblCellMar>
            <w:top w:w="0" w:type="dxa"/>
            <w:left w:w="108" w:type="dxa"/>
            <w:bottom w:w="0" w:type="dxa"/>
            <w:right w:w="108" w:type="dxa"/>
          </w:tblCellMar>
        </w:tblPrEx>
        <w:trPr>
          <w:trHeight w:val="570" w:hRule="atLeast"/>
          <w:jc w:val="center"/>
        </w:trPr>
        <w:tc>
          <w:tcPr>
            <w:tcW w:w="42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lang w:eastAsia="zh-CN"/>
              </w:rPr>
              <w:t>消防排烟系统</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w:t>
            </w:r>
          </w:p>
        </w:tc>
        <w:tc>
          <w:tcPr>
            <w:tcW w:w="297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检查控制柜内之讯号指示是否正常及柜内控制电器状况</w:t>
            </w:r>
          </w:p>
        </w:tc>
        <w:tc>
          <w:tcPr>
            <w:tcW w:w="43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133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每月一次</w:t>
            </w:r>
          </w:p>
        </w:tc>
      </w:tr>
      <w:tr>
        <w:tblPrEx>
          <w:tblCellMar>
            <w:top w:w="0" w:type="dxa"/>
            <w:left w:w="108" w:type="dxa"/>
            <w:bottom w:w="0" w:type="dxa"/>
            <w:right w:w="108" w:type="dxa"/>
          </w:tblCellMar>
        </w:tblPrEx>
        <w:trPr>
          <w:trHeight w:val="420" w:hRule="atLeast"/>
          <w:jc w:val="center"/>
        </w:trPr>
        <w:tc>
          <w:tcPr>
            <w:tcW w:w="4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2</w:t>
            </w:r>
          </w:p>
        </w:tc>
        <w:tc>
          <w:tcPr>
            <w:tcW w:w="297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检查风机电机外壳，接地及运转情况，无异响等</w:t>
            </w:r>
          </w:p>
        </w:tc>
        <w:tc>
          <w:tcPr>
            <w:tcW w:w="43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2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46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p>
        </w:tc>
        <w:tc>
          <w:tcPr>
            <w:tcW w:w="133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每月一次</w:t>
            </w:r>
          </w:p>
        </w:tc>
      </w:tr>
      <w:tr>
        <w:tblPrEx>
          <w:tblCellMar>
            <w:top w:w="0" w:type="dxa"/>
            <w:left w:w="108" w:type="dxa"/>
            <w:bottom w:w="0" w:type="dxa"/>
            <w:right w:w="108" w:type="dxa"/>
          </w:tblCellMar>
        </w:tblPrEx>
        <w:trPr>
          <w:trHeight w:val="487" w:hRule="atLeast"/>
          <w:jc w:val="center"/>
        </w:trPr>
        <w:tc>
          <w:tcPr>
            <w:tcW w:w="426" w:type="dxa"/>
            <w:tcBorders>
              <w:top w:val="nil"/>
              <w:left w:val="nil"/>
              <w:bottom w:val="nil"/>
              <w:right w:val="nil"/>
            </w:tcBorders>
            <w:noWrap w:val="0"/>
            <w:vAlign w:val="center"/>
          </w:tcPr>
          <w:p>
            <w:pPr>
              <w:widowControl/>
              <w:jc w:val="center"/>
              <w:rPr>
                <w:rFonts w:hint="eastAsia" w:ascii="仿宋_GB2312" w:hAnsi="仿宋_GB2312" w:eastAsia="仿宋_GB2312" w:cs="仿宋_GB2312"/>
                <w:kern w:val="0"/>
                <w:sz w:val="28"/>
                <w:szCs w:val="28"/>
                <w:highlight w:val="none"/>
              </w:rPr>
            </w:pPr>
          </w:p>
        </w:tc>
        <w:tc>
          <w:tcPr>
            <w:tcW w:w="426" w:type="dxa"/>
            <w:tcBorders>
              <w:top w:val="nil"/>
              <w:left w:val="nil"/>
              <w:bottom w:val="nil"/>
              <w:right w:val="nil"/>
            </w:tcBorders>
            <w:noWrap w:val="0"/>
            <w:vAlign w:val="center"/>
          </w:tcPr>
          <w:p>
            <w:pPr>
              <w:widowControl/>
              <w:jc w:val="center"/>
              <w:rPr>
                <w:rFonts w:hint="eastAsia" w:ascii="仿宋_GB2312" w:hAnsi="仿宋_GB2312" w:eastAsia="仿宋_GB2312" w:cs="仿宋_GB2312"/>
                <w:kern w:val="0"/>
                <w:sz w:val="28"/>
                <w:szCs w:val="28"/>
                <w:highlight w:val="none"/>
              </w:rPr>
            </w:pPr>
          </w:p>
        </w:tc>
        <w:tc>
          <w:tcPr>
            <w:tcW w:w="2976" w:type="dxa"/>
            <w:tcBorders>
              <w:top w:val="nil"/>
              <w:left w:val="nil"/>
              <w:bottom w:val="nil"/>
              <w:right w:val="nil"/>
            </w:tcBorders>
            <w:noWrap w:val="0"/>
            <w:vAlign w:val="center"/>
          </w:tcPr>
          <w:p>
            <w:pPr>
              <w:widowControl/>
              <w:jc w:val="left"/>
              <w:rPr>
                <w:rFonts w:hint="eastAsia" w:ascii="仿宋_GB2312" w:hAnsi="仿宋_GB2312" w:eastAsia="仿宋_GB2312" w:cs="仿宋_GB2312"/>
                <w:kern w:val="0"/>
                <w:sz w:val="28"/>
                <w:szCs w:val="28"/>
                <w:highlight w:val="none"/>
              </w:rPr>
            </w:pPr>
          </w:p>
        </w:tc>
        <w:tc>
          <w:tcPr>
            <w:tcW w:w="436" w:type="dxa"/>
            <w:tcBorders>
              <w:top w:val="nil"/>
              <w:left w:val="nil"/>
              <w:bottom w:val="nil"/>
              <w:right w:val="nil"/>
            </w:tcBorders>
            <w:noWrap w:val="0"/>
            <w:vAlign w:val="center"/>
          </w:tcPr>
          <w:p>
            <w:pPr>
              <w:widowControl/>
              <w:jc w:val="center"/>
              <w:rPr>
                <w:rFonts w:hint="eastAsia" w:ascii="仿宋_GB2312" w:hAnsi="仿宋_GB2312" w:eastAsia="仿宋_GB2312" w:cs="仿宋_GB2312"/>
                <w:kern w:val="0"/>
                <w:sz w:val="28"/>
                <w:szCs w:val="28"/>
                <w:highlight w:val="none"/>
              </w:rPr>
            </w:pPr>
          </w:p>
        </w:tc>
        <w:tc>
          <w:tcPr>
            <w:tcW w:w="426" w:type="dxa"/>
            <w:tcBorders>
              <w:top w:val="nil"/>
              <w:left w:val="nil"/>
              <w:bottom w:val="nil"/>
              <w:right w:val="nil"/>
            </w:tcBorders>
            <w:noWrap w:val="0"/>
            <w:vAlign w:val="center"/>
          </w:tcPr>
          <w:p>
            <w:pPr>
              <w:widowControl/>
              <w:jc w:val="center"/>
              <w:rPr>
                <w:rFonts w:hint="eastAsia" w:ascii="仿宋_GB2312" w:hAnsi="仿宋_GB2312" w:eastAsia="仿宋_GB2312" w:cs="仿宋_GB2312"/>
                <w:kern w:val="0"/>
                <w:sz w:val="28"/>
                <w:szCs w:val="28"/>
                <w:highlight w:val="none"/>
              </w:rPr>
            </w:pPr>
          </w:p>
        </w:tc>
        <w:tc>
          <w:tcPr>
            <w:tcW w:w="426" w:type="dxa"/>
            <w:tcBorders>
              <w:top w:val="nil"/>
              <w:left w:val="nil"/>
              <w:bottom w:val="nil"/>
              <w:right w:val="nil"/>
            </w:tcBorders>
            <w:noWrap w:val="0"/>
            <w:vAlign w:val="center"/>
          </w:tcPr>
          <w:p>
            <w:pPr>
              <w:widowControl/>
              <w:jc w:val="center"/>
              <w:rPr>
                <w:rFonts w:hint="eastAsia" w:ascii="仿宋_GB2312" w:hAnsi="仿宋_GB2312" w:eastAsia="仿宋_GB2312" w:cs="仿宋_GB2312"/>
                <w:kern w:val="0"/>
                <w:sz w:val="28"/>
                <w:szCs w:val="28"/>
                <w:highlight w:val="none"/>
              </w:rPr>
            </w:pPr>
          </w:p>
        </w:tc>
        <w:tc>
          <w:tcPr>
            <w:tcW w:w="426" w:type="dxa"/>
            <w:tcBorders>
              <w:top w:val="nil"/>
              <w:left w:val="nil"/>
              <w:bottom w:val="nil"/>
              <w:right w:val="nil"/>
            </w:tcBorders>
            <w:noWrap w:val="0"/>
            <w:vAlign w:val="center"/>
          </w:tcPr>
          <w:p>
            <w:pPr>
              <w:widowControl/>
              <w:jc w:val="center"/>
              <w:rPr>
                <w:rFonts w:hint="eastAsia" w:ascii="仿宋_GB2312" w:hAnsi="仿宋_GB2312" w:eastAsia="仿宋_GB2312" w:cs="仿宋_GB2312"/>
                <w:kern w:val="0"/>
                <w:sz w:val="28"/>
                <w:szCs w:val="28"/>
                <w:highlight w:val="none"/>
              </w:rPr>
            </w:pPr>
          </w:p>
        </w:tc>
        <w:tc>
          <w:tcPr>
            <w:tcW w:w="426" w:type="dxa"/>
            <w:tcBorders>
              <w:top w:val="nil"/>
              <w:left w:val="nil"/>
              <w:bottom w:val="nil"/>
              <w:right w:val="nil"/>
            </w:tcBorders>
            <w:noWrap w:val="0"/>
            <w:vAlign w:val="center"/>
          </w:tcPr>
          <w:p>
            <w:pPr>
              <w:widowControl/>
              <w:jc w:val="center"/>
              <w:rPr>
                <w:rFonts w:hint="eastAsia" w:ascii="仿宋_GB2312" w:hAnsi="仿宋_GB2312" w:eastAsia="仿宋_GB2312" w:cs="仿宋_GB2312"/>
                <w:kern w:val="0"/>
                <w:sz w:val="28"/>
                <w:szCs w:val="28"/>
                <w:highlight w:val="none"/>
              </w:rPr>
            </w:pPr>
          </w:p>
        </w:tc>
        <w:tc>
          <w:tcPr>
            <w:tcW w:w="426" w:type="dxa"/>
            <w:tcBorders>
              <w:top w:val="nil"/>
              <w:left w:val="nil"/>
              <w:bottom w:val="nil"/>
              <w:right w:val="nil"/>
            </w:tcBorders>
            <w:noWrap w:val="0"/>
            <w:vAlign w:val="center"/>
          </w:tcPr>
          <w:p>
            <w:pPr>
              <w:widowControl/>
              <w:jc w:val="center"/>
              <w:rPr>
                <w:rFonts w:hint="eastAsia" w:ascii="仿宋_GB2312" w:hAnsi="仿宋_GB2312" w:eastAsia="仿宋_GB2312" w:cs="仿宋_GB2312"/>
                <w:kern w:val="0"/>
                <w:sz w:val="28"/>
                <w:szCs w:val="28"/>
                <w:highlight w:val="none"/>
              </w:rPr>
            </w:pPr>
          </w:p>
        </w:tc>
        <w:tc>
          <w:tcPr>
            <w:tcW w:w="426" w:type="dxa"/>
            <w:tcBorders>
              <w:top w:val="nil"/>
              <w:left w:val="nil"/>
              <w:bottom w:val="nil"/>
              <w:right w:val="nil"/>
            </w:tcBorders>
            <w:noWrap w:val="0"/>
            <w:vAlign w:val="center"/>
          </w:tcPr>
          <w:p>
            <w:pPr>
              <w:widowControl/>
              <w:jc w:val="center"/>
              <w:rPr>
                <w:rFonts w:hint="eastAsia" w:ascii="仿宋_GB2312" w:hAnsi="仿宋_GB2312" w:eastAsia="仿宋_GB2312" w:cs="仿宋_GB2312"/>
                <w:kern w:val="0"/>
                <w:sz w:val="28"/>
                <w:szCs w:val="28"/>
                <w:highlight w:val="none"/>
              </w:rPr>
            </w:pPr>
          </w:p>
        </w:tc>
        <w:tc>
          <w:tcPr>
            <w:tcW w:w="426" w:type="dxa"/>
            <w:tcBorders>
              <w:top w:val="nil"/>
              <w:left w:val="nil"/>
              <w:bottom w:val="nil"/>
              <w:right w:val="nil"/>
            </w:tcBorders>
            <w:noWrap w:val="0"/>
            <w:vAlign w:val="center"/>
          </w:tcPr>
          <w:p>
            <w:pPr>
              <w:widowControl/>
              <w:jc w:val="center"/>
              <w:rPr>
                <w:rFonts w:hint="eastAsia" w:ascii="仿宋_GB2312" w:hAnsi="仿宋_GB2312" w:eastAsia="仿宋_GB2312" w:cs="仿宋_GB2312"/>
                <w:kern w:val="0"/>
                <w:sz w:val="28"/>
                <w:szCs w:val="28"/>
                <w:highlight w:val="none"/>
              </w:rPr>
            </w:pPr>
          </w:p>
        </w:tc>
        <w:tc>
          <w:tcPr>
            <w:tcW w:w="426" w:type="dxa"/>
            <w:tcBorders>
              <w:top w:val="nil"/>
              <w:left w:val="nil"/>
              <w:bottom w:val="nil"/>
              <w:right w:val="nil"/>
            </w:tcBorders>
            <w:noWrap w:val="0"/>
            <w:vAlign w:val="center"/>
          </w:tcPr>
          <w:p>
            <w:pPr>
              <w:widowControl/>
              <w:jc w:val="center"/>
              <w:rPr>
                <w:rFonts w:hint="eastAsia" w:ascii="仿宋_GB2312" w:hAnsi="仿宋_GB2312" w:eastAsia="仿宋_GB2312" w:cs="仿宋_GB2312"/>
                <w:kern w:val="0"/>
                <w:sz w:val="28"/>
                <w:szCs w:val="28"/>
                <w:highlight w:val="none"/>
              </w:rPr>
            </w:pPr>
          </w:p>
        </w:tc>
        <w:tc>
          <w:tcPr>
            <w:tcW w:w="426" w:type="dxa"/>
            <w:tcBorders>
              <w:top w:val="nil"/>
              <w:left w:val="nil"/>
              <w:bottom w:val="nil"/>
              <w:right w:val="nil"/>
            </w:tcBorders>
            <w:noWrap w:val="0"/>
            <w:vAlign w:val="center"/>
          </w:tcPr>
          <w:p>
            <w:pPr>
              <w:widowControl/>
              <w:jc w:val="center"/>
              <w:rPr>
                <w:rFonts w:hint="eastAsia" w:ascii="仿宋_GB2312" w:hAnsi="仿宋_GB2312" w:eastAsia="仿宋_GB2312" w:cs="仿宋_GB2312"/>
                <w:kern w:val="0"/>
                <w:sz w:val="28"/>
                <w:szCs w:val="28"/>
                <w:highlight w:val="none"/>
              </w:rPr>
            </w:pPr>
          </w:p>
        </w:tc>
        <w:tc>
          <w:tcPr>
            <w:tcW w:w="460" w:type="dxa"/>
            <w:tcBorders>
              <w:top w:val="nil"/>
              <w:left w:val="nil"/>
              <w:bottom w:val="nil"/>
              <w:right w:val="nil"/>
            </w:tcBorders>
            <w:noWrap w:val="0"/>
            <w:vAlign w:val="center"/>
          </w:tcPr>
          <w:p>
            <w:pPr>
              <w:widowControl/>
              <w:jc w:val="center"/>
              <w:rPr>
                <w:rFonts w:hint="eastAsia" w:ascii="仿宋_GB2312" w:hAnsi="仿宋_GB2312" w:eastAsia="仿宋_GB2312" w:cs="仿宋_GB2312"/>
                <w:kern w:val="0"/>
                <w:sz w:val="28"/>
                <w:szCs w:val="28"/>
                <w:highlight w:val="none"/>
              </w:rPr>
            </w:pPr>
          </w:p>
        </w:tc>
        <w:tc>
          <w:tcPr>
            <w:tcW w:w="460" w:type="dxa"/>
            <w:tcBorders>
              <w:top w:val="nil"/>
              <w:left w:val="nil"/>
              <w:bottom w:val="nil"/>
              <w:right w:val="nil"/>
            </w:tcBorders>
            <w:noWrap w:val="0"/>
            <w:vAlign w:val="center"/>
          </w:tcPr>
          <w:p>
            <w:pPr>
              <w:widowControl/>
              <w:jc w:val="center"/>
              <w:rPr>
                <w:rFonts w:hint="eastAsia" w:ascii="仿宋_GB2312" w:hAnsi="仿宋_GB2312" w:eastAsia="仿宋_GB2312" w:cs="仿宋_GB2312"/>
                <w:kern w:val="0"/>
                <w:sz w:val="28"/>
                <w:szCs w:val="28"/>
                <w:highlight w:val="none"/>
              </w:rPr>
            </w:pPr>
          </w:p>
        </w:tc>
        <w:tc>
          <w:tcPr>
            <w:tcW w:w="1331" w:type="dxa"/>
            <w:tcBorders>
              <w:top w:val="nil"/>
              <w:left w:val="nil"/>
              <w:bottom w:val="nil"/>
              <w:right w:val="nil"/>
            </w:tcBorders>
            <w:noWrap w:val="0"/>
            <w:vAlign w:val="center"/>
          </w:tcPr>
          <w:p>
            <w:pPr>
              <w:widowControl/>
              <w:jc w:val="center"/>
              <w:rPr>
                <w:rFonts w:hint="eastAsia" w:ascii="仿宋_GB2312" w:hAnsi="仿宋_GB2312" w:eastAsia="仿宋_GB2312" w:cs="仿宋_GB2312"/>
                <w:kern w:val="0"/>
                <w:sz w:val="28"/>
                <w:szCs w:val="28"/>
                <w:highlight w:val="none"/>
              </w:rPr>
            </w:pPr>
          </w:p>
        </w:tc>
      </w:tr>
      <w:tr>
        <w:tblPrEx>
          <w:tblCellMar>
            <w:top w:w="0" w:type="dxa"/>
            <w:left w:w="108" w:type="dxa"/>
            <w:bottom w:w="0" w:type="dxa"/>
            <w:right w:w="108" w:type="dxa"/>
          </w:tblCellMar>
        </w:tblPrEx>
        <w:trPr>
          <w:trHeight w:val="968" w:hRule="atLeast"/>
          <w:jc w:val="center"/>
        </w:trPr>
        <w:tc>
          <w:tcPr>
            <w:tcW w:w="10349" w:type="dxa"/>
            <w:gridSpan w:val="16"/>
            <w:tcBorders>
              <w:top w:val="nil"/>
              <w:left w:val="nil"/>
              <w:bottom w:val="nil"/>
              <w:right w:val="nil"/>
            </w:tcBorders>
            <w:noWrap w:val="0"/>
            <w:vAlign w:val="center"/>
          </w:tcPr>
          <w:p>
            <w:pPr>
              <w:widowControl/>
              <w:ind w:left="1438" w:leftChars="304" w:hanging="800" w:hangingChars="250"/>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说明：</w:t>
            </w:r>
          </w:p>
          <w:p>
            <w:pPr>
              <w:widowControl/>
              <w:numPr>
                <w:numId w:val="0"/>
              </w:numPr>
              <w:ind w:leftChars="16" w:firstLine="640" w:firstLineChars="200"/>
              <w:jc w:val="left"/>
              <w:rPr>
                <w:rFonts w:hint="default"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所有消防系统的维护与保养需由经过专门培训，并经考试合格</w:t>
            </w:r>
            <w:r>
              <w:rPr>
                <w:rFonts w:hint="default" w:ascii="Times New Roman" w:hAnsi="Times New Roman" w:eastAsia="仿宋_GB2312" w:cs="Times New Roman"/>
                <w:kern w:val="0"/>
                <w:sz w:val="32"/>
                <w:szCs w:val="32"/>
                <w:highlight w:val="none"/>
                <w:lang w:eastAsia="zh-CN"/>
              </w:rPr>
              <w:t>执证</w:t>
            </w:r>
            <w:r>
              <w:rPr>
                <w:rFonts w:hint="default" w:ascii="Times New Roman" w:hAnsi="Times New Roman" w:eastAsia="仿宋_GB2312" w:cs="Times New Roman"/>
                <w:kern w:val="0"/>
                <w:sz w:val="32"/>
                <w:szCs w:val="32"/>
                <w:highlight w:val="none"/>
              </w:rPr>
              <w:t>的专</w:t>
            </w:r>
            <w:r>
              <w:rPr>
                <w:rFonts w:hint="default" w:ascii="Times New Roman" w:hAnsi="Times New Roman" w:eastAsia="仿宋_GB2312" w:cs="Times New Roman"/>
                <w:kern w:val="0"/>
                <w:sz w:val="32"/>
                <w:szCs w:val="32"/>
                <w:highlight w:val="none"/>
                <w:lang w:eastAsia="zh-CN"/>
              </w:rPr>
              <w:t>业</w:t>
            </w:r>
            <w:r>
              <w:rPr>
                <w:rFonts w:hint="default" w:ascii="Times New Roman" w:hAnsi="Times New Roman" w:eastAsia="仿宋_GB2312" w:cs="Times New Roman"/>
                <w:kern w:val="0"/>
                <w:sz w:val="32"/>
                <w:szCs w:val="32"/>
                <w:highlight w:val="none"/>
              </w:rPr>
              <w:t>人</w:t>
            </w:r>
            <w:r>
              <w:rPr>
                <w:rFonts w:hint="default" w:ascii="Times New Roman" w:hAnsi="Times New Roman" w:eastAsia="仿宋_GB2312" w:cs="Times New Roman"/>
                <w:kern w:val="0"/>
                <w:sz w:val="32"/>
                <w:szCs w:val="32"/>
                <w:highlight w:val="none"/>
                <w:lang w:eastAsia="zh-CN"/>
              </w:rPr>
              <w:t>员</w:t>
            </w:r>
            <w:r>
              <w:rPr>
                <w:rFonts w:hint="default" w:ascii="Times New Roman" w:hAnsi="Times New Roman" w:eastAsia="仿宋_GB2312" w:cs="Times New Roman"/>
                <w:kern w:val="0"/>
                <w:sz w:val="32"/>
                <w:szCs w:val="32"/>
                <w:highlight w:val="none"/>
              </w:rPr>
              <w:t>负责定期检查和维护；</w:t>
            </w:r>
          </w:p>
        </w:tc>
      </w:tr>
      <w:tr>
        <w:tblPrEx>
          <w:tblCellMar>
            <w:top w:w="0" w:type="dxa"/>
            <w:left w:w="108" w:type="dxa"/>
            <w:bottom w:w="0" w:type="dxa"/>
            <w:right w:w="108" w:type="dxa"/>
          </w:tblCellMar>
        </w:tblPrEx>
        <w:trPr>
          <w:trHeight w:val="863" w:hRule="atLeast"/>
          <w:jc w:val="center"/>
        </w:trPr>
        <w:tc>
          <w:tcPr>
            <w:tcW w:w="10349" w:type="dxa"/>
            <w:gridSpan w:val="16"/>
            <w:tcBorders>
              <w:top w:val="nil"/>
              <w:left w:val="nil"/>
              <w:bottom w:val="nil"/>
              <w:right w:val="nil"/>
            </w:tcBorders>
            <w:noWrap w:val="0"/>
            <w:vAlign w:val="center"/>
          </w:tcPr>
          <w:p>
            <w:pPr>
              <w:widowControl/>
              <w:ind w:firstLine="640" w:firstLineChars="200"/>
              <w:jc w:val="left"/>
              <w:rPr>
                <w:rFonts w:hint="default"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火灾报警系统正常运</w:t>
            </w:r>
            <w:r>
              <w:rPr>
                <w:rFonts w:hint="default" w:ascii="Times New Roman" w:hAnsi="Times New Roman" w:eastAsia="仿宋_GB2312" w:cs="Times New Roman"/>
                <w:kern w:val="0"/>
                <w:sz w:val="32"/>
                <w:szCs w:val="32"/>
                <w:highlight w:val="none"/>
                <w:lang w:eastAsia="zh-CN"/>
              </w:rPr>
              <w:t>行</w:t>
            </w:r>
            <w:r>
              <w:rPr>
                <w:rFonts w:hint="default" w:ascii="Times New Roman" w:hAnsi="Times New Roman" w:eastAsia="仿宋_GB2312" w:cs="Times New Roman"/>
                <w:kern w:val="0"/>
                <w:sz w:val="32"/>
                <w:szCs w:val="32"/>
                <w:highlight w:val="none"/>
              </w:rPr>
              <w:t>2年后应开始对各类探测器进行分批清洗（</w:t>
            </w:r>
            <w:r>
              <w:rPr>
                <w:rFonts w:hint="default" w:ascii="Times New Roman" w:hAnsi="Times New Roman" w:eastAsia="仿宋_GB2312" w:cs="Times New Roman"/>
                <w:kern w:val="0"/>
                <w:sz w:val="32"/>
                <w:szCs w:val="32"/>
                <w:highlight w:val="none"/>
                <w:lang w:eastAsia="zh-CN"/>
              </w:rPr>
              <w:t>清洗</w:t>
            </w:r>
            <w:r>
              <w:rPr>
                <w:rFonts w:hint="default" w:ascii="Times New Roman" w:hAnsi="Times New Roman" w:eastAsia="仿宋_GB2312" w:cs="Times New Roman"/>
                <w:kern w:val="0"/>
                <w:sz w:val="32"/>
                <w:szCs w:val="32"/>
                <w:highlight w:val="none"/>
              </w:rPr>
              <w:t>费用另计）；</w:t>
            </w:r>
          </w:p>
        </w:tc>
      </w:tr>
      <w:tr>
        <w:tblPrEx>
          <w:tblCellMar>
            <w:top w:w="0" w:type="dxa"/>
            <w:left w:w="108" w:type="dxa"/>
            <w:bottom w:w="0" w:type="dxa"/>
            <w:right w:w="108" w:type="dxa"/>
          </w:tblCellMar>
        </w:tblPrEx>
        <w:trPr>
          <w:trHeight w:val="469" w:hRule="atLeast"/>
          <w:jc w:val="center"/>
        </w:trPr>
        <w:tc>
          <w:tcPr>
            <w:tcW w:w="10349" w:type="dxa"/>
            <w:gridSpan w:val="16"/>
            <w:tcBorders>
              <w:top w:val="nil"/>
              <w:left w:val="nil"/>
              <w:bottom w:val="nil"/>
              <w:right w:val="nil"/>
            </w:tcBorders>
            <w:noWrap w:val="0"/>
            <w:vAlign w:val="center"/>
          </w:tcPr>
          <w:p>
            <w:pPr>
              <w:widowControl/>
              <w:ind w:firstLine="640" w:firstLineChars="200"/>
              <w:jc w:val="left"/>
              <w:rPr>
                <w:rFonts w:hint="default"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压力表每月检查、每5年更换一次（设备费另计）；</w:t>
            </w:r>
          </w:p>
        </w:tc>
      </w:tr>
      <w:tr>
        <w:tblPrEx>
          <w:tblCellMar>
            <w:top w:w="0" w:type="dxa"/>
            <w:left w:w="108" w:type="dxa"/>
            <w:bottom w:w="0" w:type="dxa"/>
            <w:right w:w="108" w:type="dxa"/>
          </w:tblCellMar>
        </w:tblPrEx>
        <w:trPr>
          <w:trHeight w:val="604" w:hRule="atLeast"/>
          <w:jc w:val="center"/>
        </w:trPr>
        <w:tc>
          <w:tcPr>
            <w:tcW w:w="10349" w:type="dxa"/>
            <w:gridSpan w:val="16"/>
            <w:tcBorders>
              <w:top w:val="nil"/>
              <w:left w:val="nil"/>
              <w:bottom w:val="nil"/>
              <w:right w:val="nil"/>
            </w:tcBorders>
            <w:noWrap w:val="0"/>
            <w:vAlign w:val="center"/>
          </w:tcPr>
          <w:p>
            <w:pPr>
              <w:widowControl/>
              <w:ind w:firstLine="640" w:firstLineChars="200"/>
              <w:jc w:val="left"/>
              <w:rPr>
                <w:rFonts w:hint="default"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各系统在使用过程中如有更改，更改完毕后必须绘制竣工图；</w:t>
            </w:r>
          </w:p>
        </w:tc>
      </w:tr>
      <w:tr>
        <w:tblPrEx>
          <w:tblCellMar>
            <w:top w:w="0" w:type="dxa"/>
            <w:left w:w="108" w:type="dxa"/>
            <w:bottom w:w="0" w:type="dxa"/>
            <w:right w:w="108" w:type="dxa"/>
          </w:tblCellMar>
        </w:tblPrEx>
        <w:trPr>
          <w:trHeight w:val="938" w:hRule="atLeast"/>
          <w:jc w:val="center"/>
        </w:trPr>
        <w:tc>
          <w:tcPr>
            <w:tcW w:w="10349" w:type="dxa"/>
            <w:gridSpan w:val="16"/>
            <w:tcBorders>
              <w:top w:val="nil"/>
              <w:left w:val="nil"/>
              <w:bottom w:val="nil"/>
              <w:right w:val="nil"/>
            </w:tcBorders>
            <w:noWrap w:val="0"/>
            <w:vAlign w:val="center"/>
          </w:tcPr>
          <w:p>
            <w:pPr>
              <w:widowControl/>
              <w:ind w:firstLine="640" w:firstLineChars="200"/>
              <w:jc w:val="left"/>
              <w:rPr>
                <w:rFonts w:hint="default"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5.</w:t>
            </w:r>
            <w:r>
              <w:rPr>
                <w:rFonts w:hint="default" w:ascii="Times New Roman" w:hAnsi="Times New Roman" w:eastAsia="仿宋_GB2312" w:cs="Times New Roman"/>
                <w:kern w:val="0"/>
                <w:sz w:val="32"/>
                <w:szCs w:val="32"/>
                <w:highlight w:val="none"/>
              </w:rPr>
              <w:t>联动测试内容主要包括空调系统、排烟系统、防火卷帘门的联动，切换火灾事故紧急广播系统；非消防电源强切以及楼层显示器对故障、报警点的显示等；</w:t>
            </w:r>
          </w:p>
        </w:tc>
      </w:tr>
      <w:tr>
        <w:tblPrEx>
          <w:tblCellMar>
            <w:top w:w="0" w:type="dxa"/>
            <w:left w:w="108" w:type="dxa"/>
            <w:bottom w:w="0" w:type="dxa"/>
            <w:right w:w="108" w:type="dxa"/>
          </w:tblCellMar>
        </w:tblPrEx>
        <w:trPr>
          <w:trHeight w:val="769" w:hRule="atLeast"/>
          <w:jc w:val="center"/>
        </w:trPr>
        <w:tc>
          <w:tcPr>
            <w:tcW w:w="10349" w:type="dxa"/>
            <w:gridSpan w:val="16"/>
            <w:tcBorders>
              <w:top w:val="nil"/>
              <w:left w:val="nil"/>
              <w:bottom w:val="nil"/>
              <w:right w:val="nil"/>
            </w:tcBorders>
            <w:noWrap w:val="0"/>
            <w:vAlign w:val="center"/>
          </w:tcPr>
          <w:p>
            <w:pPr>
              <w:widowControl/>
              <w:ind w:firstLine="640" w:firstLineChars="200"/>
              <w:jc w:val="left"/>
              <w:rPr>
                <w:rFonts w:hint="default"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6.</w:t>
            </w:r>
            <w:r>
              <w:rPr>
                <w:rFonts w:hint="default" w:ascii="Times New Roman" w:hAnsi="Times New Roman" w:eastAsia="仿宋_GB2312" w:cs="Times New Roman"/>
                <w:kern w:val="0"/>
                <w:sz w:val="32"/>
                <w:szCs w:val="32"/>
                <w:highlight w:val="none"/>
              </w:rPr>
              <w:t>每月的第三周维保人员进行维保工作。</w:t>
            </w:r>
          </w:p>
        </w:tc>
      </w:tr>
    </w:tbl>
    <w:p>
      <w:pPr>
        <w:pStyle w:val="14"/>
        <w:tabs>
          <w:tab w:val="left" w:pos="0"/>
          <w:tab w:val="left" w:pos="540"/>
        </w:tabs>
        <w:ind w:left="18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br w:type="page"/>
      </w:r>
      <w:r>
        <w:rPr>
          <w:rFonts w:hint="eastAsia" w:ascii="仿宋_GB2312" w:hAnsi="仿宋_GB2312" w:eastAsia="仿宋_GB2312" w:cs="仿宋_GB2312"/>
          <w:sz w:val="28"/>
          <w:szCs w:val="28"/>
          <w:highlight w:val="none"/>
        </w:rPr>
        <w:t>附件</w:t>
      </w:r>
      <w:r>
        <w:rPr>
          <w:rFonts w:hint="eastAsia" w:ascii="仿宋_GB2312" w:hAnsi="仿宋_GB2312" w:eastAsia="仿宋_GB2312" w:cs="仿宋_GB2312"/>
          <w:sz w:val="28"/>
          <w:szCs w:val="28"/>
          <w:highlight w:val="none"/>
          <w:lang w:eastAsia="zh-CN"/>
        </w:rPr>
        <w:t>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44"/>
          <w:szCs w:val="44"/>
          <w:highlight w:val="none"/>
          <w:lang w:val="en-US" w:eastAsia="zh-CN"/>
        </w:rPr>
      </w:pPr>
      <w:bookmarkStart w:id="3" w:name="_Toc414557141"/>
      <w:r>
        <w:rPr>
          <w:rFonts w:hint="eastAsia" w:ascii="方正小标宋简体" w:hAnsi="方正小标宋简体" w:eastAsia="方正小标宋简体" w:cs="方正小标宋简体"/>
          <w:b/>
          <w:bCs/>
          <w:sz w:val="44"/>
          <w:szCs w:val="44"/>
          <w:highlight w:val="none"/>
          <w:lang w:val="en-US" w:eastAsia="zh-CN"/>
        </w:rPr>
        <w:t>高新区光电产业园消防维保服务项目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44"/>
          <w:szCs w:val="44"/>
          <w:highlight w:val="none"/>
        </w:rPr>
      </w:pPr>
      <w:r>
        <w:rPr>
          <w:rFonts w:hint="eastAsia" w:ascii="方正小标宋简体" w:hAnsi="方正小标宋简体" w:eastAsia="方正小标宋简体" w:cs="方正小标宋简体"/>
          <w:b/>
          <w:bCs/>
          <w:sz w:val="44"/>
          <w:szCs w:val="44"/>
          <w:highlight w:val="none"/>
        </w:rPr>
        <w:t>消防系统维保服务</w:t>
      </w:r>
      <w:r>
        <w:rPr>
          <w:rFonts w:hint="eastAsia" w:ascii="方正小标宋简体" w:hAnsi="方正小标宋简体" w:eastAsia="方正小标宋简体" w:cs="方正小标宋简体"/>
          <w:b/>
          <w:bCs/>
          <w:sz w:val="44"/>
          <w:szCs w:val="44"/>
          <w:highlight w:val="none"/>
          <w:lang w:eastAsia="zh-CN"/>
        </w:rPr>
        <w:t>投标书的内容和要求</w:t>
      </w:r>
    </w:p>
    <w:bookmarkEnd w:id="3"/>
    <w:p>
      <w:pPr>
        <w:jc w:val="center"/>
        <w:rPr>
          <w:rFonts w:hint="eastAsia" w:ascii="仿宋_GB2312" w:hAnsi="仿宋_GB2312" w:eastAsia="仿宋_GB2312" w:cs="仿宋_GB2312"/>
          <w:b/>
          <w:bCs/>
          <w:sz w:val="28"/>
          <w:szCs w:val="28"/>
          <w:highlight w:val="none"/>
        </w:rPr>
      </w:pPr>
    </w:p>
    <w:p>
      <w:pPr>
        <w:pStyle w:val="1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投标方应按照招标</w:t>
      </w:r>
      <w:r>
        <w:rPr>
          <w:rFonts w:hint="eastAsia" w:ascii="仿宋_GB2312" w:hAnsi="仿宋_GB2312" w:eastAsia="仿宋_GB2312" w:cs="仿宋_GB2312"/>
          <w:sz w:val="32"/>
          <w:szCs w:val="32"/>
          <w:highlight w:val="none"/>
          <w:lang w:eastAsia="zh-CN"/>
        </w:rPr>
        <w:t>方</w:t>
      </w:r>
      <w:r>
        <w:rPr>
          <w:rFonts w:hint="eastAsia" w:ascii="仿宋_GB2312" w:hAnsi="仿宋_GB2312" w:eastAsia="仿宋_GB2312" w:cs="仿宋_GB2312"/>
          <w:sz w:val="32"/>
          <w:szCs w:val="32"/>
          <w:highlight w:val="none"/>
        </w:rPr>
        <w:t>以下所列之内容和格式，详细说明投标方之投标内容：</w:t>
      </w:r>
    </w:p>
    <w:p>
      <w:pPr>
        <w:pStyle w:val="1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黑体" w:cs="Times New Roman"/>
          <w:b/>
          <w:bCs/>
          <w:sz w:val="32"/>
          <w:szCs w:val="32"/>
          <w:highlight w:val="none"/>
        </w:rPr>
      </w:pPr>
      <w:r>
        <w:rPr>
          <w:rFonts w:hint="default" w:ascii="Times New Roman" w:hAnsi="Times New Roman" w:eastAsia="黑体" w:cs="Times New Roman"/>
          <w:sz w:val="32"/>
          <w:szCs w:val="32"/>
          <w:highlight w:val="none"/>
          <w:lang w:val="en-US" w:eastAsia="zh-CN"/>
        </w:rPr>
        <w:t>1.</w:t>
      </w:r>
      <w:r>
        <w:rPr>
          <w:rFonts w:hint="default" w:ascii="Times New Roman" w:hAnsi="Times New Roman" w:eastAsia="黑体" w:cs="Times New Roman"/>
          <w:b/>
          <w:bCs/>
          <w:sz w:val="32"/>
          <w:szCs w:val="32"/>
          <w:highlight w:val="none"/>
        </w:rPr>
        <w:t>提供公司营业执照及资质证书（复印件加盖公章）</w:t>
      </w:r>
    </w:p>
    <w:p>
      <w:pPr>
        <w:keepNext w:val="0"/>
        <w:keepLines w:val="0"/>
        <w:pageBreakBefore w:val="0"/>
        <w:widowControl w:val="0"/>
        <w:kinsoku/>
        <w:wordWrap/>
        <w:overflowPunct/>
        <w:topLinePunct w:val="0"/>
        <w:autoSpaceDE/>
        <w:autoSpaceDN/>
        <w:bidi w:val="0"/>
        <w:adjustRightInd/>
        <w:snapToGrid/>
        <w:spacing w:before="50" w:after="50"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（1）</w:t>
      </w:r>
      <w:r>
        <w:rPr>
          <w:rFonts w:hint="default" w:ascii="Times New Roman" w:hAnsi="Times New Roman" w:eastAsia="仿宋_GB2312" w:cs="Times New Roman"/>
          <w:sz w:val="32"/>
          <w:szCs w:val="32"/>
          <w:highlight w:val="none"/>
          <w:lang w:val="en-US" w:eastAsia="zh-CN"/>
        </w:rPr>
        <w:t>投标单位应具备独立法人资格</w:t>
      </w:r>
    </w:p>
    <w:p>
      <w:pPr>
        <w:keepNext w:val="0"/>
        <w:keepLines w:val="0"/>
        <w:pageBreakBefore w:val="0"/>
        <w:widowControl w:val="0"/>
        <w:kinsoku/>
        <w:wordWrap/>
        <w:overflowPunct/>
        <w:topLinePunct w:val="0"/>
        <w:autoSpaceDE/>
        <w:autoSpaceDN/>
        <w:bidi w:val="0"/>
        <w:adjustRightInd/>
        <w:snapToGrid/>
        <w:spacing w:before="50" w:after="50"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（2）</w:t>
      </w:r>
      <w:r>
        <w:rPr>
          <w:rFonts w:hint="default" w:ascii="Times New Roman" w:hAnsi="Times New Roman" w:eastAsia="仿宋_GB2312" w:cs="Times New Roman"/>
          <w:sz w:val="32"/>
          <w:szCs w:val="32"/>
          <w:highlight w:val="none"/>
          <w:lang w:val="en-US" w:eastAsia="zh-CN"/>
        </w:rPr>
        <w:t>具有消防维修保养资质证书</w:t>
      </w:r>
    </w:p>
    <w:p>
      <w:pPr>
        <w:keepNext w:val="0"/>
        <w:keepLines w:val="0"/>
        <w:pageBreakBefore w:val="0"/>
        <w:widowControl w:val="0"/>
        <w:kinsoku/>
        <w:wordWrap/>
        <w:overflowPunct/>
        <w:topLinePunct w:val="0"/>
        <w:autoSpaceDE/>
        <w:autoSpaceDN/>
        <w:bidi w:val="0"/>
        <w:adjustRightInd/>
        <w:snapToGrid/>
        <w:spacing w:before="50" w:after="50"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（3）投标单位必须有3年以上大型商场、厂房、写字楼等日常消防维保服务经验</w:t>
      </w:r>
    </w:p>
    <w:p>
      <w:pPr>
        <w:keepNext w:val="0"/>
        <w:keepLines w:val="0"/>
        <w:pageBreakBefore w:val="0"/>
        <w:widowControl w:val="0"/>
        <w:kinsoku/>
        <w:wordWrap/>
        <w:overflowPunct/>
        <w:topLinePunct w:val="0"/>
        <w:autoSpaceDE/>
        <w:autoSpaceDN/>
        <w:bidi w:val="0"/>
        <w:adjustRightInd/>
        <w:snapToGrid/>
        <w:spacing w:before="50" w:after="50"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（4）已通过ISO9001质量体系认证的公司将优先考虑。</w:t>
      </w:r>
    </w:p>
    <w:p>
      <w:pPr>
        <w:keepNext w:val="0"/>
        <w:keepLines w:val="0"/>
        <w:pageBreakBefore w:val="0"/>
        <w:widowControl w:val="0"/>
        <w:kinsoku/>
        <w:wordWrap/>
        <w:overflowPunct/>
        <w:topLinePunct w:val="0"/>
        <w:autoSpaceDE/>
        <w:autoSpaceDN/>
        <w:bidi w:val="0"/>
        <w:adjustRightInd/>
        <w:snapToGrid/>
        <w:spacing w:before="50" w:after="50" w:line="600" w:lineRule="exact"/>
        <w:ind w:left="0" w:leftChars="0" w:right="0" w:rightChars="0" w:firstLine="640" w:firstLineChars="200"/>
        <w:textAlignment w:val="auto"/>
        <w:outlineLvl w:val="9"/>
        <w:rPr>
          <w:rFonts w:hint="eastAsia" w:ascii="黑体" w:hAnsi="黑体" w:eastAsia="黑体" w:cs="黑体"/>
          <w:sz w:val="32"/>
          <w:szCs w:val="32"/>
          <w:highlight w:val="none"/>
        </w:rPr>
      </w:pPr>
      <w:r>
        <w:rPr>
          <w:rFonts w:hint="default" w:ascii="Times New Roman" w:hAnsi="Times New Roman" w:eastAsia="黑体" w:cs="Times New Roman"/>
          <w:sz w:val="32"/>
          <w:szCs w:val="32"/>
          <w:highlight w:val="none"/>
          <w:lang w:val="en-US" w:eastAsia="zh-CN"/>
        </w:rPr>
        <w:t>2.</w:t>
      </w:r>
      <w:r>
        <w:rPr>
          <w:rFonts w:hint="eastAsia" w:ascii="黑体" w:hAnsi="黑体" w:eastAsia="黑体" w:cs="黑体"/>
          <w:b/>
          <w:bCs/>
          <w:sz w:val="32"/>
          <w:szCs w:val="32"/>
          <w:highlight w:val="none"/>
        </w:rPr>
        <w:t>列出消防维保服务的方案及实际措施</w:t>
      </w:r>
    </w:p>
    <w:p>
      <w:pPr>
        <w:keepNext w:val="0"/>
        <w:keepLines w:val="0"/>
        <w:pageBreakBefore w:val="0"/>
        <w:widowControl w:val="0"/>
        <w:kinsoku/>
        <w:wordWrap/>
        <w:overflowPunct/>
        <w:topLinePunct w:val="0"/>
        <w:autoSpaceDE/>
        <w:autoSpaceDN/>
        <w:bidi w:val="0"/>
        <w:adjustRightInd/>
        <w:snapToGrid/>
        <w:spacing w:before="50" w:after="50"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（1）按照</w:t>
      </w:r>
      <w:r>
        <w:rPr>
          <w:rFonts w:hint="default" w:ascii="Times New Roman" w:hAnsi="Times New Roman" w:eastAsia="仿宋_GB2312" w:cs="Times New Roman"/>
          <w:kern w:val="0"/>
          <w:sz w:val="32"/>
          <w:szCs w:val="32"/>
          <w:highlight w:val="none"/>
          <w:lang w:val="en-US" w:eastAsia="zh-CN"/>
        </w:rPr>
        <w:t>高新区光电产业园消防维保服务</w:t>
      </w:r>
      <w:r>
        <w:rPr>
          <w:rFonts w:hint="default" w:ascii="Times New Roman" w:hAnsi="Times New Roman" w:eastAsia="仿宋_GB2312" w:cs="Times New Roman"/>
          <w:sz w:val="32"/>
          <w:szCs w:val="32"/>
          <w:highlight w:val="none"/>
          <w:lang w:eastAsia="zh-CN"/>
        </w:rPr>
        <w:t>项目</w:t>
      </w:r>
      <w:r>
        <w:rPr>
          <w:rFonts w:hint="default" w:ascii="Times New Roman" w:hAnsi="Times New Roman" w:eastAsia="仿宋_GB2312" w:cs="Times New Roman"/>
          <w:sz w:val="32"/>
          <w:szCs w:val="32"/>
          <w:highlight w:val="none"/>
        </w:rPr>
        <w:t>特点</w:t>
      </w:r>
      <w:r>
        <w:rPr>
          <w:rFonts w:hint="default" w:ascii="Times New Roman" w:hAnsi="Times New Roman" w:eastAsia="仿宋_GB2312" w:cs="Times New Roman"/>
          <w:sz w:val="32"/>
          <w:szCs w:val="32"/>
          <w:highlight w:val="none"/>
          <w:lang w:eastAsia="zh-CN"/>
        </w:rPr>
        <w:t>，制定</w:t>
      </w:r>
      <w:r>
        <w:rPr>
          <w:rFonts w:hint="default" w:ascii="Times New Roman" w:hAnsi="Times New Roman" w:eastAsia="仿宋_GB2312" w:cs="Times New Roman"/>
          <w:sz w:val="32"/>
          <w:szCs w:val="32"/>
          <w:highlight w:val="none"/>
        </w:rPr>
        <w:t>相适应的消防系统维保服务整体方案及措施；</w:t>
      </w:r>
    </w:p>
    <w:p>
      <w:pPr>
        <w:keepNext w:val="0"/>
        <w:keepLines w:val="0"/>
        <w:pageBreakBefore w:val="0"/>
        <w:widowControl w:val="0"/>
        <w:kinsoku/>
        <w:wordWrap/>
        <w:overflowPunct/>
        <w:topLinePunct w:val="0"/>
        <w:autoSpaceDE/>
        <w:autoSpaceDN/>
        <w:bidi w:val="0"/>
        <w:adjustRightInd/>
        <w:snapToGrid/>
        <w:spacing w:before="50" w:after="50" w:line="600" w:lineRule="exact"/>
        <w:ind w:left="0" w:leftChars="0" w:right="0" w:rightChars="0" w:firstLine="640" w:firstLineChars="200"/>
        <w:textAlignment w:val="auto"/>
        <w:outlineLvl w:val="9"/>
        <w:rPr>
          <w:rFonts w:hint="eastAsia" w:ascii="仿宋_GB2312" w:hAnsi="仿宋_GB2312" w:eastAsia="仿宋_GB2312" w:cs="仿宋_GB2312"/>
          <w:sz w:val="28"/>
          <w:szCs w:val="28"/>
          <w:highlight w:val="none"/>
        </w:rPr>
      </w:pP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lang w:eastAsia="zh-CN"/>
        </w:rPr>
        <w:t>表述</w:t>
      </w:r>
      <w:r>
        <w:rPr>
          <w:rFonts w:hint="default" w:ascii="Times New Roman" w:hAnsi="Times New Roman" w:eastAsia="仿宋_GB2312" w:cs="Times New Roman"/>
          <w:sz w:val="32"/>
          <w:szCs w:val="32"/>
          <w:highlight w:val="none"/>
        </w:rPr>
        <w:t>高标准、高水平</w:t>
      </w:r>
      <w:r>
        <w:rPr>
          <w:rFonts w:hint="default" w:ascii="Times New Roman" w:hAnsi="Times New Roman" w:eastAsia="仿宋_GB2312" w:cs="Times New Roman"/>
          <w:sz w:val="32"/>
          <w:szCs w:val="32"/>
          <w:highlight w:val="none"/>
          <w:lang w:eastAsia="zh-CN"/>
        </w:rPr>
        <w:t>维保服务的</w:t>
      </w:r>
      <w:r>
        <w:rPr>
          <w:rFonts w:hint="default" w:ascii="Times New Roman" w:hAnsi="Times New Roman" w:eastAsia="仿宋_GB2312" w:cs="Times New Roman"/>
          <w:sz w:val="32"/>
          <w:szCs w:val="32"/>
          <w:highlight w:val="none"/>
        </w:rPr>
        <w:t>措施。</w:t>
      </w:r>
    </w:p>
    <w:p>
      <w:pPr>
        <w:keepNext w:val="0"/>
        <w:keepLines w:val="0"/>
        <w:pageBreakBefore w:val="0"/>
        <w:widowControl w:val="0"/>
        <w:kinsoku/>
        <w:wordWrap/>
        <w:overflowPunct/>
        <w:topLinePunct w:val="0"/>
        <w:autoSpaceDE/>
        <w:autoSpaceDN/>
        <w:bidi w:val="0"/>
        <w:adjustRightInd/>
        <w:snapToGrid/>
        <w:spacing w:before="50" w:after="50" w:line="600" w:lineRule="exact"/>
        <w:ind w:left="0" w:leftChars="0" w:right="0" w:rightChars="0" w:firstLine="640" w:firstLineChars="200"/>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3.</w:t>
      </w:r>
      <w:r>
        <w:rPr>
          <w:rFonts w:hint="default" w:ascii="Times New Roman" w:hAnsi="Times New Roman" w:eastAsia="黑体" w:cs="Times New Roman"/>
          <w:b/>
          <w:bCs/>
          <w:sz w:val="32"/>
          <w:szCs w:val="32"/>
          <w:highlight w:val="none"/>
        </w:rPr>
        <w:t>拟采取的管理方式、工作计划及物资装备</w:t>
      </w:r>
    </w:p>
    <w:p>
      <w:pPr>
        <w:keepNext w:val="0"/>
        <w:keepLines w:val="0"/>
        <w:pageBreakBefore w:val="0"/>
        <w:widowControl w:val="0"/>
        <w:kinsoku/>
        <w:wordWrap/>
        <w:overflowPunct/>
        <w:topLinePunct w:val="0"/>
        <w:autoSpaceDE/>
        <w:autoSpaceDN/>
        <w:bidi w:val="0"/>
        <w:adjustRightInd/>
        <w:snapToGrid/>
        <w:spacing w:before="50" w:after="50"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（1）管理方式</w:t>
      </w:r>
      <w:r>
        <w:rPr>
          <w:rFonts w:hint="default" w:ascii="Times New Roman" w:hAnsi="Times New Roman" w:eastAsia="仿宋_GB2312" w:cs="Times New Roman"/>
          <w:sz w:val="32"/>
          <w:szCs w:val="32"/>
          <w:highlight w:val="none"/>
          <w:lang w:eastAsia="zh-CN"/>
        </w:rPr>
        <w:t>：定期派人员进行定期维保等</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50" w:after="50"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（2）工作计划</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包括但不限于工作流程、各项</w:t>
      </w:r>
      <w:r>
        <w:rPr>
          <w:rFonts w:hint="default" w:ascii="Times New Roman" w:hAnsi="Times New Roman" w:eastAsia="仿宋_GB2312" w:cs="Times New Roman"/>
          <w:sz w:val="32"/>
          <w:szCs w:val="32"/>
          <w:highlight w:val="none"/>
          <w:lang w:eastAsia="zh-CN"/>
        </w:rPr>
        <w:t>维保的</w:t>
      </w:r>
      <w:r>
        <w:rPr>
          <w:rFonts w:hint="default" w:ascii="Times New Roman" w:hAnsi="Times New Roman" w:eastAsia="仿宋_GB2312" w:cs="Times New Roman"/>
          <w:sz w:val="32"/>
          <w:szCs w:val="32"/>
          <w:highlight w:val="none"/>
        </w:rPr>
        <w:t>长远计划和短期安排；</w:t>
      </w:r>
    </w:p>
    <w:p>
      <w:pPr>
        <w:keepNext w:val="0"/>
        <w:keepLines w:val="0"/>
        <w:pageBreakBefore w:val="0"/>
        <w:widowControl w:val="0"/>
        <w:kinsoku/>
        <w:wordWrap/>
        <w:overflowPunct/>
        <w:topLinePunct w:val="0"/>
        <w:autoSpaceDE/>
        <w:autoSpaceDN/>
        <w:bidi w:val="0"/>
        <w:adjustRightInd/>
        <w:snapToGrid/>
        <w:spacing w:before="50" w:after="50"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（3）物资装备：包括但不限于管理用工具、设备、器械</w:t>
      </w:r>
      <w:r>
        <w:rPr>
          <w:rFonts w:hint="default" w:ascii="Times New Roman" w:hAnsi="Times New Roman" w:eastAsia="仿宋_GB2312" w:cs="Times New Roman"/>
          <w:sz w:val="32"/>
          <w:szCs w:val="32"/>
          <w:highlight w:val="none"/>
          <w:lang w:eastAsia="zh-CN"/>
        </w:rPr>
        <w:t>、仪器、</w:t>
      </w:r>
      <w:r>
        <w:rPr>
          <w:rFonts w:hint="default" w:ascii="Times New Roman" w:hAnsi="Times New Roman" w:eastAsia="仿宋_GB2312" w:cs="Times New Roman"/>
          <w:sz w:val="32"/>
          <w:szCs w:val="32"/>
          <w:highlight w:val="none"/>
        </w:rPr>
        <w:t>通讯、安全防范装备及办公用品等，须列出清单并且注明是专用设备</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或与公司公用之设备；</w:t>
      </w:r>
    </w:p>
    <w:p>
      <w:pPr>
        <w:keepNext w:val="0"/>
        <w:keepLines w:val="0"/>
        <w:pageBreakBefore w:val="0"/>
        <w:widowControl w:val="0"/>
        <w:kinsoku/>
        <w:wordWrap/>
        <w:overflowPunct/>
        <w:topLinePunct w:val="0"/>
        <w:autoSpaceDE/>
        <w:autoSpaceDN/>
        <w:bidi w:val="0"/>
        <w:adjustRightInd/>
        <w:snapToGrid/>
        <w:spacing w:before="50" w:after="50"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（4）公司对该项目的领导管理方式及支援形式，包括公司对该项目的业务、技术、行政方面的支持以及对该项目的检查、考核方式；</w:t>
      </w:r>
    </w:p>
    <w:p>
      <w:pPr>
        <w:keepNext w:val="0"/>
        <w:keepLines w:val="0"/>
        <w:pageBreakBefore w:val="0"/>
        <w:widowControl w:val="0"/>
        <w:kinsoku/>
        <w:wordWrap/>
        <w:overflowPunct/>
        <w:topLinePunct w:val="0"/>
        <w:autoSpaceDE/>
        <w:autoSpaceDN/>
        <w:bidi w:val="0"/>
        <w:adjustRightInd/>
        <w:snapToGrid/>
        <w:spacing w:before="50" w:after="50"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（5）消防维保工作应急预案。</w:t>
      </w:r>
    </w:p>
    <w:p>
      <w:pPr>
        <w:keepNext w:val="0"/>
        <w:keepLines w:val="0"/>
        <w:pageBreakBefore w:val="0"/>
        <w:widowControl w:val="0"/>
        <w:kinsoku/>
        <w:wordWrap/>
        <w:overflowPunct/>
        <w:topLinePunct w:val="0"/>
        <w:autoSpaceDE/>
        <w:autoSpaceDN/>
        <w:bidi w:val="0"/>
        <w:adjustRightInd/>
        <w:snapToGrid/>
        <w:spacing w:before="50" w:after="50" w:line="600" w:lineRule="exact"/>
        <w:ind w:left="0" w:leftChars="0" w:right="0" w:rightChars="0" w:firstLine="640" w:firstLineChars="200"/>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4.</w:t>
      </w:r>
      <w:r>
        <w:rPr>
          <w:rFonts w:hint="eastAsia" w:ascii="黑体" w:hAnsi="黑体" w:eastAsia="黑体" w:cs="黑体"/>
          <w:b/>
          <w:bCs/>
          <w:sz w:val="32"/>
          <w:szCs w:val="32"/>
          <w:highlight w:val="none"/>
        </w:rPr>
        <w:t>提供维保人员的资料和培训、管理方案</w:t>
      </w:r>
    </w:p>
    <w:p>
      <w:pPr>
        <w:keepNext w:val="0"/>
        <w:keepLines w:val="0"/>
        <w:pageBreakBefore w:val="0"/>
        <w:widowControl w:val="0"/>
        <w:kinsoku/>
        <w:wordWrap/>
        <w:overflowPunct/>
        <w:topLinePunct w:val="0"/>
        <w:autoSpaceDE/>
        <w:autoSpaceDN/>
        <w:bidi w:val="0"/>
        <w:adjustRightInd/>
        <w:snapToGrid/>
        <w:spacing w:before="50" w:after="50"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（1）维保人员为直接聘用人员，不能外包</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相关资格证书；</w:t>
      </w:r>
    </w:p>
    <w:p>
      <w:pPr>
        <w:keepNext w:val="0"/>
        <w:keepLines w:val="0"/>
        <w:pageBreakBefore w:val="0"/>
        <w:widowControl w:val="0"/>
        <w:kinsoku/>
        <w:wordWrap/>
        <w:overflowPunct/>
        <w:topLinePunct w:val="0"/>
        <w:autoSpaceDE/>
        <w:autoSpaceDN/>
        <w:bidi w:val="0"/>
        <w:adjustRightInd/>
        <w:snapToGrid/>
        <w:spacing w:before="50" w:after="50"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（2）维保人员对招标</w:t>
      </w:r>
      <w:r>
        <w:rPr>
          <w:rFonts w:hint="default" w:ascii="Times New Roman" w:hAnsi="Times New Roman" w:eastAsia="仿宋_GB2312" w:cs="Times New Roman"/>
          <w:sz w:val="32"/>
          <w:szCs w:val="32"/>
          <w:highlight w:val="none"/>
          <w:lang w:eastAsia="zh-CN"/>
        </w:rPr>
        <w:t>方</w:t>
      </w:r>
      <w:r>
        <w:rPr>
          <w:rFonts w:hint="default" w:ascii="Times New Roman" w:hAnsi="Times New Roman" w:eastAsia="仿宋_GB2312" w:cs="Times New Roman"/>
          <w:sz w:val="32"/>
          <w:szCs w:val="32"/>
          <w:highlight w:val="none"/>
        </w:rPr>
        <w:t>人员</w:t>
      </w:r>
      <w:r>
        <w:rPr>
          <w:rFonts w:hint="default" w:ascii="Times New Roman" w:hAnsi="Times New Roman" w:eastAsia="仿宋_GB2312" w:cs="Times New Roman"/>
          <w:sz w:val="32"/>
          <w:szCs w:val="32"/>
          <w:highlight w:val="none"/>
          <w:lang w:eastAsia="zh-CN"/>
        </w:rPr>
        <w:t>的</w:t>
      </w:r>
      <w:r>
        <w:rPr>
          <w:rFonts w:hint="default" w:ascii="Times New Roman" w:hAnsi="Times New Roman" w:eastAsia="仿宋_GB2312" w:cs="Times New Roman"/>
          <w:sz w:val="32"/>
          <w:szCs w:val="32"/>
          <w:highlight w:val="none"/>
        </w:rPr>
        <w:t>培训</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包括培训计划、方式、目标等；</w:t>
      </w:r>
    </w:p>
    <w:p>
      <w:pPr>
        <w:keepNext w:val="0"/>
        <w:keepLines w:val="0"/>
        <w:pageBreakBefore w:val="0"/>
        <w:widowControl w:val="0"/>
        <w:kinsoku/>
        <w:wordWrap/>
        <w:overflowPunct/>
        <w:topLinePunct w:val="0"/>
        <w:autoSpaceDE/>
        <w:autoSpaceDN/>
        <w:bidi w:val="0"/>
        <w:adjustRightInd/>
        <w:snapToGrid/>
        <w:spacing w:before="50" w:after="50"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（3）维保人员的管理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包括但不限于</w:t>
      </w:r>
      <w:r>
        <w:rPr>
          <w:rFonts w:hint="default" w:ascii="Times New Roman" w:hAnsi="Times New Roman" w:eastAsia="仿宋_GB2312" w:cs="Times New Roman"/>
          <w:sz w:val="32"/>
          <w:szCs w:val="32"/>
          <w:highlight w:val="none"/>
          <w:lang w:eastAsia="zh-CN"/>
        </w:rPr>
        <w:t>投标方对项目维保人员的</w:t>
      </w:r>
      <w:r>
        <w:rPr>
          <w:rFonts w:hint="default" w:ascii="Times New Roman" w:hAnsi="Times New Roman" w:eastAsia="仿宋_GB2312" w:cs="Times New Roman"/>
          <w:sz w:val="32"/>
          <w:szCs w:val="32"/>
          <w:highlight w:val="none"/>
        </w:rPr>
        <w:t>管理机制、监督机制、</w:t>
      </w:r>
      <w:r>
        <w:rPr>
          <w:rFonts w:hint="default" w:ascii="Times New Roman" w:hAnsi="Times New Roman" w:eastAsia="仿宋_GB2312" w:cs="Times New Roman"/>
          <w:sz w:val="32"/>
          <w:szCs w:val="32"/>
          <w:highlight w:val="none"/>
          <w:lang w:eastAsia="zh-CN"/>
        </w:rPr>
        <w:t>奖惩</w:t>
      </w:r>
      <w:r>
        <w:rPr>
          <w:rFonts w:hint="default" w:ascii="Times New Roman" w:hAnsi="Times New Roman" w:eastAsia="仿宋_GB2312" w:cs="Times New Roman"/>
          <w:sz w:val="32"/>
          <w:szCs w:val="32"/>
          <w:highlight w:val="none"/>
        </w:rPr>
        <w:t>机制</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信息反馈渠道及</w:t>
      </w:r>
      <w:r>
        <w:rPr>
          <w:rFonts w:hint="default" w:ascii="Times New Roman" w:hAnsi="Times New Roman" w:eastAsia="仿宋_GB2312" w:cs="Times New Roman"/>
          <w:sz w:val="32"/>
          <w:szCs w:val="32"/>
          <w:highlight w:val="none"/>
          <w:lang w:eastAsia="zh-CN"/>
        </w:rPr>
        <w:t>应急</w:t>
      </w:r>
      <w:r>
        <w:rPr>
          <w:rFonts w:hint="default" w:ascii="Times New Roman" w:hAnsi="Times New Roman" w:eastAsia="仿宋_GB2312" w:cs="Times New Roman"/>
          <w:sz w:val="32"/>
          <w:szCs w:val="32"/>
          <w:highlight w:val="none"/>
        </w:rPr>
        <w:t>处理机制。</w:t>
      </w:r>
    </w:p>
    <w:p>
      <w:pPr>
        <w:keepNext w:val="0"/>
        <w:keepLines w:val="0"/>
        <w:pageBreakBefore w:val="0"/>
        <w:widowControl w:val="0"/>
        <w:kinsoku/>
        <w:wordWrap/>
        <w:overflowPunct/>
        <w:topLinePunct w:val="0"/>
        <w:autoSpaceDE/>
        <w:autoSpaceDN/>
        <w:bidi w:val="0"/>
        <w:adjustRightInd/>
        <w:snapToGrid/>
        <w:spacing w:before="50" w:after="50" w:line="600" w:lineRule="exact"/>
        <w:ind w:right="0" w:rightChars="0" w:firstLine="640" w:firstLineChars="200"/>
        <w:textAlignment w:val="auto"/>
        <w:outlineLvl w:val="9"/>
        <w:rPr>
          <w:rFonts w:hint="eastAsia" w:ascii="黑体" w:hAnsi="黑体" w:eastAsia="黑体" w:cs="黑体"/>
          <w:b/>
          <w:bCs/>
          <w:sz w:val="32"/>
          <w:szCs w:val="32"/>
          <w:highlight w:val="none"/>
        </w:rPr>
      </w:pPr>
      <w:r>
        <w:rPr>
          <w:rFonts w:hint="default" w:ascii="Times New Roman" w:hAnsi="Times New Roman" w:eastAsia="黑体" w:cs="Times New Roman"/>
          <w:sz w:val="32"/>
          <w:szCs w:val="32"/>
          <w:highlight w:val="none"/>
          <w:lang w:val="en-US" w:eastAsia="zh-CN"/>
        </w:rPr>
        <w:t>5.</w:t>
      </w:r>
      <w:r>
        <w:rPr>
          <w:rFonts w:hint="eastAsia" w:ascii="黑体" w:hAnsi="黑体" w:eastAsia="黑体" w:cs="黑体"/>
          <w:b/>
          <w:bCs/>
          <w:sz w:val="32"/>
          <w:szCs w:val="32"/>
          <w:highlight w:val="none"/>
        </w:rPr>
        <w:t>文字要求</w:t>
      </w:r>
    </w:p>
    <w:p>
      <w:pPr>
        <w:keepNext w:val="0"/>
        <w:keepLines w:val="0"/>
        <w:pageBreakBefore w:val="0"/>
        <w:widowControl w:val="0"/>
        <w:tabs>
          <w:tab w:val="left" w:pos="500"/>
        </w:tabs>
        <w:kinsoku/>
        <w:wordWrap/>
        <w:overflowPunct/>
        <w:topLinePunct w:val="0"/>
        <w:autoSpaceDE/>
        <w:autoSpaceDN/>
        <w:bidi w:val="0"/>
        <w:adjustRightInd/>
        <w:snapToGrid/>
        <w:spacing w:before="156" w:beforeLines="50" w:after="156" w:afterLines="50" w:line="60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标书要求用中文书写。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br w:type="page"/>
      </w:r>
      <w:r>
        <w:rPr>
          <w:rFonts w:hint="eastAsia" w:ascii="仿宋_GB2312" w:hAnsi="仿宋_GB2312" w:eastAsia="仿宋_GB2312" w:cs="仿宋_GB2312"/>
          <w:sz w:val="28"/>
          <w:szCs w:val="28"/>
          <w:highlight w:val="none"/>
        </w:rPr>
        <w:t>附件</w:t>
      </w:r>
      <w:r>
        <w:rPr>
          <w:rFonts w:hint="eastAsia" w:ascii="仿宋_GB2312" w:hAnsi="仿宋_GB2312" w:eastAsia="仿宋_GB2312" w:cs="仿宋_GB2312"/>
          <w:sz w:val="28"/>
          <w:szCs w:val="28"/>
          <w:highlight w:val="none"/>
          <w:lang w:eastAsia="zh-CN"/>
        </w:rPr>
        <w:t>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44"/>
          <w:szCs w:val="44"/>
          <w:highlight w:val="none"/>
          <w:lang w:val="en-US" w:eastAsia="zh-CN"/>
        </w:rPr>
      </w:pPr>
      <w:bookmarkStart w:id="4" w:name="_Toc414557142"/>
      <w:r>
        <w:rPr>
          <w:rFonts w:hint="eastAsia" w:ascii="方正小标宋简体" w:hAnsi="方正小标宋简体" w:eastAsia="方正小标宋简体" w:cs="方正小标宋简体"/>
          <w:b/>
          <w:bCs/>
          <w:sz w:val="44"/>
          <w:szCs w:val="44"/>
          <w:highlight w:val="none"/>
          <w:lang w:val="en-US" w:eastAsia="zh-CN"/>
        </w:rPr>
        <w:t>高新区光电产业园消防维保服务项目</w:t>
      </w:r>
    </w:p>
    <w:p>
      <w:pPr>
        <w:pStyle w:val="25"/>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center"/>
        <w:textAlignment w:val="auto"/>
        <w:rPr>
          <w:rFonts w:hint="eastAsia" w:ascii="方正小标宋简体" w:hAnsi="方正小标宋简体" w:eastAsia="方正小标宋简体" w:cs="方正小标宋简体"/>
          <w:b/>
          <w:bCs/>
          <w:sz w:val="44"/>
          <w:szCs w:val="44"/>
          <w:highlight w:val="none"/>
          <w:lang w:eastAsia="zh-CN"/>
        </w:rPr>
      </w:pPr>
      <w:r>
        <w:rPr>
          <w:rFonts w:hint="eastAsia" w:ascii="方正小标宋简体" w:hAnsi="方正小标宋简体" w:eastAsia="方正小标宋简体" w:cs="方正小标宋简体"/>
          <w:b/>
          <w:bCs/>
          <w:sz w:val="44"/>
          <w:szCs w:val="44"/>
          <w:highlight w:val="none"/>
        </w:rPr>
        <w:t>消防系统维保服务</w:t>
      </w:r>
      <w:r>
        <w:rPr>
          <w:rFonts w:hint="eastAsia" w:ascii="方正小标宋简体" w:hAnsi="方正小标宋简体" w:eastAsia="方正小标宋简体" w:cs="方正小标宋简体"/>
          <w:b/>
          <w:bCs/>
          <w:sz w:val="44"/>
          <w:szCs w:val="44"/>
          <w:highlight w:val="none"/>
          <w:lang w:eastAsia="zh-CN"/>
        </w:rPr>
        <w:t>投标声明书</w:t>
      </w:r>
      <w:bookmarkEnd w:id="4"/>
    </w:p>
    <w:p>
      <w:pPr>
        <w:rPr>
          <w:rFonts w:hint="eastAsia"/>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本司已了解贵司有关</w:t>
      </w:r>
      <w:r>
        <w:rPr>
          <w:rFonts w:hint="default" w:ascii="Times New Roman" w:hAnsi="Times New Roman" w:eastAsia="仿宋_GB2312" w:cs="Times New Roman"/>
          <w:kern w:val="0"/>
          <w:sz w:val="32"/>
          <w:szCs w:val="32"/>
          <w:highlight w:val="none"/>
          <w:lang w:val="en-US" w:eastAsia="zh-CN"/>
        </w:rPr>
        <w:t>高新区光电产业园消防维保服务</w:t>
      </w:r>
      <w:r>
        <w:rPr>
          <w:rFonts w:hint="default" w:ascii="Times New Roman" w:hAnsi="Times New Roman" w:eastAsia="仿宋_GB2312" w:cs="Times New Roman"/>
          <w:sz w:val="32"/>
          <w:szCs w:val="32"/>
          <w:highlight w:val="none"/>
        </w:rPr>
        <w:t>项目消防维保</w:t>
      </w:r>
      <w:r>
        <w:rPr>
          <w:rFonts w:hint="default" w:ascii="Times New Roman" w:hAnsi="Times New Roman" w:eastAsia="仿宋_GB2312" w:cs="Times New Roman"/>
          <w:sz w:val="32"/>
          <w:szCs w:val="32"/>
          <w:highlight w:val="none"/>
          <w:lang w:eastAsia="zh-CN"/>
        </w:rPr>
        <w:t>竞争性磋商邀请文件内</w:t>
      </w:r>
      <w:r>
        <w:rPr>
          <w:rFonts w:hint="default" w:ascii="Times New Roman" w:hAnsi="Times New Roman" w:eastAsia="仿宋_GB2312" w:cs="Times New Roman"/>
          <w:sz w:val="32"/>
          <w:szCs w:val="32"/>
          <w:highlight w:val="none"/>
        </w:rPr>
        <w:t>内容、细则、要求、规格及条款等，并同意遵照贵司之</w:t>
      </w:r>
      <w:r>
        <w:rPr>
          <w:rFonts w:hint="default" w:ascii="Times New Roman" w:hAnsi="Times New Roman" w:eastAsia="仿宋_GB2312" w:cs="Times New Roman"/>
          <w:sz w:val="32"/>
          <w:szCs w:val="32"/>
          <w:highlight w:val="none"/>
          <w:lang w:eastAsia="zh-CN"/>
        </w:rPr>
        <w:t>竞争性磋商邀请文件</w:t>
      </w:r>
      <w:r>
        <w:rPr>
          <w:rFonts w:hint="default" w:ascii="Times New Roman" w:hAnsi="Times New Roman" w:eastAsia="仿宋_GB2312" w:cs="Times New Roman"/>
          <w:sz w:val="32"/>
          <w:szCs w:val="32"/>
          <w:highlight w:val="none"/>
        </w:rPr>
        <w:t>内内容及要求</w:t>
      </w:r>
      <w:r>
        <w:rPr>
          <w:rFonts w:hint="default" w:ascii="Times New Roman" w:hAnsi="Times New Roman" w:eastAsia="仿宋_GB2312" w:cs="Times New Roman"/>
          <w:sz w:val="32"/>
          <w:szCs w:val="32"/>
          <w:highlight w:val="none"/>
          <w:lang w:eastAsia="zh-CN"/>
        </w:rPr>
        <w:t>制作标书</w:t>
      </w:r>
      <w:r>
        <w:rPr>
          <w:rFonts w:hint="default" w:ascii="Times New Roman" w:hAnsi="Times New Roman" w:eastAsia="仿宋_GB2312" w:cs="Times New Roman"/>
          <w:sz w:val="32"/>
          <w:szCs w:val="32"/>
          <w:highlight w:val="none"/>
        </w:rPr>
        <w:t>，以下列报价投标贵司之</w:t>
      </w:r>
      <w:r>
        <w:rPr>
          <w:rFonts w:hint="default" w:ascii="Times New Roman" w:hAnsi="Times New Roman" w:eastAsia="仿宋_GB2312" w:cs="Times New Roman"/>
          <w:kern w:val="0"/>
          <w:sz w:val="32"/>
          <w:szCs w:val="32"/>
          <w:highlight w:val="none"/>
          <w:lang w:val="en-US" w:eastAsia="zh-CN"/>
        </w:rPr>
        <w:t>高新区光电产业园消防维保服务</w:t>
      </w:r>
      <w:r>
        <w:rPr>
          <w:rFonts w:hint="default" w:ascii="Times New Roman" w:hAnsi="Times New Roman" w:eastAsia="仿宋_GB2312" w:cs="Times New Roman"/>
          <w:sz w:val="32"/>
          <w:szCs w:val="32"/>
          <w:highlight w:val="none"/>
        </w:rPr>
        <w:t>项目消防系统维保服务。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本投标书报价包含</w:t>
      </w:r>
      <w:r>
        <w:rPr>
          <w:rFonts w:hint="default" w:ascii="Times New Roman" w:hAnsi="Times New Roman" w:eastAsia="仿宋_GB2312" w:cs="Times New Roman"/>
          <w:kern w:val="0"/>
          <w:sz w:val="32"/>
          <w:szCs w:val="32"/>
          <w:highlight w:val="none"/>
          <w:lang w:val="en-US" w:eastAsia="zh-CN"/>
        </w:rPr>
        <w:t>高新区光电产业园消防维保服务</w:t>
      </w:r>
      <w:r>
        <w:rPr>
          <w:rFonts w:hint="default" w:ascii="Times New Roman" w:hAnsi="Times New Roman" w:eastAsia="仿宋_GB2312" w:cs="Times New Roman"/>
          <w:sz w:val="32"/>
          <w:szCs w:val="32"/>
          <w:highlight w:val="none"/>
        </w:rPr>
        <w:t>项目全部消防系统维保服务所需物料及工资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本投标书报价与附件内所报价相同</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本司同意以本投标书内各项所述之报价，向贵司提供</w:t>
      </w:r>
      <w:r>
        <w:rPr>
          <w:rFonts w:hint="default" w:ascii="Times New Roman" w:hAnsi="Times New Roman" w:eastAsia="仿宋_GB2312" w:cs="Times New Roman"/>
          <w:sz w:val="32"/>
          <w:szCs w:val="32"/>
          <w:highlight w:val="none"/>
          <w:lang w:eastAsia="zh-CN"/>
        </w:rPr>
        <w:t>竞争性磋商邀请文件内</w:t>
      </w:r>
      <w:r>
        <w:rPr>
          <w:rFonts w:hint="default" w:ascii="Times New Roman" w:hAnsi="Times New Roman" w:eastAsia="仿宋_GB2312" w:cs="Times New Roman"/>
          <w:sz w:val="32"/>
          <w:szCs w:val="32"/>
          <w:highlight w:val="none"/>
        </w:rPr>
        <w:t>内所有消防维保服务内容要求，并同意此项报价于合同期内保持不变。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本司同意与贵司接受此投标书</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并</w:t>
      </w:r>
      <w:r>
        <w:rPr>
          <w:rFonts w:hint="default" w:ascii="Times New Roman" w:hAnsi="Times New Roman" w:eastAsia="仿宋_GB2312" w:cs="Times New Roman"/>
          <w:sz w:val="32"/>
          <w:szCs w:val="32"/>
          <w:highlight w:val="none"/>
          <w:lang w:eastAsia="zh-CN"/>
        </w:rPr>
        <w:t>在</w:t>
      </w:r>
      <w:r>
        <w:rPr>
          <w:rFonts w:hint="default" w:ascii="Times New Roman" w:hAnsi="Times New Roman" w:eastAsia="仿宋_GB2312" w:cs="Times New Roman"/>
          <w:sz w:val="32"/>
          <w:szCs w:val="32"/>
          <w:highlight w:val="none"/>
        </w:rPr>
        <w:t>签署合同后</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天内即可开展</w:t>
      </w:r>
      <w:r>
        <w:rPr>
          <w:rFonts w:hint="default" w:ascii="Times New Roman" w:hAnsi="Times New Roman" w:eastAsia="仿宋_GB2312" w:cs="Times New Roman"/>
          <w:sz w:val="32"/>
          <w:szCs w:val="32"/>
          <w:highlight w:val="none"/>
          <w:lang w:eastAsia="zh-CN"/>
        </w:rPr>
        <w:t>竞争性磋商邀请文件内</w:t>
      </w:r>
      <w:r>
        <w:rPr>
          <w:rFonts w:hint="default" w:ascii="Times New Roman" w:hAnsi="Times New Roman" w:eastAsia="仿宋_GB2312" w:cs="Times New Roman"/>
          <w:sz w:val="32"/>
          <w:szCs w:val="32"/>
          <w:highlight w:val="none"/>
        </w:rPr>
        <w:t>内所述之服务工作，如于合同期内本司未能遵守</w:t>
      </w:r>
      <w:r>
        <w:rPr>
          <w:rFonts w:hint="default" w:ascii="Times New Roman" w:hAnsi="Times New Roman" w:eastAsia="仿宋_GB2312" w:cs="Times New Roman"/>
          <w:sz w:val="32"/>
          <w:szCs w:val="32"/>
          <w:highlight w:val="none"/>
          <w:lang w:eastAsia="zh-CN"/>
        </w:rPr>
        <w:t>竞争性磋商邀请文件内</w:t>
      </w:r>
      <w:r>
        <w:rPr>
          <w:rFonts w:hint="default" w:ascii="Times New Roman" w:hAnsi="Times New Roman" w:eastAsia="仿宋_GB2312" w:cs="Times New Roman"/>
          <w:sz w:val="32"/>
          <w:szCs w:val="32"/>
          <w:highlight w:val="none"/>
        </w:rPr>
        <w:t>内所述条款，本司明白贵司有权随时取消此合同，并毋须对本司做出任何赔偿。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本司明白贵司不需一定挑选最低投标价者为中标者，并在贵司选定中标者后，无须向本司公开中标者资料或做出任何其他解释，一切有关挑选投标者的决策以贵司意向作最后决定。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除非此</w:t>
      </w:r>
      <w:r>
        <w:rPr>
          <w:rFonts w:hint="default" w:ascii="Times New Roman" w:hAnsi="Times New Roman" w:eastAsia="仿宋_GB2312" w:cs="Times New Roman"/>
          <w:sz w:val="32"/>
          <w:szCs w:val="32"/>
          <w:highlight w:val="none"/>
          <w:lang w:eastAsia="zh-CN"/>
        </w:rPr>
        <w:t>竞争性磋商邀请文件</w:t>
      </w:r>
      <w:r>
        <w:rPr>
          <w:rFonts w:hint="default" w:ascii="Times New Roman" w:hAnsi="Times New Roman" w:eastAsia="仿宋_GB2312" w:cs="Times New Roman"/>
          <w:sz w:val="32"/>
          <w:szCs w:val="32"/>
          <w:highlight w:val="none"/>
        </w:rPr>
        <w:t>内容违反中华人民共和国法律，否则合同双方须遵守合同及附件内所有一切条文及细则。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供应商名称（加盖公章）：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法定代表人</w:t>
      </w:r>
      <w:r>
        <w:rPr>
          <w:rFonts w:hint="default" w:ascii="Times New Roman" w:hAnsi="Times New Roman" w:eastAsia="仿宋_GB2312" w:cs="Times New Roman"/>
          <w:sz w:val="32"/>
          <w:szCs w:val="32"/>
          <w:highlight w:val="none"/>
          <w:lang w:val="en-US" w:eastAsia="zh-CN"/>
        </w:rPr>
        <w:t>/授权代表人（签字或加盖个人名章）：</w:t>
      </w:r>
    </w:p>
    <w:p>
      <w:pPr>
        <w:spacing w:line="360" w:lineRule="auto"/>
        <w:rPr>
          <w:rFonts w:hint="eastAsia" w:ascii="仿宋_GB2312" w:hAnsi="仿宋_GB2312" w:eastAsia="仿宋_GB2312" w:cs="仿宋_GB2312"/>
          <w:sz w:val="28"/>
          <w:szCs w:val="28"/>
          <w:highlight w:val="none"/>
          <w:lang w:eastAsia="zh-CN"/>
        </w:rPr>
      </w:pPr>
      <w:r>
        <w:rPr>
          <w:rFonts w:hint="default" w:ascii="Times New Roman" w:hAnsi="Times New Roman" w:eastAsia="仿宋_GB2312" w:cs="Times New Roman"/>
          <w:sz w:val="32"/>
          <w:szCs w:val="32"/>
          <w:highlight w:val="none"/>
          <w:lang w:val="en-US" w:eastAsia="zh-CN"/>
        </w:rPr>
        <w:t xml:space="preserve">    日期：XXXX年XX月XX日</w:t>
      </w:r>
      <w:r>
        <w:rPr>
          <w:rFonts w:hint="default" w:ascii="Times New Roman" w:hAnsi="Times New Roman" w:eastAsia="仿宋_GB2312" w:cs="Times New Roman"/>
          <w:sz w:val="32"/>
          <w:szCs w:val="32"/>
          <w:highlight w:val="none"/>
        </w:rPr>
        <w:br w:type="page"/>
      </w:r>
      <w:r>
        <w:rPr>
          <w:rFonts w:hint="eastAsia" w:ascii="仿宋_GB2312" w:hAnsi="仿宋_GB2312" w:eastAsia="仿宋_GB2312" w:cs="仿宋_GB2312"/>
          <w:sz w:val="28"/>
          <w:szCs w:val="28"/>
          <w:highlight w:val="none"/>
        </w:rPr>
        <w:t>附件</w:t>
      </w:r>
      <w:r>
        <w:rPr>
          <w:rFonts w:hint="eastAsia" w:ascii="仿宋_GB2312" w:hAnsi="仿宋_GB2312" w:eastAsia="仿宋_GB2312" w:cs="仿宋_GB2312"/>
          <w:sz w:val="28"/>
          <w:szCs w:val="28"/>
          <w:highlight w:val="none"/>
          <w:lang w:eastAsia="zh-CN"/>
        </w:rPr>
        <w:t>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44"/>
          <w:szCs w:val="44"/>
          <w:highlight w:val="none"/>
          <w:lang w:val="en-US" w:eastAsia="zh-CN"/>
        </w:rPr>
      </w:pPr>
      <w:bookmarkStart w:id="5" w:name="_Toc414557143"/>
      <w:r>
        <w:rPr>
          <w:rFonts w:hint="eastAsia" w:ascii="方正小标宋简体" w:hAnsi="方正小标宋简体" w:eastAsia="方正小标宋简体" w:cs="方正小标宋简体"/>
          <w:b/>
          <w:bCs/>
          <w:sz w:val="44"/>
          <w:szCs w:val="44"/>
          <w:highlight w:val="none"/>
          <w:lang w:val="en-US" w:eastAsia="zh-CN"/>
        </w:rPr>
        <w:t>高新区光电产业园消防维保服务项目</w:t>
      </w:r>
    </w:p>
    <w:p>
      <w:pPr>
        <w:pStyle w:val="25"/>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方正小标宋简体" w:hAnsi="方正小标宋简体" w:eastAsia="方正小标宋简体" w:cs="方正小标宋简体"/>
          <w:b/>
          <w:bCs/>
          <w:sz w:val="44"/>
          <w:szCs w:val="44"/>
          <w:highlight w:val="none"/>
        </w:rPr>
        <w:t>消防系统维保服务</w:t>
      </w:r>
      <w:r>
        <w:rPr>
          <w:rFonts w:hint="eastAsia" w:ascii="方正小标宋简体" w:hAnsi="方正小标宋简体" w:eastAsia="方正小标宋简体" w:cs="方正小标宋简体"/>
          <w:b/>
          <w:bCs/>
          <w:sz w:val="44"/>
          <w:szCs w:val="44"/>
          <w:highlight w:val="none"/>
          <w:lang w:eastAsia="zh-CN"/>
        </w:rPr>
        <w:t>投标书</w:t>
      </w:r>
      <w:bookmarkEnd w:id="5"/>
      <w:r>
        <w:rPr>
          <w:rFonts w:hint="eastAsia" w:ascii="方正小标宋简体" w:hAnsi="方正小标宋简体" w:eastAsia="方正小标宋简体" w:cs="方正小标宋简体"/>
          <w:b/>
          <w:bCs/>
          <w:sz w:val="44"/>
          <w:szCs w:val="44"/>
          <w:highlight w:val="none"/>
          <w:lang w:eastAsia="zh-CN"/>
        </w:rPr>
        <w:t>报价表</w:t>
      </w:r>
    </w:p>
    <w:p>
      <w:pPr>
        <w:spacing w:line="360" w:lineRule="auto"/>
        <w:rPr>
          <w:rFonts w:hint="eastAsia" w:ascii="仿宋_GB2312" w:hAnsi="仿宋_GB2312" w:eastAsia="仿宋_GB2312" w:cs="仿宋_GB2312"/>
          <w:b/>
          <w:bCs/>
          <w:sz w:val="28"/>
          <w:szCs w:val="28"/>
          <w:highlight w:val="none"/>
        </w:rPr>
      </w:pPr>
    </w:p>
    <w:tbl>
      <w:tblPr>
        <w:tblStyle w:val="27"/>
        <w:tblW w:w="9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862"/>
        <w:gridCol w:w="3575"/>
        <w:gridCol w:w="3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33" w:type="dxa"/>
            <w:noWrap w:val="0"/>
            <w:vAlign w:val="center"/>
          </w:tcPr>
          <w:p>
            <w:pPr>
              <w:jc w:val="center"/>
              <w:rPr>
                <w:rFonts w:hint="default" w:ascii="Times New Roman" w:hAnsi="Times New Roman" w:eastAsia="仿宋_GB2312" w:cs="Times New Roman"/>
                <w:b/>
                <w:color w:val="000000"/>
                <w:sz w:val="21"/>
                <w:szCs w:val="21"/>
                <w:highlight w:val="none"/>
              </w:rPr>
            </w:pPr>
            <w:r>
              <w:rPr>
                <w:rFonts w:hint="default" w:ascii="Times New Roman" w:hAnsi="Times New Roman" w:eastAsia="仿宋_GB2312" w:cs="Times New Roman"/>
                <w:b/>
                <w:color w:val="000000"/>
                <w:sz w:val="21"/>
                <w:szCs w:val="21"/>
                <w:highlight w:val="none"/>
              </w:rPr>
              <w:t>序号</w:t>
            </w:r>
          </w:p>
        </w:tc>
        <w:tc>
          <w:tcPr>
            <w:tcW w:w="1862" w:type="dxa"/>
            <w:noWrap w:val="0"/>
            <w:vAlign w:val="center"/>
          </w:tcPr>
          <w:p>
            <w:pPr>
              <w:jc w:val="center"/>
              <w:rPr>
                <w:rFonts w:hint="default" w:ascii="Times New Roman" w:hAnsi="Times New Roman" w:eastAsia="仿宋_GB2312" w:cs="Times New Roman"/>
                <w:b/>
                <w:color w:val="000000"/>
                <w:sz w:val="21"/>
                <w:szCs w:val="21"/>
                <w:highlight w:val="none"/>
              </w:rPr>
            </w:pPr>
            <w:r>
              <w:rPr>
                <w:rFonts w:hint="default" w:ascii="Times New Roman" w:hAnsi="Times New Roman" w:eastAsia="仿宋_GB2312" w:cs="Times New Roman"/>
                <w:b/>
                <w:color w:val="000000"/>
                <w:sz w:val="21"/>
                <w:szCs w:val="21"/>
                <w:highlight w:val="none"/>
              </w:rPr>
              <w:t>项目</w:t>
            </w:r>
          </w:p>
        </w:tc>
        <w:tc>
          <w:tcPr>
            <w:tcW w:w="3575" w:type="dxa"/>
            <w:noWrap w:val="0"/>
            <w:vAlign w:val="center"/>
          </w:tcPr>
          <w:p>
            <w:pPr>
              <w:jc w:val="center"/>
              <w:rPr>
                <w:rFonts w:hint="default" w:ascii="Times New Roman" w:hAnsi="Times New Roman" w:eastAsia="仿宋_GB2312" w:cs="Times New Roman"/>
                <w:b/>
                <w:color w:val="000000"/>
                <w:sz w:val="21"/>
                <w:szCs w:val="21"/>
                <w:highlight w:val="none"/>
              </w:rPr>
            </w:pPr>
            <w:r>
              <w:rPr>
                <w:rFonts w:hint="default" w:ascii="Times New Roman" w:hAnsi="Times New Roman" w:eastAsia="仿宋_GB2312" w:cs="Times New Roman"/>
                <w:b/>
                <w:color w:val="000000"/>
                <w:sz w:val="21"/>
                <w:szCs w:val="21"/>
                <w:highlight w:val="none"/>
              </w:rPr>
              <w:t>报价（</w:t>
            </w:r>
            <w:r>
              <w:rPr>
                <w:rFonts w:hint="default" w:ascii="Times New Roman" w:hAnsi="Times New Roman" w:eastAsia="仿宋_GB2312" w:cs="Times New Roman"/>
                <w:b/>
                <w:color w:val="000000"/>
                <w:sz w:val="21"/>
                <w:szCs w:val="21"/>
                <w:highlight w:val="none"/>
                <w:lang w:eastAsia="zh-CN"/>
              </w:rPr>
              <w:t>人民币</w:t>
            </w:r>
            <w:r>
              <w:rPr>
                <w:rFonts w:hint="default" w:ascii="Times New Roman" w:hAnsi="Times New Roman" w:eastAsia="仿宋_GB2312" w:cs="Times New Roman"/>
                <w:b/>
                <w:color w:val="000000"/>
                <w:sz w:val="21"/>
                <w:szCs w:val="21"/>
                <w:highlight w:val="none"/>
              </w:rPr>
              <w:t>元/㎡）</w:t>
            </w:r>
          </w:p>
        </w:tc>
        <w:tc>
          <w:tcPr>
            <w:tcW w:w="3870" w:type="dxa"/>
            <w:noWrap w:val="0"/>
            <w:vAlign w:val="center"/>
          </w:tcPr>
          <w:p>
            <w:pPr>
              <w:jc w:val="center"/>
              <w:rPr>
                <w:rFonts w:hint="default" w:ascii="Times New Roman" w:hAnsi="Times New Roman" w:eastAsia="仿宋_GB2312" w:cs="Times New Roman"/>
                <w:b/>
                <w:color w:val="000000"/>
                <w:sz w:val="21"/>
                <w:szCs w:val="21"/>
                <w:highlight w:val="none"/>
              </w:rPr>
            </w:pPr>
            <w:r>
              <w:rPr>
                <w:rFonts w:hint="default" w:ascii="Times New Roman" w:hAnsi="Times New Roman" w:eastAsia="仿宋_GB2312" w:cs="Times New Roman"/>
                <w:b/>
                <w:color w:val="00000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633" w:type="dxa"/>
            <w:noWrap w:val="0"/>
            <w:vAlign w:val="center"/>
          </w:tcPr>
          <w:p>
            <w:pPr>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1</w:t>
            </w:r>
          </w:p>
        </w:tc>
        <w:tc>
          <w:tcPr>
            <w:tcW w:w="1862" w:type="dxa"/>
            <w:noWrap w:val="0"/>
            <w:vAlign w:val="center"/>
          </w:tcPr>
          <w:p>
            <w:pPr>
              <w:jc w:val="both"/>
              <w:rPr>
                <w:rFonts w:hint="default" w:ascii="Times New Roman" w:hAnsi="Times New Roman" w:eastAsia="仿宋_GB2312" w:cs="Times New Roman"/>
                <w:b/>
                <w:bCs/>
                <w:color w:val="000000"/>
                <w:sz w:val="21"/>
                <w:szCs w:val="21"/>
                <w:highlight w:val="none"/>
              </w:rPr>
            </w:pPr>
          </w:p>
        </w:tc>
        <w:tc>
          <w:tcPr>
            <w:tcW w:w="3575" w:type="dxa"/>
            <w:noWrap w:val="0"/>
            <w:vAlign w:val="center"/>
          </w:tcPr>
          <w:p>
            <w:pPr>
              <w:pStyle w:val="12"/>
              <w:rPr>
                <w:rFonts w:hint="default" w:ascii="Times New Roman" w:hAnsi="Times New Roman" w:eastAsia="仿宋_GB2312" w:cs="Times New Roman"/>
                <w:color w:val="000000"/>
                <w:sz w:val="21"/>
                <w:szCs w:val="21"/>
                <w:highlight w:val="none"/>
                <w:lang w:val="en-US" w:eastAsia="zh-CN"/>
              </w:rPr>
            </w:pPr>
          </w:p>
        </w:tc>
        <w:tc>
          <w:tcPr>
            <w:tcW w:w="3870" w:type="dxa"/>
            <w:noWrap w:val="0"/>
            <w:vAlign w:val="center"/>
          </w:tcPr>
          <w:p>
            <w:pPr>
              <w:rPr>
                <w:rFonts w:hint="default" w:ascii="Times New Roman" w:hAnsi="Times New Roman" w:eastAsia="仿宋_GB2312"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633" w:type="dxa"/>
            <w:noWrap w:val="0"/>
            <w:vAlign w:val="center"/>
          </w:tcPr>
          <w:p>
            <w:pPr>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2</w:t>
            </w:r>
          </w:p>
        </w:tc>
        <w:tc>
          <w:tcPr>
            <w:tcW w:w="1862" w:type="dxa"/>
            <w:noWrap w:val="0"/>
            <w:vAlign w:val="center"/>
          </w:tcPr>
          <w:p>
            <w:pPr>
              <w:jc w:val="center"/>
              <w:rPr>
                <w:rFonts w:hint="default" w:ascii="Times New Roman" w:hAnsi="Times New Roman" w:eastAsia="仿宋_GB2312" w:cs="Times New Roman"/>
                <w:b/>
                <w:bCs/>
                <w:color w:val="000000"/>
                <w:sz w:val="21"/>
                <w:szCs w:val="21"/>
                <w:highlight w:val="none"/>
              </w:rPr>
            </w:pPr>
          </w:p>
        </w:tc>
        <w:tc>
          <w:tcPr>
            <w:tcW w:w="3575" w:type="dxa"/>
            <w:noWrap w:val="0"/>
            <w:vAlign w:val="center"/>
          </w:tcPr>
          <w:p>
            <w:pPr>
              <w:rPr>
                <w:rFonts w:hint="default" w:ascii="Times New Roman" w:hAnsi="Times New Roman" w:eastAsia="仿宋_GB2312" w:cs="Times New Roman"/>
                <w:color w:val="000000"/>
                <w:sz w:val="21"/>
                <w:szCs w:val="21"/>
                <w:highlight w:val="none"/>
              </w:rPr>
            </w:pPr>
          </w:p>
        </w:tc>
        <w:tc>
          <w:tcPr>
            <w:tcW w:w="3870" w:type="dxa"/>
            <w:noWrap w:val="0"/>
            <w:vAlign w:val="center"/>
          </w:tcPr>
          <w:p>
            <w:pPr>
              <w:rPr>
                <w:rFonts w:hint="default" w:ascii="Times New Roman" w:hAnsi="Times New Roman" w:eastAsia="仿宋_GB2312"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633" w:type="dxa"/>
            <w:noWrap w:val="0"/>
            <w:vAlign w:val="center"/>
          </w:tcPr>
          <w:p>
            <w:pPr>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3</w:t>
            </w:r>
          </w:p>
        </w:tc>
        <w:tc>
          <w:tcPr>
            <w:tcW w:w="1862" w:type="dxa"/>
            <w:noWrap w:val="0"/>
            <w:vAlign w:val="center"/>
          </w:tcPr>
          <w:p>
            <w:pPr>
              <w:jc w:val="center"/>
              <w:rPr>
                <w:rFonts w:hint="default" w:ascii="Times New Roman" w:hAnsi="Times New Roman" w:eastAsia="仿宋_GB2312" w:cs="Times New Roman"/>
                <w:b/>
                <w:bCs/>
                <w:color w:val="000000"/>
                <w:sz w:val="21"/>
                <w:szCs w:val="21"/>
                <w:highlight w:val="none"/>
              </w:rPr>
            </w:pPr>
          </w:p>
        </w:tc>
        <w:tc>
          <w:tcPr>
            <w:tcW w:w="3575" w:type="dxa"/>
            <w:noWrap w:val="0"/>
            <w:vAlign w:val="center"/>
          </w:tcPr>
          <w:p>
            <w:pPr>
              <w:pStyle w:val="12"/>
              <w:rPr>
                <w:rFonts w:hint="default" w:ascii="Times New Roman" w:hAnsi="Times New Roman" w:eastAsia="仿宋_GB2312" w:cs="Times New Roman"/>
                <w:color w:val="000000"/>
                <w:sz w:val="21"/>
                <w:szCs w:val="21"/>
                <w:highlight w:val="none"/>
                <w:lang w:val="en-US" w:eastAsia="zh-CN"/>
              </w:rPr>
            </w:pPr>
          </w:p>
        </w:tc>
        <w:tc>
          <w:tcPr>
            <w:tcW w:w="3870" w:type="dxa"/>
            <w:noWrap w:val="0"/>
            <w:vAlign w:val="center"/>
          </w:tcPr>
          <w:p>
            <w:pPr>
              <w:rPr>
                <w:rFonts w:hint="default" w:ascii="Times New Roman" w:hAnsi="Times New Roman" w:eastAsia="仿宋_GB2312"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633" w:type="dxa"/>
            <w:noWrap w:val="0"/>
            <w:vAlign w:val="center"/>
          </w:tcPr>
          <w:p>
            <w:pPr>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4</w:t>
            </w:r>
          </w:p>
        </w:tc>
        <w:tc>
          <w:tcPr>
            <w:tcW w:w="1862" w:type="dxa"/>
            <w:noWrap w:val="0"/>
            <w:vAlign w:val="center"/>
          </w:tcPr>
          <w:p>
            <w:pPr>
              <w:jc w:val="center"/>
              <w:rPr>
                <w:rFonts w:hint="default" w:ascii="Times New Roman" w:hAnsi="Times New Roman" w:eastAsia="仿宋_GB2312" w:cs="Times New Roman"/>
                <w:b/>
                <w:bCs/>
                <w:color w:val="000000"/>
                <w:sz w:val="21"/>
                <w:szCs w:val="21"/>
                <w:highlight w:val="none"/>
              </w:rPr>
            </w:pPr>
          </w:p>
        </w:tc>
        <w:tc>
          <w:tcPr>
            <w:tcW w:w="3575" w:type="dxa"/>
            <w:noWrap w:val="0"/>
            <w:vAlign w:val="center"/>
          </w:tcPr>
          <w:p>
            <w:pPr>
              <w:rPr>
                <w:rFonts w:hint="default" w:ascii="Times New Roman" w:hAnsi="Times New Roman" w:eastAsia="仿宋_GB2312" w:cs="Times New Roman"/>
                <w:color w:val="000000"/>
                <w:sz w:val="21"/>
                <w:szCs w:val="21"/>
                <w:highlight w:val="none"/>
              </w:rPr>
            </w:pPr>
          </w:p>
        </w:tc>
        <w:tc>
          <w:tcPr>
            <w:tcW w:w="3870" w:type="dxa"/>
            <w:noWrap w:val="0"/>
            <w:vAlign w:val="center"/>
          </w:tcPr>
          <w:p>
            <w:pPr>
              <w:rPr>
                <w:rFonts w:hint="default" w:ascii="Times New Roman" w:hAnsi="Times New Roman" w:eastAsia="仿宋_GB2312"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495" w:type="dxa"/>
            <w:gridSpan w:val="2"/>
            <w:noWrap w:val="0"/>
            <w:vAlign w:val="center"/>
          </w:tcPr>
          <w:p>
            <w:pPr>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b/>
                <w:bCs/>
                <w:color w:val="auto"/>
                <w:sz w:val="21"/>
                <w:szCs w:val="21"/>
                <w:highlight w:val="none"/>
              </w:rPr>
              <w:t>合计</w:t>
            </w:r>
          </w:p>
        </w:tc>
        <w:tc>
          <w:tcPr>
            <w:tcW w:w="3575" w:type="dxa"/>
            <w:noWrap w:val="0"/>
            <w:vAlign w:val="center"/>
          </w:tcPr>
          <w:p>
            <w:pPr>
              <w:rPr>
                <w:rFonts w:hint="default" w:ascii="Times New Roman" w:hAnsi="Times New Roman" w:eastAsia="仿宋_GB2312" w:cs="Times New Roman"/>
                <w:color w:val="000000"/>
                <w:sz w:val="21"/>
                <w:szCs w:val="21"/>
                <w:highlight w:val="none"/>
              </w:rPr>
            </w:pPr>
          </w:p>
        </w:tc>
        <w:tc>
          <w:tcPr>
            <w:tcW w:w="3870" w:type="dxa"/>
            <w:noWrap w:val="0"/>
            <w:vAlign w:val="center"/>
          </w:tcPr>
          <w:p>
            <w:pPr>
              <w:rPr>
                <w:rFonts w:hint="default" w:ascii="Times New Roman" w:hAnsi="Times New Roman" w:eastAsia="仿宋_GB2312" w:cs="Times New Roman"/>
                <w:color w:val="000000"/>
                <w:sz w:val="21"/>
                <w:szCs w:val="21"/>
                <w:highlight w:val="none"/>
                <w:lang w:val="en-US" w:eastAsia="zh-CN"/>
              </w:rPr>
            </w:pPr>
          </w:p>
        </w:tc>
      </w:tr>
    </w:tbl>
    <w:p>
      <w:pPr>
        <w:spacing w:line="360" w:lineRule="auto"/>
        <w:jc w:val="both"/>
        <w:rPr>
          <w:rFonts w:hint="default" w:ascii="Times New Roman" w:hAnsi="Times New Roman" w:eastAsia="仿宋_GB2312" w:cs="Times New Roman"/>
          <w:sz w:val="24"/>
          <w:highlight w:val="none"/>
          <w:lang w:val="en-US" w:eastAsia="zh-CN"/>
        </w:rPr>
      </w:pPr>
    </w:p>
    <w:p>
      <w:pPr>
        <w:spacing w:line="360" w:lineRule="auto"/>
        <w:jc w:val="both"/>
        <w:rPr>
          <w:rFonts w:hint="default" w:ascii="Times New Roman" w:hAnsi="Times New Roman" w:eastAsia="仿宋_GB2312" w:cs="Times New Roman"/>
          <w:sz w:val="24"/>
          <w:highlight w:val="none"/>
          <w:lang w:val="en-US" w:eastAsia="zh-CN"/>
        </w:rPr>
      </w:pPr>
    </w:p>
    <w:p>
      <w:pPr>
        <w:spacing w:line="360" w:lineRule="auto"/>
        <w:jc w:val="both"/>
        <w:rPr>
          <w:rFonts w:hint="default" w:ascii="Times New Roman" w:hAnsi="Times New Roman" w:eastAsia="仿宋_GB2312" w:cs="Times New Roman"/>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供应商名称：（</w:t>
      </w:r>
      <w:r>
        <w:rPr>
          <w:rFonts w:hint="default" w:ascii="Times New Roman" w:hAnsi="Times New Roman" w:eastAsia="仿宋_GB2312" w:cs="Times New Roman"/>
          <w:sz w:val="28"/>
          <w:szCs w:val="28"/>
          <w:highlight w:val="none"/>
        </w:rPr>
        <w:t>盖章：</w:t>
      </w:r>
      <w:r>
        <w:rPr>
          <w:rFonts w:hint="default" w:ascii="Times New Roman" w:hAnsi="Times New Roman" w:eastAsia="仿宋_GB2312" w:cs="Times New Roman"/>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eastAsia="zh-CN"/>
        </w:rPr>
        <w:t>法定代表人</w:t>
      </w:r>
      <w:r>
        <w:rPr>
          <w:rFonts w:hint="default" w:ascii="Times New Roman" w:hAnsi="Times New Roman" w:eastAsia="仿宋_GB2312" w:cs="Times New Roman"/>
          <w:sz w:val="28"/>
          <w:szCs w:val="28"/>
          <w:highlight w:val="none"/>
          <w:lang w:val="en-US" w:eastAsia="zh-CN"/>
        </w:rPr>
        <w:t>/授权代表人（签字或加盖个人名章）：</w:t>
      </w:r>
    </w:p>
    <w:p>
      <w:pPr>
        <w:spacing w:line="360" w:lineRule="auto"/>
        <w:jc w:val="both"/>
        <w:rPr>
          <w:rFonts w:hint="default" w:ascii="Arial" w:hAnsi="Arial" w:eastAsia="微软雅黑" w:cs="Arial"/>
          <w:sz w:val="24"/>
          <w:highlight w:val="none"/>
          <w:lang w:val="en-US" w:eastAsia="zh-CN"/>
        </w:rPr>
      </w:pPr>
      <w:r>
        <w:rPr>
          <w:rFonts w:hint="default" w:ascii="Times New Roman" w:hAnsi="Times New Roman" w:eastAsia="仿宋_GB2312" w:cs="Times New Roman"/>
          <w:sz w:val="28"/>
          <w:szCs w:val="28"/>
          <w:highlight w:val="none"/>
          <w:lang w:val="en-US" w:eastAsia="zh-CN"/>
        </w:rPr>
        <w:t xml:space="preserve">    日期：XXXX年XX月XX日</w:t>
      </w:r>
    </w:p>
    <w:sectPr>
      <w:footerReference r:id="rId4" w:type="default"/>
      <w:pgSz w:w="11906" w:h="16838"/>
      <w:pgMar w:top="1701" w:right="1400" w:bottom="1701" w:left="1400" w:header="851"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r>
      <w:rPr>
        <w:sz w:val="18"/>
      </w:rPr>
      <mc:AlternateContent>
        <mc:Choice Requires="wps">
          <w:drawing>
            <wp:anchor distT="0" distB="0" distL="114300" distR="114300" simplePos="0" relativeHeight="251659264" behindDoc="0" locked="0" layoutInCell="1" allowOverlap="1">
              <wp:simplePos x="0" y="0"/>
              <wp:positionH relativeFrom="margin">
                <wp:posOffset>5587365</wp:posOffset>
              </wp:positionH>
              <wp:positionV relativeFrom="paragraph">
                <wp:posOffset>-511810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39.95pt;margin-top:-40.3pt;height:144pt;width:144pt;mso-position-horizontal-relative:margin;mso-wrap-style:none;z-index:251659264;mso-width-relative:page;mso-height-relative:page;" filled="f" stroked="f" coordsize="21600,21600" o:gfxdata="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mJMs7ZAAAADAEAAA8AAAAAAAAAAQAgAAAAIgAAAGRycy9kb3ducmV2Lnht&#10;bFBLAQIUABQAAAAIAIdO4kAkgka0MQIAAGEEAAAOAAAAAAAAAAEAIAAAACgBAABkcnMvZTJvRG9j&#10;LnhtbFBLBQYAAAAABgAGAFkBAADLBQAAAAA=&#10;">
              <v:fill on="f" focussize="0,0"/>
              <v:stroke on="f" weight="0.5pt"/>
              <v:imagedata o:title=""/>
              <o:lock v:ext="edit" aspectratio="f"/>
              <v:textbox inset="0mm,0mm,0mm,0mm" style="mso-fit-shape-to-text:t;">
                <w:txbxContent>
                  <w:p>
                    <w:pPr>
                      <w:pStyle w:val="20"/>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005C63"/>
    <w:multiLevelType w:val="multilevel"/>
    <w:tmpl w:val="3A005C63"/>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505"/>
    <w:rsid w:val="00003EC8"/>
    <w:rsid w:val="00004709"/>
    <w:rsid w:val="00017222"/>
    <w:rsid w:val="00017AD0"/>
    <w:rsid w:val="00023999"/>
    <w:rsid w:val="0002580A"/>
    <w:rsid w:val="00025B41"/>
    <w:rsid w:val="00026201"/>
    <w:rsid w:val="00026B46"/>
    <w:rsid w:val="00041ACF"/>
    <w:rsid w:val="000455B2"/>
    <w:rsid w:val="00050D4C"/>
    <w:rsid w:val="00052A9B"/>
    <w:rsid w:val="00054E19"/>
    <w:rsid w:val="00054E88"/>
    <w:rsid w:val="00056C75"/>
    <w:rsid w:val="00060B97"/>
    <w:rsid w:val="00061550"/>
    <w:rsid w:val="00063716"/>
    <w:rsid w:val="00065D89"/>
    <w:rsid w:val="00067B1B"/>
    <w:rsid w:val="0007716B"/>
    <w:rsid w:val="00093CC8"/>
    <w:rsid w:val="00097834"/>
    <w:rsid w:val="000A72EE"/>
    <w:rsid w:val="000B3377"/>
    <w:rsid w:val="000B71CD"/>
    <w:rsid w:val="000C0161"/>
    <w:rsid w:val="000D164F"/>
    <w:rsid w:val="000D1783"/>
    <w:rsid w:val="000D481B"/>
    <w:rsid w:val="000D518C"/>
    <w:rsid w:val="000D7A25"/>
    <w:rsid w:val="000D7F7C"/>
    <w:rsid w:val="000E6AF9"/>
    <w:rsid w:val="000F2A6D"/>
    <w:rsid w:val="00100D77"/>
    <w:rsid w:val="001266BB"/>
    <w:rsid w:val="00133A2F"/>
    <w:rsid w:val="00133E44"/>
    <w:rsid w:val="00136AFC"/>
    <w:rsid w:val="00140B33"/>
    <w:rsid w:val="00142486"/>
    <w:rsid w:val="00142DC2"/>
    <w:rsid w:val="0015722E"/>
    <w:rsid w:val="00161E09"/>
    <w:rsid w:val="00181E67"/>
    <w:rsid w:val="00184973"/>
    <w:rsid w:val="0018762B"/>
    <w:rsid w:val="00190DFE"/>
    <w:rsid w:val="00196EE1"/>
    <w:rsid w:val="001A0EEC"/>
    <w:rsid w:val="001A30A2"/>
    <w:rsid w:val="001B20F7"/>
    <w:rsid w:val="001B3901"/>
    <w:rsid w:val="001C5084"/>
    <w:rsid w:val="001C7D20"/>
    <w:rsid w:val="001D3EE5"/>
    <w:rsid w:val="001D47E3"/>
    <w:rsid w:val="001D6DD9"/>
    <w:rsid w:val="001F4D50"/>
    <w:rsid w:val="00201657"/>
    <w:rsid w:val="002025E3"/>
    <w:rsid w:val="0020523D"/>
    <w:rsid w:val="00206E5F"/>
    <w:rsid w:val="002103AE"/>
    <w:rsid w:val="00211F8A"/>
    <w:rsid w:val="0021351C"/>
    <w:rsid w:val="002140DF"/>
    <w:rsid w:val="00214C36"/>
    <w:rsid w:val="002311D7"/>
    <w:rsid w:val="00233F89"/>
    <w:rsid w:val="00235676"/>
    <w:rsid w:val="002363A7"/>
    <w:rsid w:val="00237608"/>
    <w:rsid w:val="00237738"/>
    <w:rsid w:val="00241D6E"/>
    <w:rsid w:val="00247222"/>
    <w:rsid w:val="00253FD6"/>
    <w:rsid w:val="00261DBF"/>
    <w:rsid w:val="0027442F"/>
    <w:rsid w:val="002752F2"/>
    <w:rsid w:val="00293322"/>
    <w:rsid w:val="00293C52"/>
    <w:rsid w:val="002A237E"/>
    <w:rsid w:val="002B592F"/>
    <w:rsid w:val="002C2B2F"/>
    <w:rsid w:val="002D4A08"/>
    <w:rsid w:val="002E1A77"/>
    <w:rsid w:val="002E5F80"/>
    <w:rsid w:val="002F2747"/>
    <w:rsid w:val="00302547"/>
    <w:rsid w:val="00307F53"/>
    <w:rsid w:val="00310AD6"/>
    <w:rsid w:val="003114EC"/>
    <w:rsid w:val="003135DE"/>
    <w:rsid w:val="00313862"/>
    <w:rsid w:val="00314355"/>
    <w:rsid w:val="0031459D"/>
    <w:rsid w:val="003178FE"/>
    <w:rsid w:val="00317C3A"/>
    <w:rsid w:val="003270D3"/>
    <w:rsid w:val="003334D4"/>
    <w:rsid w:val="00343ADB"/>
    <w:rsid w:val="00352D16"/>
    <w:rsid w:val="00355619"/>
    <w:rsid w:val="00363524"/>
    <w:rsid w:val="00363D0D"/>
    <w:rsid w:val="00364781"/>
    <w:rsid w:val="00364D06"/>
    <w:rsid w:val="00373BAE"/>
    <w:rsid w:val="003838B7"/>
    <w:rsid w:val="00390853"/>
    <w:rsid w:val="00397F89"/>
    <w:rsid w:val="003A19E5"/>
    <w:rsid w:val="003A2C7E"/>
    <w:rsid w:val="003A308C"/>
    <w:rsid w:val="003A4384"/>
    <w:rsid w:val="003C09E4"/>
    <w:rsid w:val="003C0A65"/>
    <w:rsid w:val="003D1133"/>
    <w:rsid w:val="003E6861"/>
    <w:rsid w:val="003E6D35"/>
    <w:rsid w:val="003F19DE"/>
    <w:rsid w:val="003F48EB"/>
    <w:rsid w:val="003F5922"/>
    <w:rsid w:val="003F6687"/>
    <w:rsid w:val="004121BD"/>
    <w:rsid w:val="0042078B"/>
    <w:rsid w:val="00423167"/>
    <w:rsid w:val="00430371"/>
    <w:rsid w:val="00442610"/>
    <w:rsid w:val="00443487"/>
    <w:rsid w:val="0044507C"/>
    <w:rsid w:val="00451055"/>
    <w:rsid w:val="00451BFC"/>
    <w:rsid w:val="0047208C"/>
    <w:rsid w:val="00475410"/>
    <w:rsid w:val="00475B7C"/>
    <w:rsid w:val="00475D0C"/>
    <w:rsid w:val="00475FB2"/>
    <w:rsid w:val="004816E8"/>
    <w:rsid w:val="00492F8F"/>
    <w:rsid w:val="00494415"/>
    <w:rsid w:val="004A0022"/>
    <w:rsid w:val="004A7F95"/>
    <w:rsid w:val="004B0BB9"/>
    <w:rsid w:val="004B641D"/>
    <w:rsid w:val="004C19A3"/>
    <w:rsid w:val="004C1A58"/>
    <w:rsid w:val="004C2209"/>
    <w:rsid w:val="004D4C10"/>
    <w:rsid w:val="004D7A83"/>
    <w:rsid w:val="004E174E"/>
    <w:rsid w:val="004F2A28"/>
    <w:rsid w:val="004F69AB"/>
    <w:rsid w:val="00501969"/>
    <w:rsid w:val="005073BE"/>
    <w:rsid w:val="00510C7E"/>
    <w:rsid w:val="00511401"/>
    <w:rsid w:val="0051353E"/>
    <w:rsid w:val="00514A16"/>
    <w:rsid w:val="00516066"/>
    <w:rsid w:val="00517E05"/>
    <w:rsid w:val="005247FB"/>
    <w:rsid w:val="0053444C"/>
    <w:rsid w:val="0053516F"/>
    <w:rsid w:val="0053661B"/>
    <w:rsid w:val="0054599D"/>
    <w:rsid w:val="00550462"/>
    <w:rsid w:val="0055434F"/>
    <w:rsid w:val="00554365"/>
    <w:rsid w:val="005622AC"/>
    <w:rsid w:val="005625E7"/>
    <w:rsid w:val="00562627"/>
    <w:rsid w:val="0057607C"/>
    <w:rsid w:val="005826BE"/>
    <w:rsid w:val="00586708"/>
    <w:rsid w:val="0059108B"/>
    <w:rsid w:val="00591644"/>
    <w:rsid w:val="00592D59"/>
    <w:rsid w:val="005932CE"/>
    <w:rsid w:val="00593784"/>
    <w:rsid w:val="005962E7"/>
    <w:rsid w:val="005C20F0"/>
    <w:rsid w:val="005C5675"/>
    <w:rsid w:val="005E2E74"/>
    <w:rsid w:val="005E49F6"/>
    <w:rsid w:val="005F6955"/>
    <w:rsid w:val="006018C5"/>
    <w:rsid w:val="00601BFD"/>
    <w:rsid w:val="0060332F"/>
    <w:rsid w:val="00614009"/>
    <w:rsid w:val="006174AD"/>
    <w:rsid w:val="00630784"/>
    <w:rsid w:val="00640239"/>
    <w:rsid w:val="006438DE"/>
    <w:rsid w:val="0065349B"/>
    <w:rsid w:val="00654847"/>
    <w:rsid w:val="0066137D"/>
    <w:rsid w:val="006613DD"/>
    <w:rsid w:val="006673AA"/>
    <w:rsid w:val="00671D9A"/>
    <w:rsid w:val="006826FF"/>
    <w:rsid w:val="006915EB"/>
    <w:rsid w:val="00695FBD"/>
    <w:rsid w:val="006C7993"/>
    <w:rsid w:val="006D22AC"/>
    <w:rsid w:val="006D76B0"/>
    <w:rsid w:val="006D7B44"/>
    <w:rsid w:val="006E6799"/>
    <w:rsid w:val="006F31C6"/>
    <w:rsid w:val="00704331"/>
    <w:rsid w:val="00706D57"/>
    <w:rsid w:val="00716071"/>
    <w:rsid w:val="00720C27"/>
    <w:rsid w:val="00727F28"/>
    <w:rsid w:val="00730B07"/>
    <w:rsid w:val="00730C90"/>
    <w:rsid w:val="00730FB1"/>
    <w:rsid w:val="00732C81"/>
    <w:rsid w:val="00735EE6"/>
    <w:rsid w:val="00735F63"/>
    <w:rsid w:val="00743E52"/>
    <w:rsid w:val="00761818"/>
    <w:rsid w:val="00766FB2"/>
    <w:rsid w:val="0077076C"/>
    <w:rsid w:val="00770C79"/>
    <w:rsid w:val="0077423D"/>
    <w:rsid w:val="00783262"/>
    <w:rsid w:val="00791AAA"/>
    <w:rsid w:val="007A250B"/>
    <w:rsid w:val="007A3AEE"/>
    <w:rsid w:val="007B7A1B"/>
    <w:rsid w:val="007C03B8"/>
    <w:rsid w:val="007C339B"/>
    <w:rsid w:val="007C44DC"/>
    <w:rsid w:val="007E1ACF"/>
    <w:rsid w:val="007E69DF"/>
    <w:rsid w:val="007E7703"/>
    <w:rsid w:val="007F1F73"/>
    <w:rsid w:val="007F5596"/>
    <w:rsid w:val="00800BA6"/>
    <w:rsid w:val="0080158E"/>
    <w:rsid w:val="008044EB"/>
    <w:rsid w:val="00804686"/>
    <w:rsid w:val="00804929"/>
    <w:rsid w:val="00812D1E"/>
    <w:rsid w:val="0081679A"/>
    <w:rsid w:val="00833052"/>
    <w:rsid w:val="008339E8"/>
    <w:rsid w:val="00834FD7"/>
    <w:rsid w:val="0083761B"/>
    <w:rsid w:val="00842D15"/>
    <w:rsid w:val="008436DC"/>
    <w:rsid w:val="00844A28"/>
    <w:rsid w:val="00852691"/>
    <w:rsid w:val="00857467"/>
    <w:rsid w:val="00857C0D"/>
    <w:rsid w:val="0086074F"/>
    <w:rsid w:val="0086243B"/>
    <w:rsid w:val="008670E1"/>
    <w:rsid w:val="00876C8E"/>
    <w:rsid w:val="0088063B"/>
    <w:rsid w:val="008A1BB7"/>
    <w:rsid w:val="008A3AFF"/>
    <w:rsid w:val="008A3DD4"/>
    <w:rsid w:val="008B0052"/>
    <w:rsid w:val="008B5691"/>
    <w:rsid w:val="008B5847"/>
    <w:rsid w:val="008C1ED1"/>
    <w:rsid w:val="008C33C0"/>
    <w:rsid w:val="008D11B1"/>
    <w:rsid w:val="008D5245"/>
    <w:rsid w:val="008E0AD5"/>
    <w:rsid w:val="008E26E5"/>
    <w:rsid w:val="008F0E55"/>
    <w:rsid w:val="008F1C88"/>
    <w:rsid w:val="008F2C90"/>
    <w:rsid w:val="008F372A"/>
    <w:rsid w:val="0090785C"/>
    <w:rsid w:val="00911BAD"/>
    <w:rsid w:val="00914C20"/>
    <w:rsid w:val="00922A0B"/>
    <w:rsid w:val="00926C3A"/>
    <w:rsid w:val="0093562B"/>
    <w:rsid w:val="009422E5"/>
    <w:rsid w:val="00944639"/>
    <w:rsid w:val="00956F99"/>
    <w:rsid w:val="00961091"/>
    <w:rsid w:val="00963A7F"/>
    <w:rsid w:val="00963BD9"/>
    <w:rsid w:val="00965522"/>
    <w:rsid w:val="00965A24"/>
    <w:rsid w:val="00971033"/>
    <w:rsid w:val="009731D7"/>
    <w:rsid w:val="00974A04"/>
    <w:rsid w:val="00981AC0"/>
    <w:rsid w:val="009865EE"/>
    <w:rsid w:val="00994831"/>
    <w:rsid w:val="00995372"/>
    <w:rsid w:val="009A05A3"/>
    <w:rsid w:val="009B30CF"/>
    <w:rsid w:val="009B4A79"/>
    <w:rsid w:val="009B5652"/>
    <w:rsid w:val="009B63EA"/>
    <w:rsid w:val="009B6D26"/>
    <w:rsid w:val="009D25B8"/>
    <w:rsid w:val="009E1AC9"/>
    <w:rsid w:val="009E33DE"/>
    <w:rsid w:val="009F22D2"/>
    <w:rsid w:val="00A016A9"/>
    <w:rsid w:val="00A1022B"/>
    <w:rsid w:val="00A1245A"/>
    <w:rsid w:val="00A14D51"/>
    <w:rsid w:val="00A21FF0"/>
    <w:rsid w:val="00A32650"/>
    <w:rsid w:val="00A34499"/>
    <w:rsid w:val="00A357DE"/>
    <w:rsid w:val="00A40635"/>
    <w:rsid w:val="00A55505"/>
    <w:rsid w:val="00A62584"/>
    <w:rsid w:val="00A63FE6"/>
    <w:rsid w:val="00A72FAB"/>
    <w:rsid w:val="00A75807"/>
    <w:rsid w:val="00A76C86"/>
    <w:rsid w:val="00A8361E"/>
    <w:rsid w:val="00A92E08"/>
    <w:rsid w:val="00A931B7"/>
    <w:rsid w:val="00A93AD5"/>
    <w:rsid w:val="00A93AE3"/>
    <w:rsid w:val="00AA24FD"/>
    <w:rsid w:val="00AD1C0F"/>
    <w:rsid w:val="00AD209C"/>
    <w:rsid w:val="00AD2B7B"/>
    <w:rsid w:val="00AE491A"/>
    <w:rsid w:val="00B00179"/>
    <w:rsid w:val="00B028FD"/>
    <w:rsid w:val="00B060FA"/>
    <w:rsid w:val="00B06B5D"/>
    <w:rsid w:val="00B10F39"/>
    <w:rsid w:val="00B12126"/>
    <w:rsid w:val="00B15887"/>
    <w:rsid w:val="00B23D1F"/>
    <w:rsid w:val="00B30000"/>
    <w:rsid w:val="00B3647B"/>
    <w:rsid w:val="00B40A08"/>
    <w:rsid w:val="00B434B1"/>
    <w:rsid w:val="00B45316"/>
    <w:rsid w:val="00B53161"/>
    <w:rsid w:val="00B5452B"/>
    <w:rsid w:val="00B563B4"/>
    <w:rsid w:val="00B61954"/>
    <w:rsid w:val="00B7384A"/>
    <w:rsid w:val="00B7517F"/>
    <w:rsid w:val="00B760ED"/>
    <w:rsid w:val="00B77639"/>
    <w:rsid w:val="00B80511"/>
    <w:rsid w:val="00B807FE"/>
    <w:rsid w:val="00B84178"/>
    <w:rsid w:val="00B929EB"/>
    <w:rsid w:val="00B93412"/>
    <w:rsid w:val="00B971E2"/>
    <w:rsid w:val="00B97F7C"/>
    <w:rsid w:val="00BB5562"/>
    <w:rsid w:val="00BC6792"/>
    <w:rsid w:val="00BD0F0B"/>
    <w:rsid w:val="00BD26CF"/>
    <w:rsid w:val="00BD382A"/>
    <w:rsid w:val="00BD5E8E"/>
    <w:rsid w:val="00BE43E8"/>
    <w:rsid w:val="00BE5F08"/>
    <w:rsid w:val="00BF5278"/>
    <w:rsid w:val="00C0140B"/>
    <w:rsid w:val="00C03283"/>
    <w:rsid w:val="00C1025A"/>
    <w:rsid w:val="00C111E0"/>
    <w:rsid w:val="00C16245"/>
    <w:rsid w:val="00C16CE2"/>
    <w:rsid w:val="00C17E06"/>
    <w:rsid w:val="00C31545"/>
    <w:rsid w:val="00C40685"/>
    <w:rsid w:val="00C44345"/>
    <w:rsid w:val="00C44CBE"/>
    <w:rsid w:val="00C46C12"/>
    <w:rsid w:val="00C50FE9"/>
    <w:rsid w:val="00C52331"/>
    <w:rsid w:val="00C55480"/>
    <w:rsid w:val="00C63CD6"/>
    <w:rsid w:val="00C662D2"/>
    <w:rsid w:val="00C71657"/>
    <w:rsid w:val="00C77517"/>
    <w:rsid w:val="00C91EF3"/>
    <w:rsid w:val="00C94B8B"/>
    <w:rsid w:val="00C97B2E"/>
    <w:rsid w:val="00CA02D1"/>
    <w:rsid w:val="00CB08C0"/>
    <w:rsid w:val="00CB40B5"/>
    <w:rsid w:val="00CB5662"/>
    <w:rsid w:val="00CD7A9F"/>
    <w:rsid w:val="00CD7E6E"/>
    <w:rsid w:val="00CE11E3"/>
    <w:rsid w:val="00CE3CC0"/>
    <w:rsid w:val="00CF4525"/>
    <w:rsid w:val="00CF5494"/>
    <w:rsid w:val="00CF59D0"/>
    <w:rsid w:val="00CF72F4"/>
    <w:rsid w:val="00CF7F0F"/>
    <w:rsid w:val="00D0251E"/>
    <w:rsid w:val="00D06009"/>
    <w:rsid w:val="00D11B91"/>
    <w:rsid w:val="00D13906"/>
    <w:rsid w:val="00D13F42"/>
    <w:rsid w:val="00D236B4"/>
    <w:rsid w:val="00D36030"/>
    <w:rsid w:val="00D42C66"/>
    <w:rsid w:val="00D446F8"/>
    <w:rsid w:val="00D47832"/>
    <w:rsid w:val="00D5516B"/>
    <w:rsid w:val="00D63326"/>
    <w:rsid w:val="00D64952"/>
    <w:rsid w:val="00D71149"/>
    <w:rsid w:val="00D71CA8"/>
    <w:rsid w:val="00D75B6A"/>
    <w:rsid w:val="00D76360"/>
    <w:rsid w:val="00D80595"/>
    <w:rsid w:val="00D82A2E"/>
    <w:rsid w:val="00D8569E"/>
    <w:rsid w:val="00D874EA"/>
    <w:rsid w:val="00DB46ED"/>
    <w:rsid w:val="00DC5D76"/>
    <w:rsid w:val="00DD29C2"/>
    <w:rsid w:val="00DD3371"/>
    <w:rsid w:val="00DD5CF3"/>
    <w:rsid w:val="00DD7406"/>
    <w:rsid w:val="00DE5A67"/>
    <w:rsid w:val="00DF34F7"/>
    <w:rsid w:val="00DF3AF1"/>
    <w:rsid w:val="00DF7ABD"/>
    <w:rsid w:val="00E06043"/>
    <w:rsid w:val="00E1464D"/>
    <w:rsid w:val="00E1789D"/>
    <w:rsid w:val="00E24CFF"/>
    <w:rsid w:val="00E27E6F"/>
    <w:rsid w:val="00E367FF"/>
    <w:rsid w:val="00E40082"/>
    <w:rsid w:val="00E4504F"/>
    <w:rsid w:val="00E46F6C"/>
    <w:rsid w:val="00E5208A"/>
    <w:rsid w:val="00E5311F"/>
    <w:rsid w:val="00E54F6C"/>
    <w:rsid w:val="00E72C58"/>
    <w:rsid w:val="00E75744"/>
    <w:rsid w:val="00E87CAC"/>
    <w:rsid w:val="00EA3F82"/>
    <w:rsid w:val="00EA7D36"/>
    <w:rsid w:val="00EB37F4"/>
    <w:rsid w:val="00EB50C9"/>
    <w:rsid w:val="00EB56FA"/>
    <w:rsid w:val="00EC3867"/>
    <w:rsid w:val="00EC4CC4"/>
    <w:rsid w:val="00ED2171"/>
    <w:rsid w:val="00ED362A"/>
    <w:rsid w:val="00ED7C39"/>
    <w:rsid w:val="00EE07C4"/>
    <w:rsid w:val="00EE6365"/>
    <w:rsid w:val="00EE6A0A"/>
    <w:rsid w:val="00EF4515"/>
    <w:rsid w:val="00EF542E"/>
    <w:rsid w:val="00EF6237"/>
    <w:rsid w:val="00EF722A"/>
    <w:rsid w:val="00F055C9"/>
    <w:rsid w:val="00F06243"/>
    <w:rsid w:val="00F066E0"/>
    <w:rsid w:val="00F16D7E"/>
    <w:rsid w:val="00F24836"/>
    <w:rsid w:val="00F24BB6"/>
    <w:rsid w:val="00F26CEA"/>
    <w:rsid w:val="00F301EE"/>
    <w:rsid w:val="00F37518"/>
    <w:rsid w:val="00F3777C"/>
    <w:rsid w:val="00F40D47"/>
    <w:rsid w:val="00F421DB"/>
    <w:rsid w:val="00F45C22"/>
    <w:rsid w:val="00F46912"/>
    <w:rsid w:val="00F5665B"/>
    <w:rsid w:val="00F60749"/>
    <w:rsid w:val="00F6192D"/>
    <w:rsid w:val="00F72B37"/>
    <w:rsid w:val="00F7318D"/>
    <w:rsid w:val="00F75C72"/>
    <w:rsid w:val="00F93864"/>
    <w:rsid w:val="00FA7871"/>
    <w:rsid w:val="00FC272A"/>
    <w:rsid w:val="00FC3AAA"/>
    <w:rsid w:val="00FC50BB"/>
    <w:rsid w:val="00FE4A5B"/>
    <w:rsid w:val="00FF7FBE"/>
    <w:rsid w:val="01551E65"/>
    <w:rsid w:val="02CE39CD"/>
    <w:rsid w:val="057D0DBA"/>
    <w:rsid w:val="05BB5D53"/>
    <w:rsid w:val="06497F20"/>
    <w:rsid w:val="09167DB4"/>
    <w:rsid w:val="0AA00C45"/>
    <w:rsid w:val="0D0B231A"/>
    <w:rsid w:val="0F0242CB"/>
    <w:rsid w:val="0F6537A6"/>
    <w:rsid w:val="101F1890"/>
    <w:rsid w:val="105D4956"/>
    <w:rsid w:val="11160A4F"/>
    <w:rsid w:val="11475798"/>
    <w:rsid w:val="12442F59"/>
    <w:rsid w:val="124D665F"/>
    <w:rsid w:val="12951532"/>
    <w:rsid w:val="12B701F6"/>
    <w:rsid w:val="140F065E"/>
    <w:rsid w:val="15C62EDA"/>
    <w:rsid w:val="16C242B8"/>
    <w:rsid w:val="1A0D6F71"/>
    <w:rsid w:val="1A7D652F"/>
    <w:rsid w:val="1A9128FC"/>
    <w:rsid w:val="1C0349B4"/>
    <w:rsid w:val="1CD1254F"/>
    <w:rsid w:val="1D0E1F3B"/>
    <w:rsid w:val="1F937329"/>
    <w:rsid w:val="20B87732"/>
    <w:rsid w:val="20E95883"/>
    <w:rsid w:val="23592831"/>
    <w:rsid w:val="236C5A70"/>
    <w:rsid w:val="265938C1"/>
    <w:rsid w:val="28CD4203"/>
    <w:rsid w:val="28EB38D1"/>
    <w:rsid w:val="296E1CBC"/>
    <w:rsid w:val="2CD15E0E"/>
    <w:rsid w:val="2DD049BE"/>
    <w:rsid w:val="3078648E"/>
    <w:rsid w:val="33C000C7"/>
    <w:rsid w:val="34464A43"/>
    <w:rsid w:val="364B30CA"/>
    <w:rsid w:val="3840074B"/>
    <w:rsid w:val="38AE342A"/>
    <w:rsid w:val="3B755858"/>
    <w:rsid w:val="3BED2703"/>
    <w:rsid w:val="3D631CA2"/>
    <w:rsid w:val="3ECD4126"/>
    <w:rsid w:val="3EE647CF"/>
    <w:rsid w:val="3F32456F"/>
    <w:rsid w:val="3FA079FE"/>
    <w:rsid w:val="41C33D15"/>
    <w:rsid w:val="4328596B"/>
    <w:rsid w:val="43524351"/>
    <w:rsid w:val="438D3AC3"/>
    <w:rsid w:val="45E82696"/>
    <w:rsid w:val="460A2104"/>
    <w:rsid w:val="468D6F60"/>
    <w:rsid w:val="46F80A1F"/>
    <w:rsid w:val="475B3C53"/>
    <w:rsid w:val="48902100"/>
    <w:rsid w:val="49121CD7"/>
    <w:rsid w:val="4A9D0D69"/>
    <w:rsid w:val="4CD1339C"/>
    <w:rsid w:val="4CD3533D"/>
    <w:rsid w:val="4D3C4273"/>
    <w:rsid w:val="4DA64EC2"/>
    <w:rsid w:val="4DAB6CB3"/>
    <w:rsid w:val="4E482C62"/>
    <w:rsid w:val="4E602090"/>
    <w:rsid w:val="4ED81C94"/>
    <w:rsid w:val="508054EB"/>
    <w:rsid w:val="516C56C8"/>
    <w:rsid w:val="523E64DF"/>
    <w:rsid w:val="52553CF3"/>
    <w:rsid w:val="52FC6601"/>
    <w:rsid w:val="543B63DD"/>
    <w:rsid w:val="545102B0"/>
    <w:rsid w:val="5670273B"/>
    <w:rsid w:val="57583169"/>
    <w:rsid w:val="57BB191F"/>
    <w:rsid w:val="58E50E3F"/>
    <w:rsid w:val="59954EC5"/>
    <w:rsid w:val="599C6070"/>
    <w:rsid w:val="5A5476A6"/>
    <w:rsid w:val="5A87762D"/>
    <w:rsid w:val="5B0F6A01"/>
    <w:rsid w:val="5D5F3A5F"/>
    <w:rsid w:val="5E25619A"/>
    <w:rsid w:val="5EBE1A39"/>
    <w:rsid w:val="5F5743C2"/>
    <w:rsid w:val="60E870A8"/>
    <w:rsid w:val="60F52283"/>
    <w:rsid w:val="610D13F0"/>
    <w:rsid w:val="62B26EF6"/>
    <w:rsid w:val="687953DF"/>
    <w:rsid w:val="69F0165D"/>
    <w:rsid w:val="6A2923EB"/>
    <w:rsid w:val="6DCC5D41"/>
    <w:rsid w:val="6DD05B4F"/>
    <w:rsid w:val="6EFA18FD"/>
    <w:rsid w:val="6F380154"/>
    <w:rsid w:val="6F4B72DF"/>
    <w:rsid w:val="6F9B309C"/>
    <w:rsid w:val="712E403F"/>
    <w:rsid w:val="719613B3"/>
    <w:rsid w:val="728D2464"/>
    <w:rsid w:val="731466B9"/>
    <w:rsid w:val="76660B15"/>
    <w:rsid w:val="77CD4252"/>
    <w:rsid w:val="77E76E1A"/>
    <w:rsid w:val="79B462DB"/>
    <w:rsid w:val="7A937AF3"/>
    <w:rsid w:val="7B414A3B"/>
    <w:rsid w:val="7B4214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微软雅黑" w:cs="Times New Roman"/>
      <w:kern w:val="2"/>
      <w:sz w:val="21"/>
      <w:lang w:val="en-US" w:eastAsia="zh-CN" w:bidi="ar-SA"/>
    </w:rPr>
  </w:style>
  <w:style w:type="paragraph" w:styleId="2">
    <w:name w:val="heading 1"/>
    <w:basedOn w:val="1"/>
    <w:next w:val="1"/>
    <w:qFormat/>
    <w:uiPriority w:val="0"/>
    <w:pPr>
      <w:keepNext/>
      <w:spacing w:line="460" w:lineRule="exact"/>
      <w:jc w:val="center"/>
      <w:outlineLvl w:val="0"/>
    </w:pPr>
    <w:rPr>
      <w:b/>
      <w:bCs/>
      <w:sz w:val="18"/>
    </w:rPr>
  </w:style>
  <w:style w:type="paragraph" w:styleId="3">
    <w:name w:val="heading 2"/>
    <w:basedOn w:val="1"/>
    <w:next w:val="1"/>
    <w:qFormat/>
    <w:uiPriority w:val="0"/>
    <w:pPr>
      <w:keepNext/>
      <w:jc w:val="center"/>
      <w:outlineLvl w:val="1"/>
    </w:pPr>
    <w:rPr>
      <w:b/>
      <w:bCs/>
      <w:sz w:val="24"/>
    </w:rPr>
  </w:style>
  <w:style w:type="paragraph" w:styleId="4">
    <w:name w:val="heading 3"/>
    <w:basedOn w:val="1"/>
    <w:next w:val="1"/>
    <w:qFormat/>
    <w:uiPriority w:val="0"/>
    <w:pPr>
      <w:keepNext/>
      <w:widowControl/>
      <w:spacing w:line="360" w:lineRule="auto"/>
      <w:ind w:left="200" w:leftChars="100"/>
      <w:jc w:val="left"/>
      <w:outlineLvl w:val="2"/>
    </w:pPr>
    <w:rPr>
      <w:rFonts w:eastAsia="Arial Unicode MS"/>
      <w:kern w:val="0"/>
      <w:sz w:val="24"/>
    </w:rPr>
  </w:style>
  <w:style w:type="paragraph" w:styleId="5">
    <w:name w:val="heading 4"/>
    <w:basedOn w:val="1"/>
    <w:next w:val="1"/>
    <w:qFormat/>
    <w:uiPriority w:val="0"/>
    <w:pPr>
      <w:keepNext/>
      <w:widowControl/>
      <w:wordWrap w:val="0"/>
      <w:spacing w:line="360" w:lineRule="auto"/>
      <w:jc w:val="right"/>
      <w:outlineLvl w:val="3"/>
    </w:pPr>
    <w:rPr>
      <w:kern w:val="0"/>
      <w:sz w:val="24"/>
    </w:rPr>
  </w:style>
  <w:style w:type="paragraph" w:styleId="6">
    <w:name w:val="heading 5"/>
    <w:basedOn w:val="1"/>
    <w:next w:val="1"/>
    <w:qFormat/>
    <w:uiPriority w:val="0"/>
    <w:pPr>
      <w:keepNext/>
      <w:widowControl/>
      <w:tabs>
        <w:tab w:val="left" w:pos="500"/>
      </w:tabs>
      <w:spacing w:before="120" w:beforeLines="50" w:after="120" w:afterLines="50" w:line="360" w:lineRule="auto"/>
      <w:ind w:left="600" w:leftChars="300" w:firstLine="480" w:firstLineChars="200"/>
      <w:jc w:val="left"/>
      <w:outlineLvl w:val="4"/>
    </w:pPr>
    <w:rPr>
      <w:kern w:val="0"/>
      <w:sz w:val="24"/>
    </w:rPr>
  </w:style>
  <w:style w:type="paragraph" w:styleId="7">
    <w:name w:val="heading 6"/>
    <w:basedOn w:val="1"/>
    <w:next w:val="1"/>
    <w:qFormat/>
    <w:uiPriority w:val="0"/>
    <w:pPr>
      <w:keepNext/>
      <w:widowControl/>
      <w:spacing w:line="360" w:lineRule="auto"/>
      <w:jc w:val="center"/>
      <w:outlineLvl w:val="5"/>
    </w:pPr>
    <w:rPr>
      <w:rFonts w:eastAsia="Arial Unicode MS"/>
      <w:b/>
      <w:bCs/>
      <w:kern w:val="0"/>
      <w:sz w:val="36"/>
      <w:szCs w:val="36"/>
    </w:rPr>
  </w:style>
  <w:style w:type="paragraph" w:styleId="8">
    <w:name w:val="heading 7"/>
    <w:basedOn w:val="1"/>
    <w:next w:val="1"/>
    <w:qFormat/>
    <w:uiPriority w:val="0"/>
    <w:pPr>
      <w:keepNext/>
      <w:widowControl/>
      <w:spacing w:line="360" w:lineRule="auto"/>
      <w:ind w:left="400" w:leftChars="200"/>
      <w:jc w:val="left"/>
      <w:outlineLvl w:val="6"/>
    </w:pPr>
    <w:rPr>
      <w:rFonts w:eastAsia="Arial Unicode MS"/>
      <w:kern w:val="0"/>
      <w:sz w:val="24"/>
      <w:szCs w:val="28"/>
    </w:rPr>
  </w:style>
  <w:style w:type="paragraph" w:styleId="9">
    <w:name w:val="heading 8"/>
    <w:basedOn w:val="1"/>
    <w:next w:val="1"/>
    <w:qFormat/>
    <w:uiPriority w:val="0"/>
    <w:pPr>
      <w:keepNext/>
      <w:widowControl/>
      <w:spacing w:before="50" w:after="50" w:line="360" w:lineRule="auto"/>
      <w:ind w:left="960" w:leftChars="480" w:firstLine="120"/>
      <w:jc w:val="left"/>
      <w:outlineLvl w:val="7"/>
    </w:pPr>
    <w:rPr>
      <w:kern w:val="0"/>
      <w:sz w:val="24"/>
    </w:rPr>
  </w:style>
  <w:style w:type="paragraph" w:styleId="10">
    <w:name w:val="heading 9"/>
    <w:basedOn w:val="1"/>
    <w:next w:val="1"/>
    <w:qFormat/>
    <w:uiPriority w:val="0"/>
    <w:pPr>
      <w:keepNext/>
      <w:widowControl/>
      <w:spacing w:line="360" w:lineRule="auto"/>
      <w:ind w:firstLine="998" w:firstLineChars="416"/>
      <w:outlineLvl w:val="8"/>
    </w:pPr>
    <w:rPr>
      <w:kern w:val="0"/>
      <w:sz w:val="24"/>
    </w:rPr>
  </w:style>
  <w:style w:type="character" w:default="1" w:styleId="28">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11">
    <w:name w:val="annotation text"/>
    <w:basedOn w:val="1"/>
    <w:link w:val="34"/>
    <w:qFormat/>
    <w:uiPriority w:val="0"/>
    <w:pPr>
      <w:jc w:val="left"/>
    </w:pPr>
  </w:style>
  <w:style w:type="paragraph" w:styleId="12">
    <w:name w:val="Salutation"/>
    <w:basedOn w:val="1"/>
    <w:next w:val="1"/>
    <w:link w:val="37"/>
    <w:qFormat/>
    <w:uiPriority w:val="99"/>
    <w:rPr>
      <w:sz w:val="24"/>
      <w:szCs w:val="24"/>
    </w:rPr>
  </w:style>
  <w:style w:type="paragraph" w:styleId="13">
    <w:name w:val="Closing"/>
    <w:basedOn w:val="1"/>
    <w:qFormat/>
    <w:uiPriority w:val="0"/>
    <w:pPr>
      <w:ind w:left="100" w:leftChars="2100"/>
    </w:pPr>
    <w:rPr>
      <w:sz w:val="24"/>
      <w:szCs w:val="24"/>
    </w:rPr>
  </w:style>
  <w:style w:type="paragraph" w:styleId="14">
    <w:name w:val="Body Text"/>
    <w:basedOn w:val="1"/>
    <w:qFormat/>
    <w:uiPriority w:val="0"/>
    <w:pPr>
      <w:spacing w:line="360" w:lineRule="auto"/>
    </w:pPr>
    <w:rPr>
      <w:sz w:val="24"/>
      <w:szCs w:val="24"/>
    </w:rPr>
  </w:style>
  <w:style w:type="paragraph" w:styleId="15">
    <w:name w:val="Body Text Indent"/>
    <w:basedOn w:val="1"/>
    <w:qFormat/>
    <w:uiPriority w:val="0"/>
    <w:pPr>
      <w:spacing w:line="360" w:lineRule="auto"/>
      <w:ind w:left="359" w:leftChars="171"/>
    </w:pPr>
    <w:rPr>
      <w:sz w:val="24"/>
      <w:szCs w:val="24"/>
    </w:rPr>
  </w:style>
  <w:style w:type="paragraph" w:styleId="16">
    <w:name w:val="Plain Text"/>
    <w:basedOn w:val="1"/>
    <w:link w:val="35"/>
    <w:qFormat/>
    <w:uiPriority w:val="99"/>
    <w:rPr>
      <w:rFonts w:ascii="宋体" w:hAnsi="Courier New"/>
      <w:szCs w:val="21"/>
    </w:rPr>
  </w:style>
  <w:style w:type="paragraph" w:styleId="17">
    <w:name w:val="Date"/>
    <w:basedOn w:val="1"/>
    <w:next w:val="1"/>
    <w:qFormat/>
    <w:uiPriority w:val="0"/>
    <w:pPr>
      <w:ind w:left="100" w:leftChars="2500"/>
    </w:pPr>
    <w:rPr>
      <w:sz w:val="24"/>
    </w:rPr>
  </w:style>
  <w:style w:type="paragraph" w:styleId="18">
    <w:name w:val="Body Text Indent 2"/>
    <w:basedOn w:val="1"/>
    <w:qFormat/>
    <w:uiPriority w:val="0"/>
    <w:pPr>
      <w:spacing w:line="360" w:lineRule="auto"/>
      <w:ind w:firstLine="850"/>
    </w:pPr>
    <w:rPr>
      <w:sz w:val="24"/>
    </w:rPr>
  </w:style>
  <w:style w:type="paragraph" w:styleId="19">
    <w:name w:val="Balloon Text"/>
    <w:basedOn w:val="1"/>
    <w:semiHidden/>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8296"/>
      </w:tabs>
      <w:spacing w:line="360" w:lineRule="auto"/>
      <w:jc w:val="left"/>
    </w:pPr>
    <w:rPr>
      <w:rFonts w:ascii="宋体" w:hAnsi="宋体" w:eastAsia="宋体" w:cs="Arial"/>
      <w:sz w:val="28"/>
      <w:szCs w:val="28"/>
    </w:rPr>
  </w:style>
  <w:style w:type="paragraph" w:styleId="23">
    <w:name w:val="Body Text Indent 3"/>
    <w:basedOn w:val="1"/>
    <w:qFormat/>
    <w:uiPriority w:val="0"/>
    <w:pPr>
      <w:spacing w:line="360" w:lineRule="auto"/>
      <w:ind w:left="479" w:leftChars="228"/>
    </w:pPr>
    <w:rPr>
      <w:sz w:val="24"/>
    </w:rPr>
  </w:style>
  <w:style w:type="paragraph" w:styleId="24">
    <w:name w:val="Body Text 2"/>
    <w:basedOn w:val="1"/>
    <w:qFormat/>
    <w:uiPriority w:val="0"/>
    <w:pPr>
      <w:widowControl/>
      <w:spacing w:line="360" w:lineRule="auto"/>
      <w:jc w:val="center"/>
    </w:pPr>
    <w:rPr>
      <w:rFonts w:eastAsia="楷体"/>
      <w:b/>
      <w:kern w:val="0"/>
      <w:sz w:val="32"/>
    </w:rPr>
  </w:style>
  <w:style w:type="paragraph" w:styleId="25">
    <w:name w:val="Title"/>
    <w:basedOn w:val="1"/>
    <w:next w:val="1"/>
    <w:link w:val="36"/>
    <w:qFormat/>
    <w:uiPriority w:val="0"/>
    <w:pPr>
      <w:spacing w:before="240" w:after="60"/>
      <w:jc w:val="center"/>
      <w:outlineLvl w:val="0"/>
    </w:pPr>
    <w:rPr>
      <w:rFonts w:ascii="Cambria" w:hAnsi="Cambria"/>
      <w:b/>
      <w:bCs/>
      <w:sz w:val="32"/>
      <w:szCs w:val="32"/>
    </w:rPr>
  </w:style>
  <w:style w:type="paragraph" w:styleId="26">
    <w:name w:val="annotation subject"/>
    <w:basedOn w:val="11"/>
    <w:next w:val="11"/>
    <w:link w:val="38"/>
    <w:qFormat/>
    <w:uiPriority w:val="0"/>
    <w:rPr>
      <w:b/>
      <w:bCs/>
    </w:rPr>
  </w:style>
  <w:style w:type="character" w:styleId="29">
    <w:name w:val="page number"/>
    <w:basedOn w:val="28"/>
    <w:qFormat/>
    <w:uiPriority w:val="0"/>
  </w:style>
  <w:style w:type="character" w:styleId="30">
    <w:name w:val="Hyperlink"/>
    <w:unhideWhenUsed/>
    <w:qFormat/>
    <w:uiPriority w:val="99"/>
    <w:rPr>
      <w:color w:val="0000FF"/>
      <w:u w:val="single"/>
    </w:rPr>
  </w:style>
  <w:style w:type="character" w:styleId="31">
    <w:name w:val="annotation reference"/>
    <w:qFormat/>
    <w:uiPriority w:val="0"/>
    <w:rPr>
      <w:sz w:val="21"/>
      <w:szCs w:val="21"/>
    </w:rPr>
  </w:style>
  <w:style w:type="paragraph" w:styleId="32">
    <w:name w:val="List Paragraph"/>
    <w:basedOn w:val="1"/>
    <w:qFormat/>
    <w:uiPriority w:val="34"/>
    <w:pPr>
      <w:ind w:firstLine="420" w:firstLineChars="200"/>
    </w:pPr>
  </w:style>
  <w:style w:type="paragraph" w:customStyle="1" w:styleId="33">
    <w:name w:val="_Style 32"/>
    <w:basedOn w:val="2"/>
    <w:next w:val="1"/>
    <w:qFormat/>
    <w:uiPriority w:val="39"/>
    <w:pPr>
      <w:keepLines/>
      <w:widowControl/>
      <w:spacing w:before="480" w:line="276" w:lineRule="auto"/>
      <w:jc w:val="left"/>
      <w:outlineLvl w:val="9"/>
    </w:pPr>
    <w:rPr>
      <w:rFonts w:ascii="Cambria" w:hAnsi="Cambria" w:eastAsia="宋体" w:cs="Times New Roman"/>
      <w:color w:val="365F91"/>
      <w:kern w:val="0"/>
      <w:sz w:val="28"/>
      <w:szCs w:val="28"/>
    </w:rPr>
  </w:style>
  <w:style w:type="character" w:customStyle="1" w:styleId="34">
    <w:name w:val="批注文字 字符"/>
    <w:link w:val="11"/>
    <w:qFormat/>
    <w:uiPriority w:val="0"/>
    <w:rPr>
      <w:kern w:val="2"/>
      <w:sz w:val="21"/>
    </w:rPr>
  </w:style>
  <w:style w:type="character" w:customStyle="1" w:styleId="35">
    <w:name w:val="纯文本 字符"/>
    <w:link w:val="16"/>
    <w:qFormat/>
    <w:uiPriority w:val="99"/>
    <w:rPr>
      <w:rFonts w:ascii="宋体" w:hAnsi="Courier New" w:cs="宋体"/>
      <w:kern w:val="2"/>
      <w:sz w:val="21"/>
      <w:szCs w:val="21"/>
    </w:rPr>
  </w:style>
  <w:style w:type="character" w:customStyle="1" w:styleId="36">
    <w:name w:val="标题 字符"/>
    <w:link w:val="25"/>
    <w:qFormat/>
    <w:uiPriority w:val="0"/>
    <w:rPr>
      <w:rFonts w:ascii="Cambria" w:hAnsi="Cambria" w:cs="Times New Roman"/>
      <w:b/>
      <w:bCs/>
      <w:kern w:val="2"/>
      <w:sz w:val="32"/>
      <w:szCs w:val="32"/>
    </w:rPr>
  </w:style>
  <w:style w:type="character" w:customStyle="1" w:styleId="37">
    <w:name w:val="称呼 字符"/>
    <w:link w:val="12"/>
    <w:qFormat/>
    <w:locked/>
    <w:uiPriority w:val="99"/>
    <w:rPr>
      <w:kern w:val="2"/>
      <w:sz w:val="24"/>
      <w:szCs w:val="24"/>
    </w:rPr>
  </w:style>
  <w:style w:type="character" w:customStyle="1" w:styleId="38">
    <w:name w:val="批注主题 字符"/>
    <w:link w:val="26"/>
    <w:qFormat/>
    <w:uiPriority w:val="0"/>
    <w:rPr>
      <w:b/>
      <w:bCs/>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2965</Words>
  <Characters>16903</Characters>
  <Lines>140</Lines>
  <Paragraphs>39</Paragraphs>
  <TotalTime>41</TotalTime>
  <ScaleCrop>false</ScaleCrop>
  <LinksUpToDate>false</LinksUpToDate>
  <CharactersWithSpaces>19829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2015-03-26T09:06:00Z</dcterms:created>
  <dc:creator>薛骏</dc:creator>
  <cp:lastModifiedBy>Administrator</cp:lastModifiedBy>
  <cp:lastPrinted>2020-11-17T00:48:00Z</cp:lastPrinted>
  <dcterms:modified xsi:type="dcterms:W3CDTF">2022-03-04T01:34:43Z</dcterms:modified>
  <dc:title>&lt;来福士广场&gt;</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370D4826B88E4264BCAD4FC96A8E91D2</vt:lpwstr>
  </property>
</Properties>
</file>