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10FC4">
      <w:pPr>
        <w:pStyle w:val="3"/>
        <w:jc w:val="both"/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EEFED4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lang w:val="en-US" w:eastAsia="zh-CN"/>
        </w:rPr>
      </w:pPr>
    </w:p>
    <w:p w14:paraId="424FB67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lang w:val="en-US" w:eastAsia="zh-CN"/>
        </w:rPr>
        <w:t>遂宁高新区关于支持新兴产业发展的政策措施</w:t>
      </w:r>
    </w:p>
    <w:p w14:paraId="3624922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（试行）（征求意见稿）</w:t>
      </w:r>
    </w:p>
    <w:p w14:paraId="18F0EF86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3F7A9EE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第一条  支持双创载体运营</w:t>
      </w:r>
    </w:p>
    <w:p w14:paraId="00D5FD9D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对运营国家级创新平台的主体，经园区认定，场地入驻率达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60%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且企业数达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家以上，给予场地租金补贴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万元，场地入驻率达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80%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且企业数达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家以上，给予场地租金补贴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万元；国家级创新平台培育科技型中小企业总数超过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家给予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万元一次性奖励，超过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家给予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万元一次性奖励，每培育一家规上（限上）企业、国家高新技术企业分别给予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万元奖励。                   </w:t>
      </w:r>
    </w:p>
    <w:p w14:paraId="5FFB0F09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第二条  加强双创主体培育</w:t>
      </w:r>
    </w:p>
    <w:p w14:paraId="0CFBDCE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对从事创业孵化的企业、科研院所、高等院校、科技服务机构，正常运营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个月及以上的，按照实际装修面积给予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450元/㎡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一次性补贴，最高不超过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万元。对在国家级创新平台孵化，年营业收入首次突破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亿元的企业，分别奖励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万元，并在园区实现产业化且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年内升规入统的企业，一次性奖励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万元。</w:t>
      </w:r>
    </w:p>
    <w:p w14:paraId="76DBE53E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第三条  加快中试平台建设</w:t>
      </w:r>
    </w:p>
    <w:p w14:paraId="479E78C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大力支持企业建设符合新兴产业发展方向，面向行业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科技成果概念验证、工艺流程优化、工程样机开发、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检验检测、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中小批量试制生产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的中试研发平台，经园区认定，对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中试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平台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的运营主体，按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营业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收入的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给予不超过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万元补贴；对使用中试服务的企业，按照年度实际支出的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给予不超过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万元补贴。</w:t>
      </w:r>
    </w:p>
    <w:p w14:paraId="3195BBB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C12B00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/>
        </w:rPr>
      </w:pPr>
      <w:r>
        <w:t>本政策措施支持对象为工商、税务、统计登记在遂宁高新区</w:t>
      </w:r>
      <w:r>
        <w:rPr>
          <w:rFonts w:hint="eastAsia"/>
          <w:lang w:val="en-US" w:eastAsia="zh-CN"/>
        </w:rPr>
        <w:t>辖区</w:t>
      </w:r>
      <w:r>
        <w:t>，且具有独立法人资格并实行独立核算的</w:t>
      </w:r>
      <w:r>
        <w:rPr>
          <w:rFonts w:hint="eastAsia"/>
          <w:lang w:val="en-US" w:eastAsia="zh-CN"/>
        </w:rPr>
        <w:t>运营主体或</w:t>
      </w:r>
      <w:r>
        <w:t>企业。</w:t>
      </w:r>
    </w:p>
    <w:p w14:paraId="1F7E5A2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eastAsia="仿宋_GB2312"/>
          <w:lang w:val="en-US" w:eastAsia="zh-CN"/>
        </w:rPr>
        <w:sectPr>
          <w:footerReference r:id="rId3" w:type="default"/>
          <w:pgSz w:w="11906" w:h="16838"/>
          <w:pgMar w:top="1531" w:right="1417" w:bottom="1531" w:left="1417" w:header="851" w:footer="992" w:gutter="0"/>
          <w:cols w:space="720" w:num="1"/>
          <w:docGrid w:type="lines" w:linePitch="312" w:charSpace="0"/>
        </w:sectPr>
      </w:pPr>
      <w:r>
        <w:t>本政策自</w:t>
      </w:r>
      <w:r>
        <w:rPr>
          <w:rFonts w:hint="default" w:ascii="Times New Roman" w:hAnsi="Times New Roman" w:cs="Times New Roman"/>
        </w:rPr>
        <w:t>202</w:t>
      </w:r>
      <w:r>
        <w:rPr>
          <w:rFonts w:hint="default" w:ascii="Times New Roman" w:hAnsi="Times New Roman" w:cs="Times New Roman"/>
          <w:lang w:val="en-US" w:eastAsia="zh-CN"/>
        </w:rPr>
        <w:t>5</w:t>
      </w:r>
      <w:r>
        <w:t>年 月 日起实施，试行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t>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同一企业、同一事项在享受中省市政策奖补后不再享受本政策，原政策文件</w:t>
      </w:r>
      <w:r>
        <w:rPr>
          <w:rFonts w:hint="eastAsia" w:ascii="仿宋_GB2312" w:hAnsi="仿宋_GB2312" w:eastAsia="仿宋_GB2312" w:cs="仿宋_GB2312"/>
          <w:lang w:val="en-US" w:eastAsia="zh-CN"/>
        </w:rPr>
        <w:t>《</w:t>
      </w:r>
      <w:r>
        <w:rPr>
          <w:rFonts w:hint="eastAsia" w:ascii="仿宋_GB2312" w:hAnsi="仿宋_GB2312" w:cs="仿宋_GB2312"/>
          <w:lang w:val="en-US" w:eastAsia="zh-CN"/>
        </w:rPr>
        <w:t>大力推进大众创业万众创新的政策措施</w:t>
      </w:r>
      <w:r>
        <w:rPr>
          <w:rFonts w:hint="eastAsia" w:ascii="仿宋_GB2312" w:hAnsi="仿宋_GB2312" w:eastAsia="仿宋_GB2312" w:cs="仿宋_GB2312"/>
          <w:lang w:val="en-US" w:eastAsia="zh-CN"/>
        </w:rPr>
        <w:t>》</w:t>
      </w:r>
      <w:r>
        <w:rPr>
          <w:rFonts w:hint="eastAsia"/>
          <w:lang w:val="en-US" w:eastAsia="zh-CN"/>
        </w:rPr>
        <w:t>即行废止。实施期间</w:t>
      </w:r>
      <w:r>
        <w:t>由遂宁高新区管委会出台实施细则进行界定和解释</w:t>
      </w:r>
      <w:r>
        <w:rPr>
          <w:rFonts w:hint="eastAsia"/>
          <w:lang w:eastAsia="zh-CN"/>
        </w:rPr>
        <w:t>。</w:t>
      </w:r>
    </w:p>
    <w:p w14:paraId="4E789091">
      <w:pPr>
        <w:rPr>
          <w:rFonts w:hint="eastAsia"/>
          <w:lang w:eastAsia="zh-CN"/>
        </w:rPr>
      </w:pPr>
    </w:p>
    <w:p w14:paraId="7200142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C813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F2D01DB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2D01DB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B6C5E"/>
    <w:rsid w:val="3C7B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next w:val="3"/>
    <w:qFormat/>
    <w:uiPriority w:val="0"/>
    <w:pPr>
      <w:widowControl/>
      <w:spacing w:line="323" w:lineRule="atLeast"/>
      <w:ind w:right="-120"/>
      <w:jc w:val="center"/>
      <w:textAlignment w:val="baseline"/>
    </w:pPr>
    <w:rPr>
      <w:rFonts w:ascii="Calibri" w:hAnsi="Calibri" w:eastAsia="宋体" w:cs="Times New Roman"/>
      <w:color w:val="FF0000"/>
      <w:kern w:val="0"/>
      <w:sz w:val="18"/>
      <w:szCs w:val="18"/>
      <w:lang w:val="en-US" w:eastAsia="zh-CN" w:bidi="ar-SA"/>
    </w:rPr>
  </w:style>
  <w:style w:type="paragraph" w:customStyle="1" w:styleId="3">
    <w:name w:val="节标题"/>
    <w:next w:val="1"/>
    <w:qFormat/>
    <w:uiPriority w:val="0"/>
    <w:pPr>
      <w:widowControl/>
      <w:spacing w:line="289" w:lineRule="atLeast"/>
      <w:jc w:val="center"/>
      <w:textAlignment w:val="baseline"/>
    </w:pPr>
    <w:rPr>
      <w:rFonts w:ascii="Calibri" w:hAnsi="Calibri" w:eastAsia="宋体" w:cs="Times New Roman"/>
      <w:color w:val="000000"/>
      <w:kern w:val="0"/>
      <w:sz w:val="28"/>
      <w:szCs w:val="20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customStyle="1" w:styleId="7">
    <w:name w:val="主标题"/>
    <w:qFormat/>
    <w:uiPriority w:val="0"/>
    <w:pPr>
      <w:widowControl w:val="0"/>
      <w:spacing w:line="620" w:lineRule="exact"/>
      <w:jc w:val="center"/>
    </w:pPr>
    <w:rPr>
      <w:rFonts w:ascii="Calibri" w:hAnsi="Calibri" w:eastAsia="方正小标宋简体" w:cs="Times New Roman"/>
      <w:kern w:val="2"/>
      <w:sz w:val="44"/>
      <w:szCs w:val="32"/>
      <w:lang w:val="en-US" w:eastAsia="zh-CN" w:bidi="ar-SA"/>
    </w:rPr>
  </w:style>
  <w:style w:type="paragraph" w:customStyle="1" w:styleId="8">
    <w:name w:val="公文正文"/>
    <w:qFormat/>
    <w:uiPriority w:val="0"/>
    <w:pPr>
      <w:widowControl w:val="0"/>
      <w:spacing w:line="620" w:lineRule="exact"/>
      <w:ind w:firstLine="420" w:firstLineChars="200"/>
      <w:jc w:val="both"/>
    </w:pPr>
    <w:rPr>
      <w:rFonts w:hint="eastAsia"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9">
    <w:name w:val="名字和日期"/>
    <w:qFormat/>
    <w:uiPriority w:val="0"/>
    <w:pPr>
      <w:widowControl w:val="0"/>
      <w:spacing w:line="620" w:lineRule="exact"/>
      <w:jc w:val="center"/>
    </w:pPr>
    <w:rPr>
      <w:rFonts w:ascii="Calibri" w:hAnsi="Calibri" w:eastAsia="楷体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2025-10-30T07:33:00Z</dcterms:created>
  <dc:creator>shal</dc:creator>
  <cp:lastModifiedBy>shal</cp:lastModifiedBy>
  <dcterms:modified xsi:type="dcterms:W3CDTF">2025-10-30T07:34:21Z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78DC7BC3260A4AF9B48289C33F537535_11</vt:lpwstr>
  </property>
  <property fmtid="{D5CDD505-2E9C-101B-9397-08002B2CF9AE}" pid="4" name="KSOTemplateDocerSaveRecord">
    <vt:lpwstr>eyJoZGlkIjoiNWIxZWFkYzIzNTEzNmJkOWYyZDdjMWJhYjNiMDQ3ZDQiLCJ1c2VySWQiOiIxMjIzNzIxNzA4In0=</vt:lpwstr>
  </property>
</Properties>
</file>