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21344" w:type="dxa"/>
        <w:tblInd w:w="-822" w:type="dxa"/>
        <w:tblLayout w:type="autofit"/>
        <w:tblCellMar>
          <w:top w:w="15" w:type="dxa"/>
          <w:left w:w="15" w:type="dxa"/>
          <w:bottom w:w="15" w:type="dxa"/>
          <w:right w:w="15" w:type="dxa"/>
        </w:tblCellMar>
      </w:tblPr>
      <w:tblGrid>
        <w:gridCol w:w="9673"/>
        <w:gridCol w:w="11671"/>
      </w:tblGrid>
      <w:tr>
        <w:tblPrEx>
          <w:tblCellMar>
            <w:top w:w="15" w:type="dxa"/>
            <w:left w:w="15" w:type="dxa"/>
            <w:bottom w:w="15" w:type="dxa"/>
            <w:right w:w="15" w:type="dxa"/>
          </w:tblCellMar>
        </w:tblPrEx>
        <w:tc>
          <w:tcPr>
            <w:tcW w:w="8504" w:type="dxa"/>
            <w:shd w:val="clear" w:color="auto" w:fill="auto"/>
            <w:tcMar>
              <w:top w:w="20" w:type="dxa"/>
              <w:bottom w:w="20" w:type="dxa"/>
            </w:tcMar>
            <w:vAlign w:val="center"/>
          </w:tcPr>
          <w:p>
            <w:pPr>
              <w:widowControl/>
              <w:spacing w:line="360" w:lineRule="atLeast"/>
              <w:jc w:val="center"/>
              <w:rPr>
                <w:rFonts w:ascii="微软雅黑" w:hAnsi="微软雅黑" w:eastAsia="微软雅黑" w:cs="微软雅黑"/>
                <w:b/>
                <w:bCs/>
                <w:color w:val="2D66A5"/>
                <w:sz w:val="32"/>
                <w:szCs w:val="32"/>
              </w:rPr>
            </w:pPr>
            <w:r>
              <w:rPr>
                <w:rFonts w:hint="eastAsia" w:ascii="方正小标宋简体" w:hAnsi="方正小标宋简体" w:eastAsia="方正小标宋简体" w:cs="方正小标宋简体"/>
                <w:b/>
                <w:bCs/>
                <w:kern w:val="0"/>
                <w:sz w:val="36"/>
                <w:szCs w:val="36"/>
              </w:rPr>
              <w:t>高新区会龙镇人民政府  2021年部门预算 (预算单位)</w:t>
            </w:r>
          </w:p>
        </w:tc>
        <w:tc>
          <w:tcPr>
            <w:tcW w:w="10260" w:type="dxa"/>
            <w:shd w:val="clear" w:color="auto" w:fill="auto"/>
            <w:tcMar>
              <w:top w:w="20" w:type="dxa"/>
              <w:bottom w:w="20" w:type="dxa"/>
            </w:tcMar>
            <w:vAlign w:val="center"/>
          </w:tcPr>
          <w:p>
            <w:pPr>
              <w:widowControl/>
              <w:spacing w:line="360" w:lineRule="atLeast"/>
              <w:jc w:val="center"/>
              <w:rPr>
                <w:rFonts w:ascii="微软雅黑" w:hAnsi="微软雅黑" w:eastAsia="微软雅黑" w:cs="微软雅黑"/>
                <w:b/>
                <w:bCs/>
                <w:color w:val="2D66A5"/>
                <w:kern w:val="0"/>
                <w:sz w:val="32"/>
                <w:szCs w:val="32"/>
              </w:rPr>
            </w:pPr>
          </w:p>
        </w:tc>
      </w:tr>
      <w:tr>
        <w:tblPrEx>
          <w:tblCellMar>
            <w:top w:w="15" w:type="dxa"/>
            <w:left w:w="15" w:type="dxa"/>
            <w:bottom w:w="15" w:type="dxa"/>
            <w:right w:w="15" w:type="dxa"/>
          </w:tblCellMar>
        </w:tblPrEx>
        <w:tc>
          <w:tcPr>
            <w:tcW w:w="8504" w:type="dxa"/>
            <w:shd w:val="clear" w:color="auto" w:fill="auto"/>
            <w:vAlign w:val="center"/>
          </w:tcPr>
          <w:p>
            <w:pPr>
              <w:jc w:val="center"/>
              <w:rPr>
                <w:rFonts w:ascii="微软雅黑" w:hAnsi="微软雅黑" w:eastAsia="微软雅黑" w:cs="微软雅黑"/>
                <w:color w:val="333333"/>
                <w:sz w:val="14"/>
                <w:szCs w:val="14"/>
              </w:rPr>
            </w:pPr>
          </w:p>
        </w:tc>
        <w:tc>
          <w:tcPr>
            <w:tcW w:w="10260" w:type="dxa"/>
            <w:shd w:val="clear" w:color="auto" w:fill="auto"/>
            <w:vAlign w:val="center"/>
          </w:tcPr>
          <w:p>
            <w:pPr>
              <w:jc w:val="center"/>
              <w:rPr>
                <w:rFonts w:ascii="微软雅黑" w:hAnsi="微软雅黑" w:eastAsia="微软雅黑" w:cs="微软雅黑"/>
                <w:color w:val="333333"/>
                <w:sz w:val="14"/>
                <w:szCs w:val="14"/>
              </w:rPr>
            </w:pPr>
          </w:p>
        </w:tc>
      </w:tr>
      <w:tr>
        <w:tblPrEx>
          <w:tblCellMar>
            <w:top w:w="15" w:type="dxa"/>
            <w:left w:w="15" w:type="dxa"/>
            <w:bottom w:w="15" w:type="dxa"/>
            <w:right w:w="15" w:type="dxa"/>
          </w:tblCellMar>
        </w:tblPrEx>
        <w:tc>
          <w:tcPr>
            <w:tcW w:w="8504" w:type="dxa"/>
            <w:shd w:val="clear" w:color="auto" w:fill="auto"/>
            <w:tcMar>
              <w:top w:w="100" w:type="dxa"/>
              <w:bottom w:w="100" w:type="dxa"/>
            </w:tcMar>
            <w:vAlign w:val="center"/>
          </w:tcPr>
          <w:p>
            <w:pPr>
              <w:pStyle w:val="4"/>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cs="Times New Roman"/>
                <w:sz w:val="27"/>
                <w:szCs w:val="27"/>
              </w:rPr>
            </w:pPr>
            <w:r>
              <w:rPr>
                <w:rFonts w:hint="default" w:ascii="Times New Roman" w:hAnsi="Times New Roman" w:eastAsia="黑体" w:cs="Times New Roman"/>
                <w:color w:val="333333"/>
                <w:sz w:val="44"/>
                <w:szCs w:val="44"/>
              </w:rPr>
              <w:t>目  录</w:t>
            </w:r>
          </w:p>
          <w:p>
            <w:pPr>
              <w:pStyle w:val="4"/>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cs="Times New Roman"/>
                <w:sz w:val="27"/>
                <w:szCs w:val="27"/>
              </w:rPr>
            </w:pPr>
            <w:r>
              <w:rPr>
                <w:rFonts w:hint="default" w:ascii="Times New Roman" w:hAnsi="Times New Roman" w:eastAsia="仿宋_GB2312" w:cs="Times New Roman"/>
                <w:color w:val="333333"/>
                <w:sz w:val="27"/>
                <w:szCs w:val="27"/>
              </w:rPr>
              <w:t> </w:t>
            </w:r>
          </w:p>
          <w:p>
            <w:pPr>
              <w:pStyle w:val="4"/>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第一部分  2021年部门预算编制说明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一、基本职能及主要工作</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二、预算单位基本情况</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333333"/>
                <w:sz w:val="32"/>
                <w:szCs w:val="32"/>
              </w:rPr>
              <w:t>三、收支预算情况说明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333333"/>
                <w:sz w:val="32"/>
                <w:szCs w:val="32"/>
              </w:rPr>
              <w:t>四、财政拨款收支预算情况说明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960" w:firstLineChars="300"/>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五、一般公共预算当年拨款情况说明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六、一般公共预算基本支出情况说明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七、“三公”经费财政拨款预算安排情况说明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left="1264" w:hanging="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八、“会议费”“培训费”“差旅费”财政拨款预算安排情况说明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九、政府性基金预算支出情况说明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十、国有资本经营预算支出情况说明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十一、其他重要事项的情况说明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十二、重要名词解释</w:t>
            </w:r>
          </w:p>
          <w:p>
            <w:pPr>
              <w:pStyle w:val="4"/>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第二部分  2021年部门预算报表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 部门收支总表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表1-1. 部门收入总表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表1-2. 部门支出总表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表2. 财政拨款收支预算总表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表2-1. 财政拨款支出预算表（政府经济分类科目）</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 一般公共预算支出预算表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表3-1. 一般公共预算基本支出预算表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表3-2. 一般公共预算项目支出预算表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表3-3. 一般公共预算“三公”经费支出预算表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表4. 政府性基金支出预算表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表4-1. 政府性基金预算“三公”经费支出预算表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表5. 国有资本经营预算支出预算表</w:t>
            </w:r>
          </w:p>
          <w:p>
            <w:pPr>
              <w:pStyle w:val="4"/>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第三部分  2021年部门预算绩效目标表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 部门整体支出绩效目标表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表2. 部门预算项目支出绩效目标表</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eastAsia="黑体" w:cs="Times New Roman"/>
                <w:color w:val="333333"/>
                <w:sz w:val="32"/>
                <w:szCs w:val="32"/>
              </w:rPr>
            </w:pPr>
          </w:p>
          <w:p>
            <w:pPr>
              <w:pStyle w:val="4"/>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遂宁高新区会龙镇人民政府</w:t>
            </w:r>
          </w:p>
          <w:p>
            <w:pPr>
              <w:pStyle w:val="4"/>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2021年部门预算编制说明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 </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一、基本职能及主要工作</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（一） 会龙镇人民政府职能简介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1、认真贯彻党的路线、方针、政策，执行本级人民代表大会的</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 xml:space="preserve">决议和上级国家行政机关的决定和命令，发布决定和命令。 </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执行本行政区域内的经济和社会发展计划、预算，管理本行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政区域内的经济、教育、科学、文化、卫生、交通、水利、环境保护、</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招商引资、林业、就业、新村扶贫、体育事业和财政、民政、安全、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 xml:space="preserve">司法行政、计划生育等行政工作。 </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保护社会主义的全民所有的财产和劳动群众集体所有的财产，</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保护公民私人所有的合法财产，维护社会秩序，保障公民的人身权利、</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 xml:space="preserve">民主权利和其他权利。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 xml:space="preserve">4、保护各种经济组织的合法权益。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5、指导村委会工作，认真作好接待群众的来信、来访工作，听取群众意见，解决困难，处理矛盾，办好群众的事。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6、承办上级人民政府交办的其他事项。</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eastAsia" w:ascii="Times New Roman" w:hAnsi="Times New Roman" w:eastAsia="仿宋_GB2312" w:cs="Times New Roman"/>
                <w:color w:val="333333"/>
                <w:sz w:val="32"/>
                <w:szCs w:val="32"/>
                <w:lang w:val="en-US" w:eastAsia="zh-CN"/>
              </w:rPr>
              <w:t>本</w:t>
            </w:r>
            <w:r>
              <w:rPr>
                <w:rFonts w:hint="default" w:ascii="Times New Roman" w:hAnsi="Times New Roman" w:eastAsia="仿宋_GB2312" w:cs="Times New Roman"/>
                <w:color w:val="333333"/>
                <w:sz w:val="32"/>
                <w:szCs w:val="32"/>
              </w:rPr>
              <w:t>级机关事业单位基本支出预算初审和编制工作。承担市本级部门预算审批及调整工作。承担市本级部门支出标准体系建设及项目库管理工作。承办市财政局交办的有关市本级部门预算编审的其他工作事项。</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（二）会龙镇人民政府2021年重点工作</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是持续推进机场建设，注重建设影响区的管控和维护，积极听取群众意见，确保机场正常建设；加快垃圾压缩中转站建设，完成会龙场镇、保山场镇污水二级管网建设并投入使用，做好污水处理厂运营维护工作，优化人居环境。</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二是持续开展扫黑除恶</w:t>
            </w:r>
            <w:bookmarkStart w:id="0" w:name="_GoBack"/>
            <w:bookmarkEnd w:id="0"/>
            <w:r>
              <w:rPr>
                <w:rFonts w:hint="default" w:ascii="Times New Roman" w:hAnsi="Times New Roman" w:eastAsia="仿宋_GB2312" w:cs="Times New Roman"/>
                <w:color w:val="333333"/>
                <w:sz w:val="32"/>
                <w:szCs w:val="32"/>
              </w:rPr>
              <w:t>专项斗争，依法严防各类黑恶势力、打</w:t>
            </w:r>
          </w:p>
          <w:p>
            <w:pPr>
              <w:pStyle w:val="4"/>
              <w:keepNext w:val="0"/>
              <w:keepLines w:val="0"/>
              <w:pageBreakBefore w:val="0"/>
              <w:widowControl/>
              <w:kinsoku/>
              <w:wordWrap/>
              <w:overflowPunct/>
              <w:topLinePunct w:val="0"/>
              <w:autoSpaceDE/>
              <w:autoSpaceDN/>
              <w:bidi w:val="0"/>
              <w:adjustRightInd/>
              <w:snapToGrid/>
              <w:spacing w:after="100" w:line="560" w:lineRule="exact"/>
              <w:ind w:right="300" w:rightChars="143"/>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击各类违法犯罪活动；优化信访工作制度，及时、就地解决群众合理诉求；持续做好城乡低保、医疗救助、临时救助、特困人员供养等社会救助工作，按时发放各项补贴并做好公示；充分利用文化站、村级健身场所开展符合镇情民意的文体活动，丰富群众文化生活。</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三是紧扣园区“533”战略定位，抢抓成渝双城经济圈建设和乡村</w:t>
            </w:r>
          </w:p>
          <w:p>
            <w:pPr>
              <w:pStyle w:val="4"/>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振兴战略机遇，奋力推进场镇建设，不断开创经济社会发展新局面。</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二、预算单位基本情况</w:t>
            </w:r>
          </w:p>
          <w:p>
            <w:pPr>
              <w:keepNext w:val="0"/>
              <w:keepLines w:val="0"/>
              <w:pageBreakBefore w:val="0"/>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会龙镇下属下属二级预算单位0个，其中行政单位0个，参照公务员法管理的事业单位0个，其他事业单位0个。</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三、收支预算情况说明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按照综合预算的原则，会龙镇人民政府所有收入和支出均纳入部门预算管理。收入包括：一般公共预算拨款收入；支出包括：一般公共服务支出、社会保障和就业支出、卫生健康支出、住房保障支出。会龙镇人民政府</w:t>
            </w:r>
          </w:p>
          <w:p>
            <w:pPr>
              <w:pStyle w:val="4"/>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2021年收支总预算2129.88万元，较2020年收支预算总数增加929.07万元，主要是今年增加了机场征地拆迁补偿及全域村规划设计等项目。</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（一）收入预算情况</w:t>
            </w:r>
          </w:p>
          <w:p>
            <w:pPr>
              <w:pStyle w:val="4"/>
              <w:keepNext w:val="0"/>
              <w:keepLines w:val="0"/>
              <w:pageBreakBefore w:val="0"/>
              <w:widowControl/>
              <w:kinsoku/>
              <w:wordWrap/>
              <w:overflowPunct/>
              <w:topLinePunct w:val="0"/>
              <w:autoSpaceDE/>
              <w:autoSpaceDN/>
              <w:bidi w:val="0"/>
              <w:adjustRightInd/>
              <w:snapToGrid/>
              <w:spacing w:after="100" w:line="560" w:lineRule="exact"/>
              <w:ind w:right="375"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会龙镇人民政府2021年收入预算2129.88万元，其中：一般公共预算拨款收入1379.14万元，占65%，政府性基金预算拨款收入750.74万元，占35%。</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（二）支出预算情况</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会龙镇人民政府2021年支出预算2129.88万元，其中：基本支出1045.84万元，占49%；项目支出1084.04万元，占51%。</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四、财政拨款收支预算情况说明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会龙镇人民政府，2021年收支总预算2129.88万元，较2020年收支预算总数增加929.07万元，主要是今年增加了机场征地拆迁补偿及全域村规划设计等项目。</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收入包括：本年一般公共预算拨款收入1379.14万元；政府性基金预算拨款收入750.74万元。支出包括：一般公共服务支出455万元、社会保障和就业支出67.41万元、卫生健康支出29.46万元、节能环保支出55万元、城乡社区支出787.74万元、农林水支出648.56万元、住房保障支出53.71万元、灾害防治及应急管理支出33万元。</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五、一般公共预算当年拨款情况说明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（一）一般公共预算当年拨款规模变化情况</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textAlignment w:val="auto"/>
              <w:rPr>
                <w:rFonts w:hint="default" w:ascii="Times New Roman" w:hAnsi="Times New Roman" w:cs="Times New Roman"/>
                <w:color w:val="0000FF"/>
                <w:sz w:val="32"/>
                <w:szCs w:val="32"/>
              </w:rPr>
            </w:pPr>
            <w:r>
              <w:rPr>
                <w:rFonts w:hint="default" w:ascii="Times New Roman" w:hAnsi="Times New Roman" w:eastAsia="仿宋_GB2312" w:cs="Times New Roman"/>
                <w:color w:val="333333"/>
                <w:sz w:val="32"/>
                <w:szCs w:val="32"/>
              </w:rPr>
              <w:t>会龙镇人民政府，</w:t>
            </w:r>
            <w:r>
              <w:rPr>
                <w:rFonts w:hint="default" w:ascii="Times New Roman" w:hAnsi="Times New Roman" w:eastAsia="仿宋_GB2312" w:cs="Times New Roman"/>
                <w:sz w:val="32"/>
                <w:szCs w:val="32"/>
              </w:rPr>
              <w:t>2021年收支总预算83.39万元，2129.88万元，较2020年收支预算总数增加929.07万元，主要是今年增加了机场征地拆迁补偿及全域村规划设计等项目。</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（二）一般公共预算当年拨款结构情况</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一般公共服务支出455万元、占21%；社会保障和就业支出67.41万元、占3%；卫生健康支出29.46万元、占1%；节能环保支出55万元、占3%；城乡社区支出787.74万元、占37%；农林水支出648.56万元、占30%；住房保障支出53.71万元、占3%；灾害防治及应急管理支出33万元。占2%。</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（三）一般公共预算当年拨款具体使用情况</w:t>
            </w:r>
          </w:p>
          <w:p>
            <w:pPr>
              <w:keepNext w:val="0"/>
              <w:keepLines w:val="0"/>
              <w:pageBreakBefore w:val="0"/>
              <w:numPr>
                <w:ilvl w:val="0"/>
                <w:numId w:val="2"/>
              </w:numPr>
              <w:kinsoku/>
              <w:wordWrap/>
              <w:overflowPunct/>
              <w:topLinePunct w:val="0"/>
              <w:autoSpaceDE/>
              <w:autoSpaceDN/>
              <w:bidi w:val="0"/>
              <w:adjustRightInd/>
              <w:snapToGrid/>
              <w:spacing w:line="560" w:lineRule="exact"/>
              <w:ind w:right="254" w:rightChars="121"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 xml:space="preserve">一般公共服务支出（类）政府办公厅（室）及相关机构事务（款）行政运行（项）2021年预算数为325.97万元，主要用于：基本工资、津贴补助、奖金、办公费、印刷费、手续费、水费、电费、邮电费、差旅费、会议费、培训费、公务接待费、劳务费、工会经费、福利费、公务用车运行维护费、其他交通费用等，保障机关日常运行。 </w:t>
            </w:r>
          </w:p>
          <w:p>
            <w:pPr>
              <w:keepNext w:val="0"/>
              <w:keepLines w:val="0"/>
              <w:pageBreakBefore w:val="0"/>
              <w:numPr>
                <w:ilvl w:val="0"/>
                <w:numId w:val="2"/>
              </w:numPr>
              <w:kinsoku/>
              <w:wordWrap/>
              <w:overflowPunct/>
              <w:topLinePunct w:val="0"/>
              <w:autoSpaceDE/>
              <w:autoSpaceDN/>
              <w:bidi w:val="0"/>
              <w:adjustRightInd/>
              <w:snapToGrid/>
              <w:spacing w:line="560" w:lineRule="exact"/>
              <w:ind w:right="254" w:rightChars="121"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一般公共服务支出（类）政府办公厅（室）及相关机构事务（款）事业运行（项）2021年预算数为80.03万元，主要用于：事业单位的基本支出。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一般公共服务支出（类）政府办公厅（室）及相关机构事务（款） 其他政府办公厅（室）及相关机构事务支出（项）2021年预算数为49万元，主要用于：伙食补助费、差旅费、维修（护）费，安全生产监管经费、防灾应急救助经费、乡镇便民服务大厅运行维护费及农村“三资”集体管理经费、乡镇脱贫攻坚工作、乡镇征兵工作经费等项目支出，确保各项行政工作顺利开展。</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社会保障和就业支出（类）行政事业单位养老支出（项）机关事业单位基本养老保险缴费支出2021年预算数为63.55万元，主要用于：机关事业单位基本养老保险缴费。</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社会保障和就业支出（类）其他生活救助（款）其他农村生活救助（项）2021年预算数为3.86万元，主要用于：政府遗属补助的生活救助金。</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医疗卫生与计划生育支出（类）医疗卫生与计划生育管理事务（款）行政运行（项）2021年预算数为29.46万元，主要用于：基本工资、津贴补助、奖金、办公费、工会经费、福利费、其他交通费用，保障计生事务日常运行。</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节能环保支出（类）自然生态保护（款）生态保护（项）2021年预算数为20万元，主要用于：污水处理厂运行维护经费等支出。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节能环保支出（类）自然生态保护（款）农村环境保护（项）2021年预算数为35万元，主要用于：环境卫生整治经费支出。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城乡社区支出（类）城乡社区公共设施（款）一般行政管理事务（项）2021年预算数为30万元，主要用于：机场征地拆迁各项工作经费。</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 xml:space="preserve"> 城乡社区支出（类）城乡社区公共设施（款）其他城乡环境支出（项）2021年预算数为7万元，主要用于：乡镇基础设施和场镇街道维护经费支出。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城乡社区支出（类）国有土地使用权出让收入安排的支出（款）征地和拆迁补偿支出（项）2021年预算数为750.74万元，主要用于：机场建设等项目拆迁补偿支出。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农林水支出（类）农村综合改革（款）其他农业农村支出（项）2021年预算数为263.8万元，主要用于：各村规划设计支出。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农林水支出（类）扶贫（款）其他扶贫支出（项）2021年预算数为8.92万元，主要用于：脱贫攻坚工作及村第一书记工作经费支出。其他农业农村支出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农林水支出（类）农村综合改革（款）对村民委员会和村党支部的补助（项）2021年预算数为375.84万元，主要用于：对村民委员会和村党支部的补助以及村（社区）办公及运行维护经费支出。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166" w:rightChars="79"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住房保障支出（类）住房改革支出（款）住房公积金（项）2021年预算数为53.71元，主要用于：行政事业单位按规定为职工缴纳住房公积金单位缴费部分。</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一般公共服务支出（类）财政事务（款）其他财政事务支出（项）2021年预算数为24.5万元，主要用于：其他财政事务支出。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 xml:space="preserve"> 文化体育与传媒支出（类）文化（款）群众文化（项）2021年预算数为4万元，主要用于：镇乡风文明建设等支出。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一般公共服务支出（类）政府办公厅、室及相关机构事务（款）信访事务（项）2021年预算数为6万元，主要用于：镇维稳信访调解等支出。</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住房保障支出（类）住房改革支出（款）住房公积金（项）2021年预算数为39.75元，主要用于：行政事业单位按规定为职工缴纳住房公积金单位缴费部分。</w:t>
            </w:r>
          </w:p>
          <w:p>
            <w:pPr>
              <w:keepNext w:val="0"/>
              <w:keepLines w:val="0"/>
              <w:pageBreakBefore w:val="0"/>
              <w:numPr>
                <w:ilvl w:val="0"/>
                <w:numId w:val="2"/>
              </w:numPr>
              <w:kinsoku/>
              <w:wordWrap/>
              <w:overflowPunct/>
              <w:topLinePunct w:val="0"/>
              <w:autoSpaceDE/>
              <w:autoSpaceDN/>
              <w:bidi w:val="0"/>
              <w:adjustRightInd/>
              <w:snapToGrid/>
              <w:spacing w:line="560" w:lineRule="exact"/>
              <w:ind w:right="210" w:rightChars="10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灾害防治及应急管理支出（类）森林消防事务（款）一般行政管理事务（项）2021年预算数为33元，主要用于：辖区内森林防灭火工作经费及购置消防设备。</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黑体" w:cs="Times New Roman"/>
                <w:color w:val="333333"/>
                <w:sz w:val="32"/>
                <w:szCs w:val="32"/>
              </w:rPr>
            </w:pP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六、一般公共预算基本支出情况说明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right="105"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会龙镇人民政府2021年一般公共预算基本支出1043.84万元，其中：</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人员经费661.43万元，主要包括：基本工资、津贴补贴、社会保险缴费、绩效工资、机关事业单位基本养老保险缴费、职工基本医疗保险缴费、其他社会保障缴费、住房公积金。</w:t>
            </w:r>
          </w:p>
          <w:p>
            <w:pPr>
              <w:pStyle w:val="4"/>
              <w:keepNext w:val="0"/>
              <w:keepLines w:val="0"/>
              <w:pageBreakBefore w:val="0"/>
              <w:widowControl/>
              <w:kinsoku/>
              <w:wordWrap/>
              <w:overflowPunct/>
              <w:topLinePunct w:val="0"/>
              <w:autoSpaceDE/>
              <w:autoSpaceDN/>
              <w:bidi w:val="0"/>
              <w:adjustRightInd/>
              <w:snapToGrid/>
              <w:spacing w:after="100" w:line="560" w:lineRule="exact"/>
              <w:ind w:right="165"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公用经费382.41万元，主要包括：水费、电费、物业管理费、差旅费、维修（护）费、培训费、工会经费、福利费、其他商品和服务支出。</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会龙镇人民政府2021年“三公”经费财政拨款预算数0万元，其中：因公出国（境）经费0万元，公务接待费0万元，公务用车购置及运行维护费0万元。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color w:val="333333"/>
                <w:sz w:val="32"/>
                <w:szCs w:val="32"/>
              </w:rPr>
              <w:t>（</w:t>
            </w:r>
            <w:r>
              <w:rPr>
                <w:rFonts w:hint="default" w:ascii="Times New Roman" w:hAnsi="Times New Roman" w:eastAsia="仿宋_GB2312" w:cs="Times New Roman"/>
                <w:b/>
                <w:bCs/>
                <w:color w:val="333333"/>
                <w:sz w:val="32"/>
                <w:szCs w:val="32"/>
              </w:rPr>
              <w:t>一）因公出国（境）经费与2020年预算持平。主要原因是无公出国（境）经费等因素。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（二）公务接待费与2020年预算（下降）100%，主要原因是厉行节约。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（三）公务用车购置及运行维护费与2020年预算（下降）100%，主要原因是无公务用车购置等因素。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单位现有公务用车0辆，其中：轿车0辆、越野车0辆、多功能乘用车0辆。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2021年未安排公务用车购置费。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2021年安排公务用车运行维护费0万元。</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八、“会议费”“培训费”“差旅费”财政拨款预算安排情况说明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right="165"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会龙镇人民政府2021年“会议费”“培训费”“差旅费”财政拨款预算数46.4万元，其中：会议费0万元，培训费2.45万元，差旅费46.4万元。</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（一）会议费较2020年预算保持不变。</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（二）培训费较2020年预算保持不变。</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rightChars="100"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（三）差旅费较2020年预算增长了45%，主要原因是增加了项目建设，需要因公出差。</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黑体" w:cs="Times New Roman"/>
                <w:color w:val="333333"/>
                <w:sz w:val="32"/>
                <w:szCs w:val="32"/>
              </w:rPr>
              <w:t>九、政府性基金预算</w:t>
            </w:r>
            <w:r>
              <w:rPr>
                <w:rFonts w:hint="default" w:ascii="Times New Roman" w:hAnsi="Times New Roman" w:eastAsia="仿宋_GB2312" w:cs="Times New Roman"/>
                <w:color w:val="333333"/>
                <w:sz w:val="32"/>
                <w:szCs w:val="32"/>
              </w:rPr>
              <w:t>支出情况说明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rightChars="100"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会龙镇人民政府2021年使用政府性基金预算拨款安排支出750.74万元，主要用于会龙境内机场路建设等项目地拆迁支出。</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十、国有资本经营预算支出情况说明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right="165"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会龙镇人民政府2021年没有使用国有资本经营预算拨款安排的支出。</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十一、其他重要事项的情况说明</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（一）机关运行经费</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会龙镇人民政府2021年机关运行经费财政拨款预算为382.41万元，比2020年预算增加134.5万元，增长54%。</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（二）政府采购情况</w:t>
            </w:r>
          </w:p>
          <w:p>
            <w:pPr>
              <w:pStyle w:val="4"/>
              <w:keepNext w:val="0"/>
              <w:keepLines w:val="0"/>
              <w:pageBreakBefore w:val="0"/>
              <w:widowControl/>
              <w:kinsoku/>
              <w:wordWrap/>
              <w:overflowPunct/>
              <w:topLinePunct w:val="0"/>
              <w:autoSpaceDE/>
              <w:autoSpaceDN/>
              <w:bidi w:val="0"/>
              <w:adjustRightInd/>
              <w:snapToGrid/>
              <w:spacing w:after="100" w:line="560" w:lineRule="exact"/>
              <w:ind w:right="165"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会龙镇人民政府安排政府采购预算265.8万元，其中263.8万元用于我镇11个村的村规划设计费用，剩余2万元主要用于采购电脑、空调、桌椅等办公用品。</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（三）国有资产占有使用情况</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截至2020年底，会龙镇人民政府所属各预算单位共有车辆0辆。</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2021年部门预算未安排购置车辆及单位价值200万元以上大型设备。</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（四）绩效目标设置情况</w:t>
            </w:r>
          </w:p>
          <w:p>
            <w:pPr>
              <w:pStyle w:val="4"/>
              <w:keepNext w:val="0"/>
              <w:keepLines w:val="0"/>
              <w:pageBreakBefore w:val="0"/>
              <w:widowControl/>
              <w:kinsoku/>
              <w:wordWrap/>
              <w:overflowPunct/>
              <w:topLinePunct w:val="0"/>
              <w:autoSpaceDE/>
              <w:autoSpaceDN/>
              <w:bidi w:val="0"/>
              <w:adjustRightInd/>
              <w:snapToGrid/>
              <w:spacing w:after="100" w:line="560" w:lineRule="exact"/>
              <w:ind w:right="210"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绩效目标是预算编制的前提和基础，按照“费随事定”的原则，2021年会龙镇人民政府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4"/>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十二、名词解释</w:t>
            </w:r>
          </w:p>
          <w:p>
            <w:pPr>
              <w:keepNext w:val="0"/>
              <w:keepLines w:val="0"/>
              <w:pageBreakBefore w:val="0"/>
              <w:kinsoku/>
              <w:wordWrap/>
              <w:overflowPunct/>
              <w:topLinePunct w:val="0"/>
              <w:autoSpaceDE/>
              <w:autoSpaceDN/>
              <w:bidi w:val="0"/>
              <w:adjustRightInd/>
              <w:snapToGrid/>
              <w:spacing w:line="560" w:lineRule="exact"/>
              <w:ind w:right="286" w:rightChars="136"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 一般公共服务（类）政府办公厅、室及相关机构事务（款）行政运行（项）：指行政机关及参公管理事业单位用于保障机构正常运行、开展日常工作的基本支出。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 一般公共服务（类）政府办公厅、室及相关机构事务（款）一般行政管理事务（项）：指行政机关及参公管理事业单位开展专项工作等未单独设置项级科目的专门性管理工作的项目支出。</w:t>
            </w:r>
          </w:p>
          <w:p>
            <w:pPr>
              <w:keepNext w:val="0"/>
              <w:keepLines w:val="0"/>
              <w:pageBreakBefore w:val="0"/>
              <w:kinsoku/>
              <w:wordWrap/>
              <w:overflowPunct/>
              <w:topLinePunct w:val="0"/>
              <w:autoSpaceDE/>
              <w:autoSpaceDN/>
              <w:bidi w:val="0"/>
              <w:adjustRightInd/>
              <w:snapToGrid/>
              <w:spacing w:line="560" w:lineRule="exact"/>
              <w:ind w:right="254" w:rightChars="121"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 一般公共服务（类）统计信息事务（款）机关服务（项）：指后勤服务中心、信息中心为本部门各单位正常运行提供服务的支出。</w:t>
            </w:r>
          </w:p>
          <w:p>
            <w:pPr>
              <w:keepNext w:val="0"/>
              <w:keepLines w:val="0"/>
              <w:pageBreakBefore w:val="0"/>
              <w:kinsoku/>
              <w:wordWrap/>
              <w:overflowPunct/>
              <w:topLinePunct w:val="0"/>
              <w:autoSpaceDE/>
              <w:autoSpaceDN/>
              <w:bidi w:val="0"/>
              <w:adjustRightInd/>
              <w:snapToGrid/>
              <w:spacing w:line="560" w:lineRule="exact"/>
              <w:ind w:right="210" w:rightChars="100"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4. 住房保障（类）住房改革支出（款）住房公积金（项）：指按照《住房公积金管理条例》的规定，由单位及其在职职工缴存的长期住房储金。</w:t>
            </w:r>
          </w:p>
          <w:p>
            <w:pPr>
              <w:keepNext w:val="0"/>
              <w:keepLines w:val="0"/>
              <w:pageBreakBefore w:val="0"/>
              <w:kinsoku/>
              <w:wordWrap/>
              <w:overflowPunct/>
              <w:topLinePunct w:val="0"/>
              <w:autoSpaceDE/>
              <w:autoSpaceDN/>
              <w:bidi w:val="0"/>
              <w:adjustRightInd/>
              <w:snapToGrid/>
              <w:spacing w:line="560" w:lineRule="exact"/>
              <w:ind w:right="166" w:rightChars="79"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5. 基本支出：指为保证机构正常运转，完成日常工作任务而发生的人员支出和公用支出。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right="90" w:rightChars="43"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6. 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right="210" w:firstLine="640" w:firstLineChars="200"/>
              <w:textAlignment w:val="auto"/>
              <w:rPr>
                <w:sz w:val="27"/>
                <w:szCs w:val="27"/>
              </w:rPr>
            </w:pPr>
            <w:r>
              <w:rPr>
                <w:rFonts w:hint="default" w:ascii="Times New Roman" w:hAnsi="Times New Roman" w:eastAsia="仿宋_GB2312" w:cs="Times New Roman"/>
                <w:color w:val="333333"/>
                <w:sz w:val="32"/>
                <w:szCs w:val="32"/>
              </w:rPr>
              <w:t>7. “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w:t>
            </w:r>
            <w:r>
              <w:rPr>
                <w:rFonts w:hint="eastAsia" w:ascii="仿宋_GB2312" w:hAnsi="微软雅黑" w:eastAsia="仿宋_GB2312" w:cs="仿宋_GB2312"/>
                <w:color w:val="333333"/>
                <w:sz w:val="32"/>
                <w:szCs w:val="32"/>
              </w:rPr>
              <w:t>按规定开支的各类公务接待（含外宾接待）支出。</w:t>
            </w:r>
            <w:r>
              <w:rPr>
                <w:rFonts w:ascii="Calibri" w:hAnsi="Calibri" w:eastAsia="微软雅黑" w:cs="Calibri"/>
                <w:color w:val="333333"/>
                <w:sz w:val="22"/>
                <w:szCs w:val="22"/>
              </w:rPr>
              <w:t> </w:t>
            </w:r>
          </w:p>
        </w:tc>
        <w:tc>
          <w:tcPr>
            <w:tcW w:w="10260" w:type="dxa"/>
            <w:shd w:val="clear" w:color="auto" w:fill="auto"/>
            <w:tcMar>
              <w:top w:w="100" w:type="dxa"/>
              <w:bottom w:w="100" w:type="dxa"/>
            </w:tcMar>
            <w:vAlign w:val="center"/>
          </w:tcPr>
          <w:p>
            <w:pPr>
              <w:pStyle w:val="4"/>
              <w:widowControl/>
              <w:spacing w:after="100" w:line="560" w:lineRule="atLeast"/>
              <w:ind w:firstLine="1257"/>
              <w:rPr>
                <w:rFonts w:ascii="Calibri" w:hAnsi="Calibri" w:eastAsia="微软雅黑" w:cs="Calibri"/>
                <w:color w:val="333333"/>
                <w:sz w:val="22"/>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95941"/>
    <w:multiLevelType w:val="singleLevel"/>
    <w:tmpl w:val="DA995941"/>
    <w:lvl w:ilvl="0" w:tentative="0">
      <w:start w:val="1"/>
      <w:numFmt w:val="decimal"/>
      <w:suff w:val="space"/>
      <w:lvlText w:val="%1."/>
      <w:lvlJc w:val="left"/>
    </w:lvl>
  </w:abstractNum>
  <w:abstractNum w:abstractNumId="1">
    <w:nsid w:val="F41CAF9A"/>
    <w:multiLevelType w:val="singleLevel"/>
    <w:tmpl w:val="F41CAF9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YzNjBkOTgyNWQ1YTMxYzM3MzMwNWFiODNmOWIzYWMifQ=="/>
  </w:docVars>
  <w:rsids>
    <w:rsidRoot w:val="623165C9"/>
    <w:rsid w:val="003B3082"/>
    <w:rsid w:val="004577E7"/>
    <w:rsid w:val="00A51E70"/>
    <w:rsid w:val="00C55DC9"/>
    <w:rsid w:val="07CA06CD"/>
    <w:rsid w:val="0B7A40FE"/>
    <w:rsid w:val="2E030BBB"/>
    <w:rsid w:val="2F7B3CAC"/>
    <w:rsid w:val="39003936"/>
    <w:rsid w:val="3D2A3457"/>
    <w:rsid w:val="623165C9"/>
    <w:rsid w:val="65225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856</Words>
  <Characters>4885</Characters>
  <Lines>40</Lines>
  <Paragraphs>11</Paragraphs>
  <TotalTime>53</TotalTime>
  <ScaleCrop>false</ScaleCrop>
  <LinksUpToDate>false</LinksUpToDate>
  <CharactersWithSpaces>5730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2021-06-08T01:23:00Z</dcterms:created>
  <dc:creator>霖霖</dc:creator>
  <cp:lastModifiedBy>x</cp:lastModifiedBy>
  <dcterms:modified xsi:type="dcterms:W3CDTF">2025-06-26T02:26:13Z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2D508278E9EE4089B9041153F6074A03</vt:lpwstr>
  </property>
</Properties>
</file>