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20520" w:type="dxa"/>
        <w:tblInd w:w="0" w:type="dxa"/>
        <w:shd w:val="clear" w:color="auto" w:fill="FFFFFF"/>
        <w:tblLayout w:type="autofit"/>
        <w:tblCellMar>
          <w:top w:w="15" w:type="dxa"/>
          <w:left w:w="15" w:type="dxa"/>
          <w:bottom w:w="15" w:type="dxa"/>
          <w:right w:w="15" w:type="dxa"/>
        </w:tblCellMar>
      </w:tblPr>
      <w:tblGrid>
        <w:gridCol w:w="10260"/>
        <w:gridCol w:w="10260"/>
      </w:tblGrid>
      <w:tr>
        <w:tblPrEx>
          <w:shd w:val="clear" w:color="auto" w:fill="FFFFFF"/>
          <w:tblCellMar>
            <w:top w:w="15" w:type="dxa"/>
            <w:left w:w="15" w:type="dxa"/>
            <w:bottom w:w="15" w:type="dxa"/>
            <w:right w:w="15" w:type="dxa"/>
          </w:tblCellMar>
        </w:tblPrEx>
        <w:tc>
          <w:tcPr>
            <w:tcW w:w="10260" w:type="dxa"/>
            <w:shd w:val="clear" w:color="auto" w:fill="FFFFFF"/>
            <w:tcMar>
              <w:top w:w="20" w:type="dxa"/>
              <w:bottom w:w="20" w:type="dxa"/>
            </w:tcMar>
            <w:vAlign w:val="center"/>
          </w:tcPr>
          <w:p>
            <w:pPr>
              <w:widowControl/>
              <w:spacing w:line="360" w:lineRule="atLeast"/>
              <w:jc w:val="center"/>
              <w:rPr>
                <w:rFonts w:ascii="微软雅黑" w:hAnsi="微软雅黑" w:eastAsia="微软雅黑" w:cs="微软雅黑"/>
                <w:b/>
                <w:bCs/>
                <w:color w:val="2D66A5"/>
                <w:sz w:val="32"/>
                <w:szCs w:val="32"/>
              </w:rPr>
            </w:pPr>
            <w:r>
              <w:rPr>
                <w:rFonts w:hint="eastAsia" w:ascii="微软雅黑" w:hAnsi="微软雅黑" w:eastAsia="微软雅黑" w:cs="微软雅黑"/>
                <w:b/>
                <w:bCs/>
                <w:color w:val="2D66A5"/>
                <w:kern w:val="0"/>
                <w:sz w:val="32"/>
                <w:szCs w:val="32"/>
              </w:rPr>
              <w:t xml:space="preserve">遂宁高新区西宁街道 2021年部门预算 </w:t>
            </w:r>
          </w:p>
        </w:tc>
        <w:tc>
          <w:tcPr>
            <w:tcW w:w="10260" w:type="dxa"/>
            <w:shd w:val="clear" w:color="auto" w:fill="FFFFFF"/>
            <w:tcMar>
              <w:top w:w="20" w:type="dxa"/>
              <w:bottom w:w="20" w:type="dxa"/>
            </w:tcMar>
            <w:vAlign w:val="center"/>
          </w:tcPr>
          <w:p>
            <w:pPr>
              <w:widowControl/>
              <w:spacing w:line="360" w:lineRule="atLeast"/>
              <w:jc w:val="center"/>
              <w:rPr>
                <w:rFonts w:ascii="微软雅黑" w:hAnsi="微软雅黑" w:eastAsia="微软雅黑" w:cs="微软雅黑"/>
                <w:b/>
                <w:bCs/>
                <w:color w:val="2D66A5"/>
                <w:kern w:val="0"/>
                <w:sz w:val="32"/>
                <w:szCs w:val="32"/>
              </w:rPr>
            </w:pPr>
          </w:p>
        </w:tc>
      </w:tr>
      <w:tr>
        <w:tblPrEx>
          <w:shd w:val="clear" w:color="auto" w:fill="FFFFFF"/>
          <w:tblCellMar>
            <w:top w:w="15" w:type="dxa"/>
            <w:left w:w="15" w:type="dxa"/>
            <w:bottom w:w="15" w:type="dxa"/>
            <w:right w:w="15" w:type="dxa"/>
          </w:tblCellMar>
        </w:tblPrEx>
        <w:tc>
          <w:tcPr>
            <w:tcW w:w="10260" w:type="dxa"/>
            <w:shd w:val="clear" w:color="auto" w:fill="FFFFFF"/>
            <w:vAlign w:val="center"/>
          </w:tcPr>
          <w:p>
            <w:pPr>
              <w:jc w:val="center"/>
              <w:rPr>
                <w:rFonts w:ascii="微软雅黑" w:hAnsi="微软雅黑" w:eastAsia="微软雅黑" w:cs="微软雅黑"/>
                <w:color w:val="333333"/>
                <w:sz w:val="14"/>
                <w:szCs w:val="14"/>
              </w:rPr>
            </w:pPr>
          </w:p>
        </w:tc>
        <w:tc>
          <w:tcPr>
            <w:tcW w:w="10260" w:type="dxa"/>
            <w:shd w:val="clear" w:color="auto" w:fill="FFFFFF"/>
            <w:vAlign w:val="center"/>
          </w:tcPr>
          <w:p>
            <w:pPr>
              <w:jc w:val="center"/>
              <w:rPr>
                <w:rFonts w:ascii="微软雅黑" w:hAnsi="微软雅黑" w:eastAsia="微软雅黑" w:cs="微软雅黑"/>
                <w:color w:val="333333"/>
                <w:sz w:val="14"/>
                <w:szCs w:val="14"/>
              </w:rPr>
            </w:pPr>
          </w:p>
        </w:tc>
      </w:tr>
      <w:tr>
        <w:tblPrEx>
          <w:shd w:val="clear" w:color="auto" w:fill="FFFFFF"/>
          <w:tblCellMar>
            <w:top w:w="15" w:type="dxa"/>
            <w:left w:w="15" w:type="dxa"/>
            <w:bottom w:w="15" w:type="dxa"/>
            <w:right w:w="15" w:type="dxa"/>
          </w:tblCellMar>
        </w:tblPrEx>
        <w:tc>
          <w:tcPr>
            <w:tcW w:w="10260" w:type="dxa"/>
            <w:shd w:val="clear" w:color="auto" w:fill="FFFFFF"/>
            <w:tcMar>
              <w:top w:w="100" w:type="dxa"/>
              <w:bottom w:w="100" w:type="dxa"/>
            </w:tcMar>
            <w:vAlign w:val="center"/>
          </w:tcPr>
          <w:p>
            <w:pPr>
              <w:pStyle w:val="8"/>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目  录</w:t>
            </w:r>
          </w:p>
          <w:p>
            <w:pPr>
              <w:pStyle w:val="8"/>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第一部分  2021年部门预算编制说明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一、基本职能及主要工作</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二、预算单位基本情况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三、收支预算情况说明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333333"/>
                <w:sz w:val="32"/>
                <w:szCs w:val="32"/>
              </w:rPr>
              <w:t>四、财政拨款收支预算情况说明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960" w:firstLineChars="300"/>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五、一般公共预算当年拨款情况说明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六、一般公共预算基本支出情况说明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七、“三公”经费财政拨款预算安排情况说明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left="1264" w:hanging="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八、“会议费”“培训费”“差旅费”财政拨款预算安排情况说明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九、政府性基金预算支出情况说明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十、国有资本经营预算支出情况说明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十一、其他重要事项的情况说明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十二、重要名词解释</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第二部分  2021年部门预算报表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 部门收支总表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表1-1. 部门收入总表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表1-2. 部门支出总表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 财政拨款收支预算总表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表2-1. 财政拨款支出预算表（政府经济分类科目）</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 一般公共预算支出预算表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表3-1. 一般公共预算基本支出预算表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表3-2. 一般公共预算项目支出预算表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表3-3. 一般公共预算“三公”经费支出预算表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表4. 政府性基金支出预算表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表4-1. 政府性基金预算“三公”经费支出预算表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表5. 国有资本经营预算支出预算表</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第三部分  2021年部门预算绩效目标表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表1. 部门整体支出绩效目标表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表2. 部门预算项目支出绩效目标表</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333333"/>
                <w:sz w:val="32"/>
                <w:szCs w:val="32"/>
              </w:rPr>
              <w:br w:type="textWrapping"/>
            </w:r>
            <w:r>
              <w:rPr>
                <w:rFonts w:hint="default" w:ascii="Times New Roman" w:hAnsi="Times New Roman" w:eastAsia="黑体" w:cs="Times New Roman"/>
                <w:color w:val="333333"/>
                <w:sz w:val="32"/>
                <w:szCs w:val="32"/>
              </w:rPr>
              <w:t>遂宁高新区西宁街道办事</w:t>
            </w:r>
          </w:p>
          <w:p>
            <w:pPr>
              <w:pStyle w:val="8"/>
              <w:keepNext w:val="0"/>
              <w:keepLines w:val="0"/>
              <w:pageBreakBefore w:val="0"/>
              <w:widowControl/>
              <w:kinsoku/>
              <w:wordWrap/>
              <w:overflowPunct/>
              <w:topLinePunct w:val="0"/>
              <w:autoSpaceDE/>
              <w:autoSpaceDN/>
              <w:bidi w:val="0"/>
              <w:adjustRightInd/>
              <w:snapToGrid/>
              <w:spacing w:after="100" w:line="560" w:lineRule="exact"/>
              <w:jc w:val="center"/>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2021年部门预算编制说明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 </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一、基本职能及主要工作</w:t>
            </w:r>
          </w:p>
          <w:p>
            <w:pPr>
              <w:pStyle w:val="8"/>
              <w:keepNext w:val="0"/>
              <w:keepLines w:val="0"/>
              <w:pageBreakBefore w:val="0"/>
              <w:widowControl/>
              <w:numPr>
                <w:ilvl w:val="0"/>
                <w:numId w:val="1"/>
              </w:numPr>
              <w:kinsoku/>
              <w:wordWrap/>
              <w:overflowPunct/>
              <w:topLinePunct w:val="0"/>
              <w:autoSpaceDE/>
              <w:autoSpaceDN/>
              <w:bidi w:val="0"/>
              <w:adjustRightInd/>
              <w:snapToGrid/>
              <w:spacing w:after="100" w:line="56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 西宁街道职能简介</w:t>
            </w:r>
          </w:p>
          <w:p>
            <w:pPr>
              <w:pStyle w:val="8"/>
              <w:keepNext w:val="0"/>
              <w:keepLines w:val="0"/>
              <w:pageBreakBefore w:val="0"/>
              <w:widowControl/>
              <w:kinsoku/>
              <w:wordWrap/>
              <w:overflowPunct/>
              <w:topLinePunct w:val="0"/>
              <w:autoSpaceDE/>
              <w:autoSpaceDN/>
              <w:bidi w:val="0"/>
              <w:adjustRightInd/>
              <w:snapToGrid/>
              <w:spacing w:before="76"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 w:cs="Times New Roman"/>
                <w:color w:val="666666"/>
                <w:sz w:val="32"/>
                <w:szCs w:val="32"/>
                <w:shd w:val="clear" w:color="auto" w:fill="FFFFFF"/>
              </w:rPr>
              <w:t>1、</w:t>
            </w:r>
            <w:r>
              <w:rPr>
                <w:rFonts w:hint="default" w:ascii="Times New Roman" w:hAnsi="Times New Roman" w:eastAsia="仿宋_GB2312" w:cs="Times New Roman"/>
                <w:color w:val="333333"/>
                <w:sz w:val="32"/>
                <w:szCs w:val="32"/>
              </w:rPr>
              <w:t>党政办公室：负责党务、组织、宣传、统战、纪检、政务服务、政协工作、文书档案、人事工资等工作，承办群团组织的日常工作。</w:t>
            </w:r>
          </w:p>
          <w:p>
            <w:pPr>
              <w:pStyle w:val="8"/>
              <w:keepNext w:val="0"/>
              <w:keepLines w:val="0"/>
              <w:pageBreakBefore w:val="0"/>
              <w:widowControl/>
              <w:kinsoku/>
              <w:wordWrap/>
              <w:overflowPunct/>
              <w:topLinePunct w:val="0"/>
              <w:autoSpaceDE/>
              <w:autoSpaceDN/>
              <w:bidi w:val="0"/>
              <w:adjustRightInd/>
              <w:snapToGrid/>
              <w:spacing w:before="76"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2、社会事务办公室：负责教、科、文、卫管理；负责婚姻登记、殡葬、城乡低保、城乡医疗救助、双拥、优抚安置、农村五保、特困户救助、区划、劳动保障等工作；负责乡镇计划生育工作。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3、社会治理和应急办公室：负责社会治安综合治理、信访稳定、12345、安全生产和应急管理、打非治违、受城市管理办公室委托，负责控违拆违、征地拆迁等工作。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4、城市管理办公室：统筹协调城市综合管理（物业、业委会、市容环境、文明复检），负责生态环境保护、扶贫、乡村振兴、大农业、国土规划、建设、交运、河长制等工作。</w:t>
            </w:r>
          </w:p>
          <w:p>
            <w:pPr>
              <w:pStyle w:val="8"/>
              <w:keepNext w:val="0"/>
              <w:keepLines w:val="0"/>
              <w:pageBreakBefore w:val="0"/>
              <w:widowControl/>
              <w:kinsoku/>
              <w:wordWrap/>
              <w:overflowPunct/>
              <w:topLinePunct w:val="0"/>
              <w:autoSpaceDE/>
              <w:autoSpaceDN/>
              <w:bidi w:val="0"/>
              <w:adjustRightInd/>
              <w:snapToGrid/>
              <w:spacing w:before="76"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财政工作办公室：贯彻执行各项财经纪律、法规和制度；负责编报年度乡镇财政收支预算、决算并组织预算执行；协助税务机关和非税收入执收部门征缴财政收入，协助有关机构代收代缴各类社会保障资金；负责各项强农惠民补贴资金的审核发放和项目建设资金的监督管理；负责管理乡镇国有资产和政府性债权债务；指导、监督乡镇行政事业单位财务管理；接受委托代管村级财务、债权债务和集体资产；负责街道财务信息公开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6、社区事务和便民服务中心（退役军人服务站、农民工服务中心）：牵头承担便民服务工作，承担退役军人服务、农民工服务、综合性文化服务等工作(该部分委托给社会事务办公室)</w:t>
            </w:r>
          </w:p>
          <w:p>
            <w:pPr>
              <w:pStyle w:val="8"/>
              <w:keepNext w:val="0"/>
              <w:keepLines w:val="0"/>
              <w:pageBreakBefore w:val="0"/>
              <w:widowControl/>
              <w:kinsoku/>
              <w:wordWrap/>
              <w:overflowPunct/>
              <w:topLinePunct w:val="0"/>
              <w:autoSpaceDE/>
              <w:autoSpaceDN/>
              <w:bidi w:val="0"/>
              <w:adjustRightInd/>
              <w:snapToGrid/>
              <w:spacing w:after="100" w:line="560" w:lineRule="exact"/>
              <w:textAlignment w:val="auto"/>
              <w:rPr>
                <w:rFonts w:hint="default" w:ascii="Times New Roman" w:hAnsi="Times New Roman" w:eastAsia="仿宋_GB2312" w:cs="Times New Roman"/>
                <w:b/>
                <w:color w:val="333333"/>
                <w:sz w:val="32"/>
                <w:szCs w:val="32"/>
              </w:rPr>
            </w:pPr>
            <w:r>
              <w:rPr>
                <w:rFonts w:hint="default" w:ascii="Times New Roman" w:hAnsi="Times New Roman" w:eastAsia="仿宋_GB2312" w:cs="Times New Roman"/>
                <w:b/>
                <w:bCs/>
                <w:color w:val="333333"/>
                <w:sz w:val="32"/>
                <w:szCs w:val="32"/>
              </w:rPr>
              <w:t>（二）</w:t>
            </w:r>
            <w:r>
              <w:rPr>
                <w:rFonts w:hint="default" w:ascii="Times New Roman" w:hAnsi="Times New Roman" w:eastAsia="仿宋_GB2312" w:cs="Times New Roman"/>
                <w:b/>
                <w:color w:val="333333"/>
                <w:sz w:val="32"/>
                <w:szCs w:val="32"/>
              </w:rPr>
              <w:t>西宁街道2021年重点工作</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w:t>
            </w:r>
            <w:r>
              <w:rPr>
                <w:rFonts w:hint="default" w:ascii="Times New Roman" w:hAnsi="Times New Roman" w:eastAsia="黑体" w:cs="Times New Roman"/>
                <w:b/>
                <w:sz w:val="32"/>
                <w:szCs w:val="32"/>
              </w:rPr>
              <w:t xml:space="preserve"> </w:t>
            </w:r>
            <w:r>
              <w:rPr>
                <w:rFonts w:hint="default" w:ascii="Times New Roman" w:hAnsi="Times New Roman" w:eastAsia="仿宋_GB2312" w:cs="Times New Roman"/>
                <w:color w:val="333333"/>
                <w:sz w:val="32"/>
                <w:szCs w:val="32"/>
              </w:rPr>
              <w:t>提升思想政治建设。继续巩固深化“不忘初心、牢记使命”主题教育成果，切实增强“四个意识”、坚定“四个自信”、做到“两个维护”，不断增强政治判断力、政治领悟力和政治执行力，不断提高干部特别是年轻干部“七种能力”。提前谋划好、组织好建党100周年系列庆祝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2.</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333333"/>
                <w:sz w:val="32"/>
                <w:szCs w:val="32"/>
              </w:rPr>
              <w:t>全力攻坚征地拆迁，坚持“以人为本、统筹推进，舆论先行、先易后难，和谐拆迁、依法拆迁”的整体思路，克服困难，创新推行“一套政策法规、三个中心、五个满意”拆迁工作法，对标高新区项目建设时间表，科学铺排攻坚任务。全力确保云舒画廊、雁栖湖、市民中心、环湖路、双湖隧道、沿线河道治理、路网骨架等重点项目的落地；着力推进违建整治，对发现的10余处违章搭建全部依法依规制止，并与高新区执法局建立联动机制，实现长效治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3.着力党风廉政建设。加大警示教育力度，推动“三个责任”一体落实。转变作风，促进党风廉政建设社会评价工作提档升级。全面梳理廉政风险隐患点，制定事务运行规程图和风险管理树状图。</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坚持党建引领，创新模式强化基层治理。以建立治理示范区为目标，以大党建格局推动社区治理，探索“一核多元、共建共治”的社会治理模式，着力把做实小区党建作为推进城市基层治理的突破口和重难点，新建成华翔城、建坤公寓、悦城等11个小区党支部，健全了小区党建的组织体系。</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333333"/>
                <w:sz w:val="32"/>
                <w:szCs w:val="32"/>
              </w:rPr>
              <w:t>做好安全稳定工作。继续深化疫情防控和森林防灭火常态化，全力做好安全生产各项工作，千方百计保障群众生命和财产安全。畅通群众诉求渠道，高效化解征地拆迁、楼盘等遗留问题</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着力干部队伍建设，提升干部作风。坚持把人民群众利益放在至高位置，聚焦“群众最不满意10件事”，以“三提”行动为抓手，全面落实首问责任制，强化政务服务，着力提升干部作风，将敬业、专业作为干部提能标准，充分调动和激发干部干事创业激情。建立制定中层干部能上能下管理办法，严格执行中层干部竞聘上岗制度。引导干部全面树立绩效考核意识，坚持以工作量、工作效果核定目标绩效。</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7.深化“放管服”改革，“为群众服务、为企业服务”，全面推进“最多跑一次”和“民事代办”，规范便民服务中心管理，明确便民服务中心职责。</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二、预算单位基本情况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西宁街道下属二级预算单位0个，其中行政单位0个，参照公务员法管理的事业单位0个，其他事业单位0个。</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三、收支预算情况说明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按照综合预算的原则，西宁街道所有收入和支出均纳入部门预算管理。收入包括：一般公共预算拨款收入；支出包括：一般公共服务支出、社会保障和就业支出、卫生健康支出、农林水支出、住房保障支出、灾害防治和应急管理支出。西宁街道2021年收支总预算871.47万元，较2020年收支预算总数减少255.63万元，主要是对城乡社区支出减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（一）收入预算情况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西宁街道2021年收入预算871.47万元，其中：一般公共预算拨款收入871.47万元，占100%。</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（二）支出预算情况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西宁街道，2021年支出预算871.47万元，其中：基本支出818.87万元，占93.96%；项目支出52.6万元，占6.04%。</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四、财政拨款收支预算情况说明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西宁街道，2021年收支总预算871.47万元，较2020年收支预算总数减少255.63万元，主要是对城乡社区支出减少。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收入包括：本年一般公共预算拨款收入871.47万元；支出包括：一般公共服务支出470.43万元、社会保障和就业支出65.98万元、卫生健康支出27.78万元、城乡社区支出20万元、农林水支出210.19万元、住房保障支出62.09万元、灾害防治及应急管理支出15万元。</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五、一般公共预算当年拨款情况说明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（一）一般公共预算当年拨款规模变化情况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color w:val="0000FF"/>
                <w:sz w:val="32"/>
                <w:szCs w:val="32"/>
              </w:rPr>
            </w:pPr>
            <w:r>
              <w:rPr>
                <w:rFonts w:hint="default" w:ascii="Times New Roman" w:hAnsi="Times New Roman" w:eastAsia="仿宋_GB2312" w:cs="Times New Roman"/>
                <w:color w:val="333333"/>
                <w:sz w:val="32"/>
                <w:szCs w:val="32"/>
              </w:rPr>
              <w:t>西宁街道，2021年收支总预算871.47万元，较2020年收支预算总数减少255.63万元，主要是对城乡社区支出减少。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（二）一般公共预算当年拨款结构情况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一般公共服务支出470.43万元，占53.98%；社会保障和就业支出65.98万元，占7.57%；卫生健康支出27.78万元，3.18%；城乡社区支出20万元，占2.3%；农林水支出210.19万元，占24.12%；住房保障支出62.09万元，占7.13%；灾害防治及应急管理支出15万元，占1.72%。</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（三）一般公共预算当年拨款具体使用情况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 一般公共服务（201）政府办公厅（室）及相关事务（03）行政运行（01）：2021年预算数为323.89万元，主要用于：西宁街道行政人员</w:t>
            </w:r>
            <w:bookmarkStart w:id="0" w:name="_GoBack"/>
            <w:bookmarkEnd w:id="0"/>
            <w:r>
              <w:rPr>
                <w:rFonts w:hint="default" w:ascii="Times New Roman" w:hAnsi="Times New Roman" w:eastAsia="仿宋_GB2312" w:cs="Times New Roman"/>
                <w:color w:val="333333"/>
                <w:sz w:val="32"/>
                <w:szCs w:val="32"/>
              </w:rPr>
              <w:t>及参公管理单位政策运转的基本支出，包括基本工资、津贴补贴等人员经费以及办公费、印刷费、水电费等日常公用经费。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 一般公共服务（201）政府办公厅（室）及相关事务（03）事业运行（50）：2021年预算数为108.44万元，主要用于我单位事业人员工资、绩效工资以及事业人员相关办公经费。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3.一般公共服务（201）政府办公厅（室）及相关事务（11） 其他纪检监察事务支出（99）：2021年预算数为8.6万元，主要用于：纪检监察阵地购办公设备。</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4.一般公共服务（201）政府办公厅（室）及相关事务（99） 一般公共服务支出（99）：2021年预算数为9.5万元，主要用于：街道应急工作租用车辆、劳务开支。</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5.社会保障和就业支出（208）行政事业单位养老支出（05）行政单位离退休（01）：2021年预算数为0.54万元，主要用于：离退休人员活动经费。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6.社会保障和就业支出（208）行政事业单位养老支出（05）机关事业单位基本养老保险缴费支出（05）：2021年预算数为41.4万元，主要用于：机关行政事业人员缴纳养老保险。</w:t>
            </w:r>
          </w:p>
          <w:p>
            <w:pPr>
              <w:pStyle w:val="8"/>
              <w:keepNext w:val="0"/>
              <w:keepLines w:val="0"/>
              <w:pageBreakBefore w:val="0"/>
              <w:widowControl/>
              <w:kinsoku/>
              <w:wordWrap/>
              <w:overflowPunct/>
              <w:topLinePunct w:val="0"/>
              <w:autoSpaceDE/>
              <w:autoSpaceDN/>
              <w:bidi w:val="0"/>
              <w:adjustRightInd/>
              <w:snapToGrid/>
              <w:spacing w:after="100" w:line="560" w:lineRule="exact"/>
              <w:ind w:firstLine="800" w:firstLineChars="25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7.社会保障和就业支出（208）行政事业单位养老支出（05）机关事业单位职业年金缴费支出（06）：2021年预算数为20.7万元，主要用于：机关行政事业人员缴纳职业年金。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333333"/>
                <w:sz w:val="32"/>
                <w:szCs w:val="32"/>
              </w:rPr>
              <w:t>8.社会保障和就业支出（208）行政事业单位养老支出（05）  其他行政事业单位养老支出（99）：2021年预算数为3.34万元，</w:t>
            </w:r>
            <w:r>
              <w:rPr>
                <w:rFonts w:hint="default" w:ascii="Times New Roman" w:hAnsi="Times New Roman" w:eastAsia="仿宋_GB2312" w:cs="Times New Roman"/>
                <w:sz w:val="32"/>
                <w:szCs w:val="32"/>
              </w:rPr>
              <w:t>主要用于：辞退民师补助。</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9. 卫生健康支出（210）行政事业单位医疗（11）行政单位医疗（01）：2021年预算数为27.78万元，主要用于：行政人员基本医疗保险。</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10.城乡社区支出（212）城乡社区环境卫生（05） 城乡社区环境卫生（01）:2021年预算数为20万元，主要用于：保洁以及其他环境卫生整治支出。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11. 农林水支出（213）扶贫（05）其他扶贫支出（99）：2021年预算数为9.18万元，主要用于：脱贫攻坚工作经费以及驻村工作队队员经费。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12. 农林水支出（213）农村综合改革（07）对村民委员会和党支部的补助（05）：2021年预算数为</w:t>
            </w:r>
            <w:r>
              <w:rPr>
                <w:rFonts w:hint="default" w:ascii="Times New Roman" w:hAnsi="Times New Roman" w:eastAsia="仿宋_GB2312" w:cs="Times New Roman"/>
                <w:sz w:val="32"/>
                <w:szCs w:val="32"/>
              </w:rPr>
              <w:t>201.01</w:t>
            </w:r>
            <w:r>
              <w:rPr>
                <w:rFonts w:hint="default" w:ascii="Times New Roman" w:hAnsi="Times New Roman" w:eastAsia="仿宋_GB2312" w:cs="Times New Roman"/>
                <w:color w:val="333333"/>
                <w:sz w:val="32"/>
                <w:szCs w:val="32"/>
              </w:rPr>
              <w:t>万元，主要用于：在职村干部和离任村干部补助。</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13.住房保障支出（221）保障性安居工程支出（01）其他保障性安居工程支出（99）：2021年预算数为9万元，主要用于：移交区域西城花园、广德小区物业运行经费。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住房保障支出（221）住房改革支出（02）住房公积金（01）：2021年预算数为53.09万元，主要用于：行政人员、事业人员住房公积金缴纳。</w:t>
            </w:r>
          </w:p>
          <w:p>
            <w:pPr>
              <w:pStyle w:val="8"/>
              <w:keepNext w:val="0"/>
              <w:keepLines w:val="0"/>
              <w:pageBreakBefore w:val="0"/>
              <w:widowControl/>
              <w:kinsoku/>
              <w:wordWrap/>
              <w:overflowPunct/>
              <w:topLinePunct w:val="0"/>
              <w:autoSpaceDE/>
              <w:autoSpaceDN/>
              <w:bidi w:val="0"/>
              <w:adjustRightInd/>
              <w:snapToGrid/>
              <w:spacing w:after="100" w:line="560" w:lineRule="exact"/>
              <w:ind w:firstLine="480" w:firstLineChars="15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15.灾害防治及应急管理支出（224）森林消防事务（03）一般行政管理事务（02）：2021年预算数为15万元，主要用于：森林防火相关事务支出。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六、一般公共预算基本支出情况说明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西宁街道2021年一般公共预算基本支出818.87万元，其中：人员经费555.47万元，主要包括：基本工资、津贴补贴、奖金、绩效工资、机关事业单位基本养老保险缴费、职业年金缴费、职工基本医疗保险缴费、其他社会保险缴费、住房公积金、生活补助。</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公用经费263.40万元，主要包括：商品服务支出、办公费、印刷费、电费、差旅费、租赁费、公务接待费、劳务费、福利费、公务用车运行维护费、其他交通费用、其他商品和服务支出。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西宁街道2021年使用财政拨款安排“三公”经费预算6万元。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（一）因公出国（境）经费较2020年预算持平，两年均未安排因公出国（境）经费。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（二）公务接待费5.85万元，较2020年预算增长2.85万元，</w:t>
            </w:r>
            <w:r>
              <w:rPr>
                <w:rFonts w:hint="default" w:ascii="Times New Roman" w:hAnsi="Times New Roman" w:eastAsia="仿宋_GB2312" w:cs="Times New Roman"/>
                <w:color w:val="auto"/>
                <w:sz w:val="32"/>
                <w:szCs w:val="32"/>
                <w:lang w:val="en-US" w:eastAsia="zh-CN"/>
              </w:rPr>
              <w:t>单位2019年由西宁乡</w:t>
            </w:r>
            <w:r>
              <w:rPr>
                <w:rFonts w:hint="eastAsia" w:ascii="Times New Roman" w:hAnsi="Times New Roman" w:eastAsia="仿宋_GB2312" w:cs="Times New Roman"/>
                <w:color w:val="auto"/>
                <w:sz w:val="32"/>
                <w:szCs w:val="32"/>
                <w:lang w:val="en-US" w:eastAsia="zh-CN"/>
              </w:rPr>
              <w:t>政府</w:t>
            </w:r>
            <w:r>
              <w:rPr>
                <w:rFonts w:hint="default" w:ascii="Times New Roman" w:hAnsi="Times New Roman" w:eastAsia="仿宋_GB2312" w:cs="Times New Roman"/>
                <w:color w:val="auto"/>
                <w:sz w:val="32"/>
                <w:szCs w:val="32"/>
                <w:lang w:val="en-US" w:eastAsia="zh-CN"/>
              </w:rPr>
              <w:t>改为西宁街道办事处，且从管辖区域由船山区划拨给高新区，预计当年接待工作增加较大，因此增加预算支出</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（三）公务用车购置及运行维护费6万元，较2020年预算持平，安排公务用车购置及运行维护费。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部门现有1辆公务用车。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2021年未安排公务用车购置费。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2021年安排公务用车运行维护费。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西宁街道2021年“会议费”“培训费”“差旅费”财政拨款预算数35万元，其中：差旅费35万元，会议费0万元，培训费0万元。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1.会议费较2020年预算保持不变。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2.培训费较2020年预算保持不变。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3.差旅费较2020年预算增长49.6%。主要原因是划入高新区后下村补助纳入年初预算。</w:t>
            </w:r>
          </w:p>
          <w:p>
            <w:pPr>
              <w:pStyle w:val="8"/>
              <w:keepNext w:val="0"/>
              <w:keepLines w:val="0"/>
              <w:pageBreakBefore w:val="0"/>
              <w:widowControl/>
              <w:kinsoku/>
              <w:wordWrap/>
              <w:overflowPunct/>
              <w:topLinePunct w:val="0"/>
              <w:autoSpaceDE/>
              <w:autoSpaceDN/>
              <w:bidi w:val="0"/>
              <w:adjustRightInd/>
              <w:snapToGrid/>
              <w:spacing w:after="100" w:line="560" w:lineRule="exact"/>
              <w:ind w:firstLine="800" w:firstLineChars="250"/>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九、政府性基金预算支出情况说明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西宁街道2021年没有使用政府性基金预算拨款安排的支出。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十、国有资本经营预算支出情况说明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西宁街道2021年没有使用国有资本经营预算拨款安排的支出。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十一、其他重要事项的情况说明</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rPr>
              <w:t>（一）机关运行经费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2021年，西宁街道无下属单位，机关运行经费财政拨款预算为263.40万元，比2020年预算减少32.61万元，减少14.13%，主要原因是严格执行中央八项规定管理，加强厉行节约，强化内部财务管理。</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（二）政府采购情况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西宁街道2021年无政府采购项目，未安排政府采购预算。。</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（三）国有资产占有使用情况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截至2020年底，西宁街道所属各预算单位共有车辆1辆，其中，地厅级领导干部用车0辆、定向保障用车1辆、执法执勤用车0辆。单位价值200万元以上大型设备0台（套）。</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4"/>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2021年部门预算未安排购置车辆及单位价值200万元以上大型设备。</w:t>
            </w:r>
          </w:p>
          <w:p>
            <w:pPr>
              <w:pStyle w:val="8"/>
              <w:keepNext w:val="0"/>
              <w:keepLines w:val="0"/>
              <w:pageBreakBefore w:val="0"/>
              <w:widowControl/>
              <w:kinsoku/>
              <w:wordWrap/>
              <w:overflowPunct/>
              <w:topLinePunct w:val="0"/>
              <w:autoSpaceDE/>
              <w:autoSpaceDN/>
              <w:bidi w:val="0"/>
              <w:adjustRightInd/>
              <w:snapToGrid/>
              <w:spacing w:after="100" w:line="560" w:lineRule="exact"/>
              <w:ind w:firstLine="482" w:firstLineChars="15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333333"/>
                <w:sz w:val="32"/>
                <w:szCs w:val="32"/>
              </w:rPr>
              <w:t>（四）绩效目标设置情况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仿宋_GB2312" w:cs="Times New Roman"/>
                <w:color w:val="333333"/>
                <w:sz w:val="32"/>
                <w:szCs w:val="32"/>
              </w:rPr>
              <w:t>绩效目标是预算编制的前提和基础，按照“费随事定”的原则，2021年西宁街道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rPr>
              <w:t>十二、名词解释</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 一般公共预算拨款收入：指区本级财政当年拨付的资金。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2. 基本支出：指为保证机构正常运转，完成日常工作任务而发生的人员支出和公用支出。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3. 项目支出：指在基本支出之外为完成特定行政任务和事业发展目标所发生的支出。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4.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5. 一般公共服务（201）政府办公厅（室）及相关事务（03）行政运行（01）：指行政单位（包括实行公务员管理的事业单位）的基本支出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6. 一般公共服务（201）政府办公厅（室）及相关事务（03）事业运行（50）：反映事业单位的基本支出，不包括行政单位后勤服务中心、医务室等附属事业单位。</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7.一般公共服务（201）政府办公厅（室）及相关事务（11） 其他纪检监察事务支出（99）：反映纪检监察事务支出。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8.一般公共服务（201）政府办公厅（室）及相关事务（99） 一般公共服务支出（99）：反映街道应急工作租用车辆、劳务开支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9.社会保障和就业支出（208）行政事业单位养老支出（05）行政单位离退休（01）：反映行政事业单位离退休经费。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10.社会保障和就业支出（208）行政事业单位养老支出（05）机关事业单位基本养老保险缴费支出（05）：指部门实施养老保险制度由单位缴纳的养老保险费的支出。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11.社会保障和就业支出（208）行政事业单位养老支出（05）机关事业单位职业年金缴费支出（06）：反映行政事业单位职业年金缴费。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12.社会保障和就业支出（208）行政事业单位养老支出（05）  其他行政事业单位养老支出（99）：指除上述项目外，其他用于行政事业单位离退休方面的支出。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13. 卫生健康支出（210）行政事业单位医疗（11）行政单位医疗（01）：指行政机关及参公管理事业单位、事业单位用于缴纳单位基本医疗保险支出。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14.城乡社区支出（212）城乡社区环境卫生（05） 城乡社区环境卫生（01）:指城乡社区道路清扫、垃圾清运与处理、公厕建设与维护、园林绿化等方面的支出。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15. 农林水支出（213）扶贫（05）其他扶贫支出（99）：反映除上述项目外其他扶贫支出。</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16. 农林水支出（213）农村综合改革（07）对村民委员会和党支部的补助（05）：指各级财政对村民委员会和村党支部的补助支出，以及支出建立县级基本财力保障机制安排的村级组织运转奖补资金。。</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17.住房保障支出（221）保障性安居工程支出（01）其他保障性安居工程支出（99）：指安置小区物业保障运行经费。</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住房保障支出（221）住房改革支出（02）住房公积金（01）：</w:t>
            </w:r>
            <w:r>
              <w:rPr>
                <w:rFonts w:hint="default" w:ascii="Times New Roman" w:hAnsi="Times New Roman" w:eastAsia="仿宋_GB2312" w:cs="Times New Roman"/>
                <w:color w:val="333333"/>
                <w:sz w:val="32"/>
                <w:szCs w:val="32"/>
              </w:rPr>
              <w:t>指按照《住房公积金管理条例》的规定，由单位及其在职职工缴存的长期住房储金</w:t>
            </w:r>
            <w:r>
              <w:rPr>
                <w:rFonts w:hint="default" w:ascii="Times New Roman" w:hAnsi="Times New Roman" w:eastAsia="仿宋_GB2312" w:cs="Times New Roman"/>
                <w:sz w:val="32"/>
                <w:szCs w:val="32"/>
              </w:rPr>
              <w:t>。</w:t>
            </w:r>
          </w:p>
          <w:p>
            <w:pPr>
              <w:pStyle w:val="8"/>
              <w:keepNext w:val="0"/>
              <w:keepLines w:val="0"/>
              <w:pageBreakBefore w:val="0"/>
              <w:widowControl/>
              <w:kinsoku/>
              <w:wordWrap/>
              <w:overflowPunct/>
              <w:topLinePunct w:val="0"/>
              <w:autoSpaceDE/>
              <w:autoSpaceDN/>
              <w:bidi w:val="0"/>
              <w:adjustRightInd/>
              <w:snapToGrid/>
              <w:spacing w:after="100" w:line="560" w:lineRule="exact"/>
              <w:ind w:firstLine="632"/>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19.灾害防治及应急管理支出（224）森林消防事务（03）一般行政管理事务（02）：反映行政单位未单独设立项级科目的其他项目支出。</w:t>
            </w:r>
          </w:p>
          <w:p>
            <w:pPr>
              <w:pStyle w:val="8"/>
              <w:widowControl/>
              <w:spacing w:after="100" w:line="560" w:lineRule="atLeast"/>
              <w:ind w:firstLine="632"/>
              <w:rPr>
                <w:rFonts w:ascii="仿宋_GB2312" w:hAnsi="微软雅黑" w:eastAsia="仿宋_GB2312" w:cs="仿宋_GB2312"/>
                <w:color w:val="333333"/>
                <w:sz w:val="32"/>
                <w:szCs w:val="32"/>
              </w:rPr>
            </w:pPr>
          </w:p>
          <w:p>
            <w:pPr>
              <w:pStyle w:val="8"/>
              <w:widowControl/>
              <w:spacing w:after="100" w:line="560" w:lineRule="atLeast"/>
              <w:ind w:firstLine="632"/>
              <w:rPr>
                <w:rFonts w:ascii="仿宋_GB2312" w:hAnsi="微软雅黑" w:eastAsia="仿宋_GB2312" w:cs="仿宋_GB2312"/>
                <w:color w:val="333333"/>
                <w:sz w:val="32"/>
                <w:szCs w:val="32"/>
              </w:rPr>
            </w:pPr>
          </w:p>
          <w:p>
            <w:pPr>
              <w:pStyle w:val="8"/>
              <w:widowControl/>
              <w:spacing w:after="100" w:line="560" w:lineRule="atLeast"/>
              <w:ind w:firstLine="632"/>
              <w:rPr>
                <w:rFonts w:ascii="仿宋_GB2312" w:hAnsi="微软雅黑" w:eastAsia="仿宋_GB2312" w:cs="仿宋_GB2312"/>
                <w:color w:val="333333"/>
                <w:sz w:val="32"/>
                <w:szCs w:val="32"/>
              </w:rPr>
            </w:pPr>
          </w:p>
          <w:p>
            <w:pPr>
              <w:pStyle w:val="8"/>
              <w:widowControl/>
              <w:spacing w:after="100" w:line="560" w:lineRule="atLeast"/>
              <w:ind w:firstLine="632"/>
              <w:rPr>
                <w:sz w:val="27"/>
                <w:szCs w:val="27"/>
              </w:rPr>
            </w:pPr>
            <w:r>
              <w:rPr>
                <w:rFonts w:ascii="仿宋_GB2312" w:hAnsi="微软雅黑" w:eastAsia="仿宋_GB2312" w:cs="仿宋_GB2312"/>
                <w:color w:val="333333"/>
                <w:sz w:val="32"/>
                <w:szCs w:val="32"/>
              </w:rPr>
              <w:t> </w:t>
            </w:r>
          </w:p>
        </w:tc>
        <w:tc>
          <w:tcPr>
            <w:tcW w:w="10260" w:type="dxa"/>
            <w:shd w:val="clear" w:color="auto" w:fill="FFFFFF"/>
            <w:tcMar>
              <w:top w:w="100" w:type="dxa"/>
              <w:bottom w:w="100" w:type="dxa"/>
            </w:tcMar>
            <w:vAlign w:val="center"/>
          </w:tcPr>
          <w:p>
            <w:pPr>
              <w:pStyle w:val="8"/>
              <w:widowControl/>
              <w:spacing w:after="100" w:line="560" w:lineRule="atLeast"/>
              <w:ind w:firstLine="1257"/>
              <w:rPr>
                <w:rFonts w:ascii="Calibri" w:hAnsi="Calibri" w:eastAsia="微软雅黑" w:cs="Calibri"/>
                <w:color w:val="333333"/>
                <w:sz w:val="22"/>
                <w:szCs w:val="22"/>
              </w:rPr>
            </w:pP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4697E"/>
    <w:multiLevelType w:val="multilevel"/>
    <w:tmpl w:val="4ED4697E"/>
    <w:lvl w:ilvl="0" w:tentative="0">
      <w:start w:val="1"/>
      <w:numFmt w:val="japaneseCounting"/>
      <w:lvlText w:val="（%1）"/>
      <w:lvlJc w:val="left"/>
      <w:pPr>
        <w:ind w:left="1714" w:hanging="1080"/>
      </w:pPr>
      <w:rPr>
        <w:rFonts w:hint="default" w:ascii="仿宋_GB2312" w:hAnsi="微软雅黑" w:eastAsia="仿宋_GB2312" w:cs="仿宋_GB2312"/>
        <w:b/>
        <w:color w:val="333333"/>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YzNjBkOTgyNWQ1YTMxYzM3MzMwNWFiODNmOWIzYWMifQ=="/>
  </w:docVars>
  <w:rsids>
    <w:rsidRoot w:val="623165C9"/>
    <w:rsid w:val="00012754"/>
    <w:rsid w:val="000165E8"/>
    <w:rsid w:val="00017B9C"/>
    <w:rsid w:val="00036549"/>
    <w:rsid w:val="00042FEC"/>
    <w:rsid w:val="00061A26"/>
    <w:rsid w:val="000C6400"/>
    <w:rsid w:val="000F1C6F"/>
    <w:rsid w:val="00104413"/>
    <w:rsid w:val="00143B17"/>
    <w:rsid w:val="00186A99"/>
    <w:rsid w:val="0022313B"/>
    <w:rsid w:val="0024367C"/>
    <w:rsid w:val="00243CDD"/>
    <w:rsid w:val="00263D2F"/>
    <w:rsid w:val="002E294B"/>
    <w:rsid w:val="00446CD2"/>
    <w:rsid w:val="004718DD"/>
    <w:rsid w:val="00494C1C"/>
    <w:rsid w:val="004C3835"/>
    <w:rsid w:val="00566CDC"/>
    <w:rsid w:val="005A37E4"/>
    <w:rsid w:val="00621BF5"/>
    <w:rsid w:val="006A2A95"/>
    <w:rsid w:val="006A31C0"/>
    <w:rsid w:val="006E4C00"/>
    <w:rsid w:val="007D0E6D"/>
    <w:rsid w:val="007E5168"/>
    <w:rsid w:val="009122AB"/>
    <w:rsid w:val="009F5AFE"/>
    <w:rsid w:val="00A50EC8"/>
    <w:rsid w:val="00A85B06"/>
    <w:rsid w:val="00C07409"/>
    <w:rsid w:val="00C620FB"/>
    <w:rsid w:val="00C90334"/>
    <w:rsid w:val="00D43B68"/>
    <w:rsid w:val="00DA7639"/>
    <w:rsid w:val="00DD4A28"/>
    <w:rsid w:val="00DD51F6"/>
    <w:rsid w:val="00E10651"/>
    <w:rsid w:val="00F22F19"/>
    <w:rsid w:val="00F428D7"/>
    <w:rsid w:val="00FD5395"/>
    <w:rsid w:val="00FE6CEC"/>
    <w:rsid w:val="08D17AEF"/>
    <w:rsid w:val="0A2E7961"/>
    <w:rsid w:val="1A4562AF"/>
    <w:rsid w:val="26235A9C"/>
    <w:rsid w:val="2E030BBB"/>
    <w:rsid w:val="319C0556"/>
    <w:rsid w:val="623165C9"/>
    <w:rsid w:val="65B53514"/>
    <w:rsid w:val="6C860494"/>
    <w:rsid w:val="6FBC761B"/>
    <w:rsid w:val="72460ABE"/>
    <w:rsid w:val="75AC7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rPr>
      <w:rFonts w:cs="Times New Roman"/>
      <w:kern w:val="0"/>
    </w:rPr>
  </w:style>
  <w:style w:type="paragraph" w:styleId="4">
    <w:name w:val="Body Text"/>
    <w:basedOn w:val="1"/>
    <w:qFormat/>
    <w:uiPriority w:val="0"/>
    <w:pPr>
      <w:spacing w:beforeLines="30"/>
    </w:pPr>
    <w:rPr>
      <w:rFonts w:ascii="仿宋_GB2312" w:eastAsia="仿宋_GB2312"/>
      <w:sz w:val="30"/>
    </w:rPr>
  </w:style>
  <w:style w:type="paragraph" w:styleId="5">
    <w:name w:val="Plain Text"/>
    <w:basedOn w:val="1"/>
    <w:next w:val="1"/>
    <w:qFormat/>
    <w:uiPriority w:val="0"/>
    <w:rPr>
      <w:rFonts w:ascii="宋体" w:hAnsi="Courier New" w:cs="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rPr>
  </w:style>
  <w:style w:type="character" w:styleId="11">
    <w:name w:val="Strong"/>
    <w:basedOn w:val="10"/>
    <w:qFormat/>
    <w:uiPriority w:val="0"/>
    <w:rPr>
      <w:b/>
    </w:rPr>
  </w:style>
  <w:style w:type="character" w:styleId="12">
    <w:name w:val="Hyperlink"/>
    <w:basedOn w:val="10"/>
    <w:unhideWhenUsed/>
    <w:qFormat/>
    <w:uiPriority w:val="99"/>
    <w:rPr>
      <w:color w:val="337AB7"/>
      <w:u w:val="none"/>
      <w:shd w:val="clear" w:color="auto" w:fill="auto"/>
    </w:rPr>
  </w:style>
  <w:style w:type="paragraph" w:customStyle="1" w:styleId="13">
    <w:name w:val="章标题"/>
    <w:basedOn w:val="1"/>
    <w:next w:val="14"/>
    <w:qFormat/>
    <w:uiPriority w:val="99"/>
    <w:pPr>
      <w:widowControl/>
      <w:spacing w:before="158" w:after="153" w:line="323" w:lineRule="atLeast"/>
      <w:ind w:right="-120"/>
      <w:jc w:val="center"/>
      <w:textAlignment w:val="baseline"/>
    </w:pPr>
    <w:rPr>
      <w:color w:val="FF0000"/>
      <w:sz w:val="18"/>
    </w:rPr>
  </w:style>
  <w:style w:type="paragraph" w:customStyle="1" w:styleId="14">
    <w:name w:val="节标题"/>
    <w:basedOn w:val="1"/>
    <w:next w:val="1"/>
    <w:qFormat/>
    <w:uiPriority w:val="0"/>
    <w:pPr>
      <w:widowControl/>
      <w:spacing w:line="289" w:lineRule="atLeast"/>
      <w:jc w:val="center"/>
      <w:textAlignment w:val="baseline"/>
    </w:pPr>
    <w:rPr>
      <w:color w:val="000000"/>
      <w:sz w:val="28"/>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5966</Words>
  <Characters>6565</Characters>
  <Lines>47</Lines>
  <Paragraphs>13</Paragraphs>
  <TotalTime>93</TotalTime>
  <ScaleCrop>false</ScaleCrop>
  <LinksUpToDate>false</LinksUpToDate>
  <CharactersWithSpaces>6626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2021-06-11T01:01:00Z</dcterms:created>
  <dc:creator>霖霖</dc:creator>
  <cp:lastModifiedBy>x</cp:lastModifiedBy>
  <dcterms:modified xsi:type="dcterms:W3CDTF">2025-06-20T07:11:13Z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B177532F438D4A7D8A64EC2B976B0A7D</vt:lpwstr>
  </property>
</Properties>
</file>