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FF2BD">
      <w:pPr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年度高新技术开发区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区级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一般公共</w:t>
      </w:r>
    </w:p>
    <w:p w14:paraId="0C92055A">
      <w:pPr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预算收入决算的说明</w:t>
      </w:r>
    </w:p>
    <w:p w14:paraId="73911890">
      <w:pPr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055E1119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年高新区一般公共预算收入决算数为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612 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102.1 </w:t>
      </w:r>
      <w:r>
        <w:rPr>
          <w:rFonts w:ascii="Times New Roman" w:hAnsi="Times New Roman" w:eastAsia="仿宋_GB2312" w:cs="Times New Roman"/>
          <w:sz w:val="32"/>
          <w:szCs w:val="32"/>
        </w:rPr>
        <w:t>%，主要是受执行中国家新增出台税收优惠政策影响。</w:t>
      </w:r>
    </w:p>
    <w:p w14:paraId="3A2012E1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一、增值税预算数为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204 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6,883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万元，为预算的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132.3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41170C9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二、企业所得税预算数为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221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1,059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47.7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%，主要是2022 年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月以来，国家新增出台了制造业中小微企业延缓缴纳企业所得税、小型微利企业再减半征收企业所得税等税收优惠政策。</w:t>
      </w:r>
    </w:p>
    <w:p w14:paraId="346AF6B8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三、个人所得税预算数为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417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408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97.8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%，主要是 2022 年 2 月以来，国家新增出台了制造业中小微企业延缓缴纳个人所得税、支持居民换购住房个人所得税优惠等税收优惠政策。</w:t>
      </w:r>
    </w:p>
    <w:p w14:paraId="671D378B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四、资源税预算数为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280 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128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45.7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%。</w:t>
      </w:r>
    </w:p>
    <w:p w14:paraId="6DCFC325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五、城市维护建设税预算数为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826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1,224万元</w:t>
      </w:r>
      <w:r>
        <w:rPr>
          <w:rFonts w:ascii="Times New Roman" w:hAnsi="Times New Roman" w:eastAsia="仿宋_GB2312" w:cs="Times New Roman"/>
          <w:sz w:val="32"/>
          <w:szCs w:val="32"/>
        </w:rPr>
        <w:t>，为预算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148.2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%。</w:t>
      </w:r>
    </w:p>
    <w:p w14:paraId="057A3604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六、房产税预算数为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560 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2,318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413.9 </w:t>
      </w:r>
      <w:r>
        <w:rPr>
          <w:rFonts w:ascii="Times New Roman" w:hAnsi="Times New Roman" w:eastAsia="仿宋_GB2312" w:cs="Times New Roman"/>
          <w:sz w:val="32"/>
          <w:szCs w:val="32"/>
        </w:rPr>
        <w:t>%。</w:t>
      </w:r>
    </w:p>
    <w:p w14:paraId="5E129EE0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七、印花税预算数为499 万元，决算数为747万元，为预算149.7 %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738F9F5E"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八</w:t>
      </w:r>
      <w:r>
        <w:rPr>
          <w:rFonts w:ascii="Times New Roman" w:hAnsi="Times New Roman" w:eastAsia="仿宋_GB2312" w:cs="Times New Roman"/>
          <w:sz w:val="32"/>
          <w:szCs w:val="32"/>
        </w:rPr>
        <w:t>、城镇土地使用税预算数为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016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1,090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107.3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%。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园区重点企业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占用的土地面积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增加。</w:t>
      </w:r>
    </w:p>
    <w:p w14:paraId="1796BDDD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九、土地增值税预算数719万元，决算数3,002万元，为预算417.5 %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主要是园区重点企业进行了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土地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增值税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缴纳清算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170E93D1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十、车船税预算数141 万元，决算数159万元，为预算112.8 %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主要是促消费活动促进车辆购买数量增多。</w:t>
      </w:r>
    </w:p>
    <w:p w14:paraId="5CEC4E67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十一、耕地占用税预算数6656万元，决算数2,406万元，为预算36.1 %，主要是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往年的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耕地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占用税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滞纳金已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缴纳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，今年滞纳金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纳减少。</w:t>
      </w:r>
    </w:p>
    <w:p w14:paraId="4777E481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十二、契税预算数10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691 万元，决算数4,015万元，为预算37.6 %，主要是</w:t>
      </w:r>
      <w:r>
        <w:rPr>
          <w:rFonts w:ascii="Times New Roman" w:hAnsi="Times New Roman" w:eastAsia="仿宋_GB2312" w:cs="Times New Roman"/>
          <w:sz w:val="32"/>
          <w:szCs w:val="32"/>
        </w:rPr>
        <w:t>因为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一次性契税</w:t>
      </w:r>
      <w:r>
        <w:rPr>
          <w:rFonts w:ascii="Times New Roman" w:hAnsi="Times New Roman" w:eastAsia="仿宋_GB2312" w:cs="Times New Roman"/>
          <w:sz w:val="32"/>
          <w:szCs w:val="32"/>
        </w:rPr>
        <w:t>收入减少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</w:t>
      </w:r>
      <w:r>
        <w:rPr>
          <w:rFonts w:ascii="Times New Roman" w:hAnsi="Times New Roman" w:eastAsia="仿宋_GB2312" w:cs="Times New Roman"/>
          <w:sz w:val="32"/>
          <w:szCs w:val="32"/>
        </w:rPr>
        <w:t>增量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房</w:t>
      </w:r>
      <w:r>
        <w:rPr>
          <w:rFonts w:ascii="Times New Roman" w:hAnsi="Times New Roman" w:eastAsia="仿宋_GB2312" w:cs="Times New Roman"/>
          <w:sz w:val="32"/>
          <w:szCs w:val="32"/>
        </w:rPr>
        <w:t>交易契税收入减少。</w:t>
      </w:r>
    </w:p>
    <w:p w14:paraId="5AF4BD19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环境保护税预算数为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140.0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%。</w:t>
      </w:r>
    </w:p>
    <w:p w14:paraId="10700873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四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、专项收入预算数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891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1,316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147.7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%。</w:t>
      </w:r>
    </w:p>
    <w:p w14:paraId="133B6B30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五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、行政事业性收费收入预算数为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181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111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万元，为预算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的61.3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%，保教费收入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减少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736E15F3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六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、罚没收入预算数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 xml:space="preserve">为192 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万元，决算数为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 xml:space="preserve">119 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万元，为预算的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62.0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 xml:space="preserve"> %，主要对占用道路破坏绿化一次性罚没收入较上年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减少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53EDA277">
      <w:pPr>
        <w:widowControl/>
        <w:ind w:firstLine="640" w:firstLineChars="200"/>
        <w:rPr>
          <w:rFonts w:ascii="Arial Unicode MS" w:hAnsi="Arial Unicode MS" w:eastAsia="Arial Unicode MS" w:cs="Arial Unicode MS"/>
          <w:color w:val="000000"/>
          <w:kern w:val="0"/>
          <w:sz w:val="2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七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国有资源（资产）有偿使用收入预算数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515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决算数为28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,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620万元，为预算139.5 %，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主要是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企业租金收入有所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增加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5BC1A79E">
      <w:p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十八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捐赠收入决算数为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wNmZlNzNjODc1ZTRiNDIwMGQ5MzZhMWZiMTgxMDAifQ=="/>
  </w:docVars>
  <w:rsids>
    <w:rsidRoot w:val="005D577E"/>
    <w:rsid w:val="000664D5"/>
    <w:rsid w:val="002266F9"/>
    <w:rsid w:val="004E3972"/>
    <w:rsid w:val="005D577E"/>
    <w:rsid w:val="00622B31"/>
    <w:rsid w:val="00EC0026"/>
    <w:rsid w:val="1758000F"/>
    <w:rsid w:val="19D567C0"/>
    <w:rsid w:val="2C47211C"/>
    <w:rsid w:val="446F129A"/>
    <w:rsid w:val="47426EBF"/>
    <w:rsid w:val="47AD64C0"/>
    <w:rsid w:val="59AF0EAB"/>
    <w:rsid w:val="5C393CEE"/>
    <w:rsid w:val="5D9E786E"/>
    <w:rsid w:val="6A671437"/>
    <w:rsid w:val="6AFFFF6C"/>
    <w:rsid w:val="6D7E7CE6"/>
    <w:rsid w:val="7A5B3996"/>
    <w:rsid w:val="7FB7D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996</Words>
  <Characters>1182</Characters>
  <Lines>8</Lines>
  <Paragraphs>2</Paragraphs>
  <TotalTime>51</TotalTime>
  <ScaleCrop>false</ScaleCrop>
  <LinksUpToDate>false</LinksUpToDate>
  <CharactersWithSpaces>1218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2023-08-31T18:12:00Z</dcterms:created>
  <dc:creator>黄 明秋</dc:creator>
  <cp:lastModifiedBy>普雅</cp:lastModifiedBy>
  <dcterms:modified xsi:type="dcterms:W3CDTF">2024-09-18T02:37:42Z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85DA8F21402F42C0A5DA5805A024B4AB_12</vt:lpwstr>
  </property>
</Properties>
</file>