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kinsoku w:val="0"/>
        <w:autoSpaceDE w:val="0"/>
        <w:autoSpaceDN w:val="0"/>
        <w:adjustRightInd w:val="0"/>
        <w:snapToGrid w:val="0"/>
        <w:spacing w:before="165" w:line="221" w:lineRule="auto"/>
        <w:ind w:left="2094" w:right="499" w:hanging="1161" w:firstLineChars="0"/>
        <w:jc w:val="left"/>
        <w:textAlignment w:val="baseline"/>
        <w:outlineLvl w:val="0"/>
        <w:rPr>
          <w:rFonts w:ascii="Times New Roman" w:hAnsi="Times New Roman" w:eastAsia="Times New Roman" w:cs="Times New Roman"/>
          <w:b/>
          <w:bCs/>
          <w:snapToGrid w:val="0"/>
          <w:color w:val="000000"/>
          <w:spacing w:val="8"/>
          <w:kern w:val="0"/>
          <w:sz w:val="51"/>
          <w:szCs w:val="51"/>
          <w:lang w:eastAsia="en-US"/>
        </w:rPr>
      </w:pPr>
    </w:p>
    <w:p>
      <w:pPr>
        <w:widowControl/>
        <w:kinsoku w:val="0"/>
        <w:autoSpaceDE w:val="0"/>
        <w:autoSpaceDN w:val="0"/>
        <w:adjustRightInd w:val="0"/>
        <w:snapToGrid w:val="0"/>
        <w:spacing w:before="165" w:line="221" w:lineRule="auto"/>
        <w:ind w:left="2094" w:right="499" w:hanging="1161" w:firstLineChars="0"/>
        <w:jc w:val="left"/>
        <w:textAlignment w:val="baseline"/>
        <w:outlineLvl w:val="0"/>
        <w:rPr>
          <w:rFonts w:ascii="Times New Roman" w:hAnsi="Times New Roman" w:eastAsia="Times New Roman" w:cs="Times New Roman"/>
          <w:b/>
          <w:bCs/>
          <w:snapToGrid w:val="0"/>
          <w:color w:val="000000"/>
          <w:spacing w:val="8"/>
          <w:kern w:val="0"/>
          <w:sz w:val="51"/>
          <w:szCs w:val="51"/>
          <w:lang w:eastAsia="en-US"/>
        </w:rPr>
      </w:pPr>
    </w:p>
    <w:p>
      <w:pPr>
        <w:widowControl/>
        <w:kinsoku w:val="0"/>
        <w:autoSpaceDE w:val="0"/>
        <w:autoSpaceDN w:val="0"/>
        <w:adjustRightInd w:val="0"/>
        <w:snapToGrid w:val="0"/>
        <w:spacing w:before="165" w:line="221" w:lineRule="auto"/>
        <w:ind w:left="2094" w:right="499" w:hanging="1161" w:firstLineChars="0"/>
        <w:jc w:val="left"/>
        <w:textAlignment w:val="baseline"/>
        <w:outlineLvl w:val="0"/>
        <w:rPr>
          <w:rFonts w:ascii="宋体" w:hAnsi="宋体" w:eastAsia="宋体" w:cs="宋体"/>
          <w:snapToGrid w:val="0"/>
          <w:color w:val="000000"/>
          <w:kern w:val="0"/>
          <w:sz w:val="51"/>
          <w:szCs w:val="51"/>
          <w:lang w:eastAsia="en-US"/>
        </w:rPr>
      </w:pPr>
      <w:r>
        <w:rPr>
          <w:rFonts w:ascii="Times New Roman" w:hAnsi="Times New Roman" w:eastAsia="Times New Roman" w:cs="Times New Roman"/>
          <w:b/>
          <w:bCs/>
          <w:snapToGrid w:val="0"/>
          <w:color w:val="000000"/>
          <w:spacing w:val="8"/>
          <w:kern w:val="0"/>
          <w:sz w:val="51"/>
          <w:szCs w:val="51"/>
          <w:lang w:eastAsia="en-US"/>
        </w:rPr>
        <w:t>202</w:t>
      </w:r>
      <w:r>
        <w:rPr>
          <w:rFonts w:hint="eastAsia" w:ascii="Times New Roman" w:hAnsi="Times New Roman" w:eastAsia="宋体" w:cs="Times New Roman"/>
          <w:b/>
          <w:bCs/>
          <w:snapToGrid w:val="0"/>
          <w:color w:val="000000"/>
          <w:spacing w:val="8"/>
          <w:kern w:val="0"/>
          <w:sz w:val="51"/>
          <w:szCs w:val="51"/>
          <w:lang w:val="en-US" w:eastAsia="zh-CN"/>
        </w:rPr>
        <w:t>3</w:t>
      </w:r>
      <w:r>
        <w:rPr>
          <w:rFonts w:ascii="宋体" w:hAnsi="宋体" w:eastAsia="宋体" w:cs="宋体"/>
          <w:snapToGrid w:val="0"/>
          <w:color w:val="000000"/>
          <w:spacing w:val="8"/>
          <w:kern w:val="0"/>
          <w:sz w:val="51"/>
          <w:szCs w:val="51"/>
          <w:lang w:eastAsia="en-US"/>
        </w:rPr>
        <w:t>年</w:t>
      </w:r>
      <w:r>
        <w:rPr>
          <w:rFonts w:hint="eastAsia" w:ascii="宋体" w:hAnsi="宋体" w:eastAsia="宋体" w:cs="宋体"/>
          <w:snapToGrid w:val="0"/>
          <w:color w:val="000000"/>
          <w:spacing w:val="8"/>
          <w:kern w:val="0"/>
          <w:sz w:val="51"/>
          <w:szCs w:val="51"/>
          <w:lang w:eastAsia="zh-CN"/>
        </w:rPr>
        <w:t>区</w:t>
      </w:r>
      <w:r>
        <w:rPr>
          <w:rFonts w:ascii="宋体" w:hAnsi="宋体" w:eastAsia="宋体" w:cs="宋体"/>
          <w:snapToGrid w:val="0"/>
          <w:color w:val="000000"/>
          <w:spacing w:val="8"/>
          <w:kern w:val="0"/>
          <w:sz w:val="51"/>
          <w:szCs w:val="51"/>
          <w:lang w:eastAsia="en-US"/>
        </w:rPr>
        <w:t>级政策（项目）支出</w:t>
      </w:r>
      <w:r>
        <w:rPr>
          <w:rFonts w:ascii="宋体" w:hAnsi="宋体" w:eastAsia="宋体" w:cs="宋体"/>
          <w:snapToGrid w:val="0"/>
          <w:color w:val="000000"/>
          <w:spacing w:val="9"/>
          <w:kern w:val="0"/>
          <w:sz w:val="51"/>
          <w:szCs w:val="51"/>
          <w:lang w:eastAsia="en-US"/>
        </w:rPr>
        <w:t>绩效评价报告汇编</w:t>
      </w:r>
    </w:p>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pStyle w:val="26"/>
      </w:pPr>
    </w:p>
    <w:p>
      <w:pPr>
        <w:spacing w:line="240" w:lineRule="auto"/>
        <w:ind w:left="0" w:leftChars="0" w:firstLine="0" w:firstLineChars="0"/>
        <w:jc w:val="center"/>
        <w:outlineLvl w:val="0"/>
        <w:rPr>
          <w:rFonts w:hint="default" w:ascii="微软雅黑" w:hAnsi="微软雅黑" w:eastAsia="微软雅黑" w:cs="微软雅黑"/>
          <w:sz w:val="30"/>
          <w:szCs w:val="30"/>
          <w:lang w:val="en-US" w:eastAsia="zh-CN"/>
        </w:rPr>
      </w:pPr>
      <w:bookmarkStart w:id="0" w:name="_Toc14921"/>
      <w:r>
        <w:rPr>
          <w:rFonts w:ascii="微软雅黑" w:hAnsi="微软雅黑" w:eastAsia="微软雅黑" w:cs="微软雅黑"/>
          <w:spacing w:val="-5"/>
          <w:sz w:val="30"/>
          <w:szCs w:val="30"/>
        </w:rPr>
        <w:t>四川</w:t>
      </w:r>
      <w:r>
        <w:rPr>
          <w:rFonts w:hint="eastAsia" w:ascii="微软雅黑" w:hAnsi="微软雅黑" w:eastAsia="微软雅黑" w:cs="微软雅黑"/>
          <w:spacing w:val="-5"/>
          <w:sz w:val="30"/>
          <w:szCs w:val="30"/>
          <w:lang w:val="en-US" w:eastAsia="zh-CN"/>
        </w:rPr>
        <w:t>遂宁高新技术产业园区管理委员会</w:t>
      </w:r>
      <w:bookmarkEnd w:id="0"/>
    </w:p>
    <w:p>
      <w:pPr>
        <w:spacing w:line="240" w:lineRule="auto"/>
        <w:ind w:left="0"/>
        <w:jc w:val="center"/>
        <w:rPr>
          <w:rFonts w:ascii="微软雅黑" w:hAnsi="微软雅黑" w:eastAsia="微软雅黑" w:cs="微软雅黑"/>
          <w:sz w:val="30"/>
          <w:szCs w:val="30"/>
        </w:rPr>
      </w:pPr>
      <w:r>
        <w:rPr>
          <w:rFonts w:ascii="Times New Roman" w:hAnsi="Times New Roman" w:eastAsia="Times New Roman" w:cs="Times New Roman"/>
          <w:b/>
          <w:bCs/>
          <w:spacing w:val="-5"/>
          <w:sz w:val="30"/>
          <w:szCs w:val="30"/>
        </w:rPr>
        <w:t>202</w:t>
      </w:r>
      <w:r>
        <w:rPr>
          <w:rFonts w:hint="eastAsia" w:eastAsia="宋体" w:cs="Times New Roman"/>
          <w:b/>
          <w:bCs/>
          <w:spacing w:val="-5"/>
          <w:sz w:val="30"/>
          <w:szCs w:val="30"/>
          <w:lang w:val="en-US" w:eastAsia="zh-CN"/>
        </w:rPr>
        <w:t>4</w:t>
      </w:r>
      <w:r>
        <w:rPr>
          <w:rFonts w:ascii="微软雅黑" w:hAnsi="微软雅黑" w:eastAsia="微软雅黑" w:cs="微软雅黑"/>
          <w:spacing w:val="-5"/>
          <w:sz w:val="30"/>
          <w:szCs w:val="30"/>
        </w:rPr>
        <w:t>年</w:t>
      </w:r>
      <w:r>
        <w:rPr>
          <w:rFonts w:hint="eastAsia" w:ascii="Times New Roman" w:hAnsi="Times New Roman" w:eastAsia="宋体" w:cs="Times New Roman"/>
          <w:b/>
          <w:bCs/>
          <w:spacing w:val="-5"/>
          <w:sz w:val="30"/>
          <w:szCs w:val="30"/>
          <w:lang w:val="en-US" w:eastAsia="zh-CN"/>
        </w:rPr>
        <w:t>9</w:t>
      </w:r>
      <w:r>
        <w:rPr>
          <w:rFonts w:ascii="微软雅黑" w:hAnsi="微软雅黑" w:eastAsia="微软雅黑" w:cs="微软雅黑"/>
          <w:spacing w:val="-5"/>
          <w:sz w:val="30"/>
          <w:szCs w:val="30"/>
        </w:rPr>
        <w:t>月</w:t>
      </w:r>
    </w:p>
    <w:p>
      <w:pPr>
        <w:spacing w:line="203" w:lineRule="auto"/>
        <w:rPr>
          <w:rFonts w:ascii="微软雅黑" w:hAnsi="微软雅黑" w:eastAsia="微软雅黑" w:cs="微软雅黑"/>
          <w:sz w:val="30"/>
          <w:szCs w:val="30"/>
        </w:rPr>
        <w:sectPr>
          <w:footerReference r:id="rId5" w:type="default"/>
          <w:pgSz w:w="11905" w:h="16840"/>
          <w:pgMar w:top="1431" w:right="1785" w:bottom="0" w:left="1785" w:header="0" w:footer="0" w:gutter="0"/>
          <w:pgNumType w:fmt="decimal"/>
          <w:cols w:space="720" w:num="1"/>
        </w:sectPr>
      </w:pPr>
    </w:p>
    <w:p>
      <w:pPr>
        <w:spacing w:before="0" w:beforeLines="0" w:after="0" w:afterLines="0" w:line="240" w:lineRule="auto"/>
        <w:ind w:left="0" w:leftChars="0" w:right="0" w:rightChars="0" w:firstLine="0" w:firstLineChars="0"/>
        <w:jc w:val="center"/>
        <w:rPr>
          <w:rFonts w:hint="eastAsia" w:ascii="黑体" w:hAnsi="黑体" w:eastAsia="黑体" w:cs="黑体"/>
          <w:sz w:val="44"/>
          <w:szCs w:val="44"/>
        </w:rPr>
      </w:pPr>
      <w:bookmarkStart w:id="1" w:name="_Toc1001662228_WPSOffice_Type1"/>
      <w:r>
        <w:rPr>
          <w:rFonts w:hint="eastAsia" w:ascii="黑体" w:hAnsi="黑体" w:eastAsia="黑体" w:cs="黑体"/>
          <w:sz w:val="44"/>
          <w:szCs w:val="44"/>
        </w:rPr>
        <w:t>目录</w:t>
      </w:r>
    </w:p>
    <w:p>
      <w:pPr>
        <w:keepNext w:val="0"/>
        <w:keepLines w:val="0"/>
        <w:pageBreakBefore w:val="0"/>
        <w:widowControl w:val="0"/>
        <w:kinsoku/>
        <w:wordWrap/>
        <w:topLinePunct w:val="0"/>
        <w:bidi w:val="0"/>
        <w:adjustRightInd/>
        <w:snapToGrid/>
        <w:spacing w:line="240" w:lineRule="auto"/>
        <w:ind w:left="0" w:leftChars="0" w:right="0" w:rightChars="0" w:firstLine="0" w:firstLineChars="0"/>
        <w:jc w:val="center"/>
        <w:textAlignment w:val="auto"/>
        <w:rPr>
          <w:rFonts w:hint="eastAsia" w:ascii="黑体" w:hAnsi="黑体" w:eastAsia="黑体" w:cs="黑体"/>
          <w:sz w:val="44"/>
          <w:szCs w:val="44"/>
        </w:rPr>
      </w:pPr>
    </w:p>
    <w:p>
      <w:pPr>
        <w:keepNext w:val="0"/>
        <w:keepLines w:val="0"/>
        <w:pageBreakBefore w:val="0"/>
        <w:widowControl w:val="0"/>
        <w:kinsoku/>
        <w:wordWrap/>
        <w:overflowPunct w:val="0"/>
        <w:topLinePunct w:val="0"/>
        <w:autoSpaceDE w:val="0"/>
        <w:autoSpaceDN w:val="0"/>
        <w:bidi w:val="0"/>
        <w:adjustRightInd/>
        <w:snapToGrid/>
        <w:spacing w:line="240" w:lineRule="auto"/>
        <w:ind w:left="0" w:leftChars="0" w:firstLine="0" w:firstLineChars="0"/>
        <w:jc w:val="left"/>
        <w:textAlignment w:val="auto"/>
        <w:rPr>
          <w:rFonts w:hint="eastAsia" w:ascii="宋体" w:hAnsi="宋体" w:eastAsia="宋体" w:cs="宋体"/>
          <w:b w:val="0"/>
          <w:bCs w:val="0"/>
          <w:sz w:val="28"/>
          <w:szCs w:val="28"/>
        </w:rPr>
      </w:pPr>
      <w:r>
        <w:rPr>
          <w:rFonts w:hint="eastAsia" w:ascii="宋体" w:hAnsi="宋体" w:eastAsia="宋体" w:cs="宋体"/>
          <w:b w:val="0"/>
          <w:bCs w:val="0"/>
          <w:sz w:val="28"/>
          <w:szCs w:val="28"/>
          <w:lang w:val="en-US" w:eastAsia="zh-CN"/>
        </w:rPr>
        <w:t>1.</w:t>
      </w:r>
      <w:r>
        <w:rPr>
          <w:rFonts w:hint="eastAsia" w:ascii="宋体" w:hAnsi="宋体" w:eastAsia="宋体" w:cs="宋体"/>
          <w:b w:val="0"/>
          <w:bCs w:val="0"/>
          <w:sz w:val="28"/>
          <w:szCs w:val="28"/>
        </w:rPr>
        <w:fldChar w:fldCharType="begin"/>
      </w:r>
      <w:r>
        <w:rPr>
          <w:rFonts w:hint="eastAsia" w:ascii="宋体" w:hAnsi="宋体" w:eastAsia="宋体" w:cs="宋体"/>
          <w:b w:val="0"/>
          <w:bCs w:val="0"/>
          <w:sz w:val="28"/>
          <w:szCs w:val="28"/>
        </w:rPr>
        <w:instrText xml:space="preserve"> HYPERLINK \l _Toc1581677756_WPSOffice_Level1 </w:instrText>
      </w:r>
      <w:r>
        <w:rPr>
          <w:rFonts w:hint="eastAsia" w:ascii="宋体" w:hAnsi="宋体" w:eastAsia="宋体" w:cs="宋体"/>
          <w:b w:val="0"/>
          <w:bCs w:val="0"/>
          <w:sz w:val="28"/>
          <w:szCs w:val="28"/>
        </w:rPr>
        <w:fldChar w:fldCharType="separate"/>
      </w:r>
      <w:r>
        <w:rPr>
          <w:rFonts w:hint="eastAsia" w:ascii="宋体" w:hAnsi="宋体" w:eastAsia="宋体" w:cs="宋体"/>
          <w:b w:val="0"/>
          <w:bCs w:val="0"/>
          <w:sz w:val="28"/>
          <w:szCs w:val="28"/>
        </w:rPr>
        <w:t>四川遂宁高新技术产业园区科技创新与经信商务局2023年产业支持政策补贴项目绩效评价报告</w:t>
      </w:r>
      <w:r>
        <w:rPr>
          <w:rFonts w:hint="eastAsia" w:ascii="宋体" w:hAnsi="宋体" w:eastAsia="宋体" w:cs="宋体"/>
          <w:b w:val="0"/>
          <w:bCs w:val="0"/>
          <w:sz w:val="28"/>
          <w:szCs w:val="28"/>
        </w:rPr>
        <w:tab/>
      </w:r>
      <w:bookmarkStart w:id="2" w:name="_Toc1581677756_WPSOffice_Level1Page"/>
      <w:r>
        <w:rPr>
          <w:rFonts w:hint="eastAsia" w:ascii="宋体" w:hAnsi="宋体" w:eastAsia="宋体" w:cs="宋体"/>
          <w:b w:val="0"/>
          <w:bCs w:val="0"/>
          <w:sz w:val="28"/>
          <w:szCs w:val="28"/>
          <w:lang w:val="en-US" w:eastAsia="zh-CN"/>
        </w:rPr>
        <w:t xml:space="preserve">                               </w:t>
      </w:r>
      <w:r>
        <w:rPr>
          <w:rFonts w:hint="eastAsia" w:ascii="宋体" w:hAnsi="宋体" w:eastAsia="宋体" w:cs="宋体"/>
          <w:b w:val="0"/>
          <w:bCs w:val="0"/>
          <w:sz w:val="28"/>
          <w:szCs w:val="28"/>
        </w:rPr>
        <w:t>1</w:t>
      </w:r>
      <w:bookmarkEnd w:id="2"/>
      <w:r>
        <w:rPr>
          <w:rFonts w:hint="eastAsia" w:ascii="宋体" w:hAnsi="宋体" w:eastAsia="宋体" w:cs="宋体"/>
          <w:b w:val="0"/>
          <w:bCs w:val="0"/>
          <w:sz w:val="28"/>
          <w:szCs w:val="28"/>
        </w:rPr>
        <w:fldChar w:fldCharType="end"/>
      </w:r>
    </w:p>
    <w:p>
      <w:pPr>
        <w:keepNext w:val="0"/>
        <w:keepLines w:val="0"/>
        <w:pageBreakBefore w:val="0"/>
        <w:widowControl w:val="0"/>
        <w:kinsoku/>
        <w:wordWrap/>
        <w:topLinePunct w:val="0"/>
        <w:bidi w:val="0"/>
        <w:adjustRightInd/>
        <w:snapToGrid/>
        <w:spacing w:line="240" w:lineRule="auto"/>
        <w:ind w:firstLine="0" w:firstLineChars="0"/>
        <w:jc w:val="left"/>
        <w:textAlignment w:val="auto"/>
        <w:outlineLvl w:val="0"/>
        <w:rPr>
          <w:rFonts w:hint="eastAsia" w:ascii="宋体" w:hAnsi="宋体" w:eastAsia="宋体" w:cs="宋体"/>
          <w:b w:val="0"/>
          <w:bCs w:val="0"/>
          <w:sz w:val="28"/>
          <w:szCs w:val="28"/>
          <w:lang w:val="en-US" w:eastAsia="zh-CN"/>
        </w:rPr>
      </w:pPr>
      <w:r>
        <w:rPr>
          <w:rFonts w:hint="eastAsia" w:ascii="宋体" w:hAnsi="宋体" w:eastAsia="宋体" w:cs="宋体"/>
          <w:b w:val="0"/>
          <w:bCs w:val="0"/>
          <w:sz w:val="28"/>
          <w:szCs w:val="28"/>
          <w:lang w:val="en-US" w:eastAsia="zh-CN"/>
        </w:rPr>
        <w:t>2.</w:t>
      </w:r>
      <w:r>
        <w:rPr>
          <w:rFonts w:hint="eastAsia" w:ascii="宋体" w:hAnsi="宋体" w:eastAsia="宋体" w:cs="宋体"/>
          <w:b w:val="0"/>
          <w:bCs w:val="0"/>
          <w:sz w:val="28"/>
          <w:szCs w:val="28"/>
        </w:rPr>
        <w:fldChar w:fldCharType="begin"/>
      </w:r>
      <w:r>
        <w:rPr>
          <w:rFonts w:hint="eastAsia" w:ascii="宋体" w:hAnsi="宋体" w:eastAsia="宋体" w:cs="宋体"/>
          <w:b w:val="0"/>
          <w:bCs w:val="0"/>
          <w:sz w:val="28"/>
          <w:szCs w:val="28"/>
        </w:rPr>
        <w:instrText xml:space="preserve"> HYPERLINK \l _Toc1937536164_WPSOffice_Level1 </w:instrText>
      </w:r>
      <w:r>
        <w:rPr>
          <w:rFonts w:hint="eastAsia" w:ascii="宋体" w:hAnsi="宋体" w:eastAsia="宋体" w:cs="宋体"/>
          <w:b w:val="0"/>
          <w:bCs w:val="0"/>
          <w:sz w:val="28"/>
          <w:szCs w:val="28"/>
        </w:rPr>
        <w:fldChar w:fldCharType="separate"/>
      </w:r>
      <w:r>
        <w:rPr>
          <w:rFonts w:hint="eastAsia" w:ascii="宋体" w:hAnsi="宋体" w:eastAsia="宋体" w:cs="宋体"/>
          <w:b w:val="0"/>
          <w:bCs w:val="0"/>
          <w:sz w:val="28"/>
          <w:szCs w:val="28"/>
        </w:rPr>
        <w:t>遂宁高新区印刷科技产业园及基础设施2023年度国有资本经营预算项目支出绩效评价报告</w:t>
      </w:r>
      <w:r>
        <w:rPr>
          <w:rFonts w:hint="eastAsia" w:ascii="宋体" w:hAnsi="宋体" w:eastAsia="宋体" w:cs="宋体"/>
          <w:b w:val="0"/>
          <w:bCs w:val="0"/>
          <w:sz w:val="28"/>
          <w:szCs w:val="28"/>
          <w:lang w:val="en-US" w:eastAsia="zh-CN"/>
        </w:rPr>
        <w:t xml:space="preserve">                                   2</w:t>
      </w:r>
      <w:r>
        <w:rPr>
          <w:rFonts w:hint="eastAsia" w:ascii="宋体" w:hAnsi="宋体" w:eastAsia="宋体" w:cs="宋体"/>
          <w:b w:val="0"/>
          <w:bCs w:val="0"/>
          <w:sz w:val="28"/>
          <w:szCs w:val="28"/>
        </w:rPr>
        <w:fldChar w:fldCharType="end"/>
      </w:r>
      <w:r>
        <w:rPr>
          <w:rFonts w:hint="eastAsia" w:ascii="宋体" w:hAnsi="宋体" w:eastAsia="宋体" w:cs="宋体"/>
          <w:b w:val="0"/>
          <w:bCs w:val="0"/>
          <w:sz w:val="28"/>
          <w:szCs w:val="28"/>
          <w:lang w:val="en-US" w:eastAsia="zh-CN"/>
        </w:rPr>
        <w:t>9</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rPr>
          <w:rFonts w:hint="eastAsia" w:ascii="宋体" w:hAnsi="宋体" w:eastAsia="宋体" w:cs="宋体"/>
          <w:b w:val="0"/>
          <w:bCs w:val="0"/>
          <w:sz w:val="28"/>
          <w:szCs w:val="28"/>
          <w:lang w:val="en-US" w:eastAsia="zh-CN"/>
        </w:rPr>
      </w:pPr>
      <w:r>
        <w:rPr>
          <w:rFonts w:hint="eastAsia" w:ascii="宋体" w:hAnsi="宋体" w:eastAsia="宋体" w:cs="宋体"/>
          <w:b w:val="0"/>
          <w:bCs w:val="0"/>
          <w:sz w:val="28"/>
          <w:szCs w:val="28"/>
          <w:lang w:val="en-US" w:eastAsia="zh-CN"/>
        </w:rPr>
        <w:t>3.</w:t>
      </w:r>
      <w:r>
        <w:rPr>
          <w:rFonts w:hint="eastAsia" w:ascii="宋体" w:hAnsi="宋体" w:eastAsia="宋体" w:cs="宋体"/>
          <w:b w:val="0"/>
          <w:bCs w:val="0"/>
          <w:sz w:val="28"/>
          <w:szCs w:val="28"/>
        </w:rPr>
        <w:fldChar w:fldCharType="begin"/>
      </w:r>
      <w:r>
        <w:rPr>
          <w:rFonts w:hint="eastAsia" w:ascii="宋体" w:hAnsi="宋体" w:eastAsia="宋体" w:cs="宋体"/>
          <w:b w:val="0"/>
          <w:bCs w:val="0"/>
          <w:sz w:val="28"/>
          <w:szCs w:val="28"/>
        </w:rPr>
        <w:instrText xml:space="preserve"> HYPERLINK \l _Toc1168515159_WPSOffice_Level1 </w:instrText>
      </w:r>
      <w:r>
        <w:rPr>
          <w:rFonts w:hint="eastAsia" w:ascii="宋体" w:hAnsi="宋体" w:eastAsia="宋体" w:cs="宋体"/>
          <w:b w:val="0"/>
          <w:bCs w:val="0"/>
          <w:sz w:val="28"/>
          <w:szCs w:val="28"/>
        </w:rPr>
        <w:fldChar w:fldCharType="separate"/>
      </w:r>
      <w:r>
        <w:rPr>
          <w:rFonts w:hint="eastAsia" w:ascii="宋体" w:hAnsi="宋体" w:eastAsia="宋体" w:cs="宋体"/>
          <w:b w:val="0"/>
          <w:bCs w:val="0"/>
          <w:spacing w:val="-1"/>
          <w:sz w:val="28"/>
          <w:szCs w:val="28"/>
        </w:rPr>
        <w:t>遂宁高新区电子产业园区及配套基础设施建设项目（二期）2023年度专项债券项目资金绩效评价报告</w:t>
      </w:r>
      <w:r>
        <w:rPr>
          <w:rFonts w:hint="eastAsia" w:ascii="宋体" w:hAnsi="宋体" w:eastAsia="宋体" w:cs="宋体"/>
          <w:b w:val="0"/>
          <w:bCs w:val="0"/>
          <w:spacing w:val="-1"/>
          <w:sz w:val="28"/>
          <w:szCs w:val="28"/>
          <w:lang w:val="en-US" w:eastAsia="zh-CN"/>
        </w:rPr>
        <w:t xml:space="preserve">                         5</w:t>
      </w:r>
      <w:r>
        <w:rPr>
          <w:rFonts w:hint="eastAsia" w:ascii="宋体" w:hAnsi="宋体" w:eastAsia="宋体" w:cs="宋体"/>
          <w:b w:val="0"/>
          <w:bCs w:val="0"/>
          <w:sz w:val="28"/>
          <w:szCs w:val="28"/>
        </w:rPr>
        <w:fldChar w:fldCharType="end"/>
      </w:r>
      <w:r>
        <w:rPr>
          <w:rFonts w:hint="eastAsia" w:ascii="宋体" w:hAnsi="宋体" w:eastAsia="宋体" w:cs="宋体"/>
          <w:b w:val="0"/>
          <w:bCs w:val="0"/>
          <w:sz w:val="28"/>
          <w:szCs w:val="28"/>
          <w:lang w:val="en-US" w:eastAsia="zh-CN"/>
        </w:rPr>
        <w:t>4</w:t>
      </w:r>
    </w:p>
    <w:p>
      <w:pPr>
        <w:pStyle w:val="15"/>
        <w:keepNext w:val="0"/>
        <w:keepLines w:val="0"/>
        <w:pageBreakBefore w:val="0"/>
        <w:widowControl w:val="0"/>
        <w:kinsoku/>
        <w:wordWrap/>
        <w:topLinePunct w:val="0"/>
        <w:bidi w:val="0"/>
        <w:adjustRightInd/>
        <w:snapToGrid/>
        <w:spacing w:before="0" w:after="0" w:line="240" w:lineRule="auto"/>
        <w:ind w:left="0" w:leftChars="0" w:firstLine="0" w:firstLineChars="0"/>
        <w:jc w:val="left"/>
        <w:textAlignment w:val="auto"/>
        <w:outlineLvl w:val="9"/>
        <w:rPr>
          <w:rFonts w:hint="eastAsia" w:ascii="宋体" w:hAnsi="宋体" w:eastAsia="宋体" w:cs="宋体"/>
          <w:b w:val="0"/>
          <w:bCs w:val="0"/>
          <w:sz w:val="28"/>
          <w:szCs w:val="28"/>
          <w:lang w:val="en-US" w:eastAsia="zh-CN"/>
        </w:rPr>
      </w:pPr>
      <w:r>
        <w:rPr>
          <w:rFonts w:hint="eastAsia" w:ascii="宋体" w:hAnsi="宋体" w:eastAsia="宋体" w:cs="宋体"/>
          <w:b w:val="0"/>
          <w:bCs w:val="0"/>
          <w:sz w:val="28"/>
          <w:szCs w:val="28"/>
          <w:lang w:val="en-US" w:eastAsia="zh-CN"/>
        </w:rPr>
        <w:t>4.</w:t>
      </w:r>
      <w:r>
        <w:rPr>
          <w:rFonts w:hint="eastAsia" w:ascii="宋体" w:hAnsi="宋体" w:eastAsia="宋体" w:cs="宋体"/>
          <w:b w:val="0"/>
          <w:bCs w:val="0"/>
          <w:sz w:val="28"/>
          <w:szCs w:val="28"/>
        </w:rPr>
        <w:fldChar w:fldCharType="begin"/>
      </w:r>
      <w:r>
        <w:rPr>
          <w:rFonts w:hint="eastAsia" w:ascii="宋体" w:hAnsi="宋体" w:eastAsia="宋体" w:cs="宋体"/>
          <w:b w:val="0"/>
          <w:bCs w:val="0"/>
          <w:sz w:val="28"/>
          <w:szCs w:val="28"/>
        </w:rPr>
        <w:instrText xml:space="preserve"> HYPERLINK \l _Toc773303924_WPSOffice_Level1 </w:instrText>
      </w:r>
      <w:r>
        <w:rPr>
          <w:rFonts w:hint="eastAsia" w:ascii="宋体" w:hAnsi="宋体" w:eastAsia="宋体" w:cs="宋体"/>
          <w:b w:val="0"/>
          <w:bCs w:val="0"/>
          <w:sz w:val="28"/>
          <w:szCs w:val="28"/>
        </w:rPr>
        <w:fldChar w:fldCharType="separate"/>
      </w:r>
      <w:r>
        <w:rPr>
          <w:rFonts w:hint="eastAsia" w:ascii="宋体" w:hAnsi="宋体" w:eastAsia="宋体" w:cs="宋体"/>
          <w:b w:val="0"/>
          <w:bCs w:val="0"/>
          <w:sz w:val="28"/>
          <w:szCs w:val="28"/>
        </w:rPr>
        <w:t>遂宁高新区城乡统筹与社会保障服务中心征地拆迁工作经费绩效评价报告</w:t>
      </w:r>
      <w:r>
        <w:rPr>
          <w:rFonts w:hint="eastAsia" w:ascii="宋体" w:hAnsi="宋体" w:eastAsia="宋体" w:cs="宋体"/>
          <w:b w:val="0"/>
          <w:bCs w:val="0"/>
          <w:sz w:val="28"/>
          <w:szCs w:val="28"/>
          <w:lang w:val="en-US" w:eastAsia="zh-CN"/>
        </w:rPr>
        <w:t xml:space="preserve">                                                 8</w:t>
      </w:r>
      <w:r>
        <w:rPr>
          <w:rFonts w:hint="eastAsia" w:ascii="宋体" w:hAnsi="宋体" w:eastAsia="宋体" w:cs="宋体"/>
          <w:b w:val="0"/>
          <w:bCs w:val="0"/>
          <w:sz w:val="28"/>
          <w:szCs w:val="28"/>
        </w:rPr>
        <w:fldChar w:fldCharType="end"/>
      </w:r>
      <w:r>
        <w:rPr>
          <w:rFonts w:hint="eastAsia" w:ascii="宋体" w:hAnsi="宋体" w:eastAsia="宋体" w:cs="宋体"/>
          <w:b w:val="0"/>
          <w:bCs w:val="0"/>
          <w:sz w:val="28"/>
          <w:szCs w:val="28"/>
          <w:lang w:val="en-US" w:eastAsia="zh-CN"/>
        </w:rPr>
        <w:t>3</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outlineLvl w:val="0"/>
        <w:rPr>
          <w:rFonts w:hint="default" w:ascii="宋体" w:hAnsi="宋体" w:eastAsia="宋体" w:cs="宋体"/>
          <w:b w:val="0"/>
          <w:bCs w:val="0"/>
          <w:sz w:val="28"/>
          <w:szCs w:val="28"/>
          <w:lang w:val="en-US" w:eastAsia="zh-CN"/>
        </w:rPr>
      </w:pPr>
      <w:r>
        <w:rPr>
          <w:rFonts w:hint="eastAsia" w:ascii="宋体" w:hAnsi="宋体" w:eastAsia="宋体" w:cs="宋体"/>
          <w:b w:val="0"/>
          <w:bCs w:val="0"/>
          <w:sz w:val="28"/>
          <w:szCs w:val="28"/>
          <w:lang w:val="en-US" w:eastAsia="zh-CN"/>
        </w:rPr>
        <w:t>5.</w:t>
      </w:r>
      <w:r>
        <w:rPr>
          <w:rFonts w:hint="eastAsia" w:ascii="宋体" w:hAnsi="宋体" w:eastAsia="宋体" w:cs="宋体"/>
          <w:b w:val="0"/>
          <w:bCs w:val="0"/>
          <w:sz w:val="28"/>
          <w:szCs w:val="28"/>
        </w:rPr>
        <w:fldChar w:fldCharType="begin"/>
      </w:r>
      <w:r>
        <w:rPr>
          <w:rFonts w:hint="eastAsia" w:ascii="宋体" w:hAnsi="宋体" w:eastAsia="宋体" w:cs="宋体"/>
          <w:b w:val="0"/>
          <w:bCs w:val="0"/>
          <w:sz w:val="28"/>
          <w:szCs w:val="28"/>
        </w:rPr>
        <w:instrText xml:space="preserve"> HYPERLINK \l _Toc1053152155_WPSOffice_Level1 </w:instrText>
      </w:r>
      <w:r>
        <w:rPr>
          <w:rFonts w:hint="eastAsia" w:ascii="宋体" w:hAnsi="宋体" w:eastAsia="宋体" w:cs="宋体"/>
          <w:b w:val="0"/>
          <w:bCs w:val="0"/>
          <w:sz w:val="28"/>
          <w:szCs w:val="28"/>
        </w:rPr>
        <w:fldChar w:fldCharType="separate"/>
      </w:r>
      <w:r>
        <w:rPr>
          <w:rFonts w:hint="eastAsia" w:ascii="宋体" w:hAnsi="宋体" w:eastAsia="宋体" w:cs="宋体"/>
          <w:b w:val="0"/>
          <w:bCs w:val="0"/>
          <w:sz w:val="28"/>
          <w:szCs w:val="28"/>
        </w:rPr>
        <w:t>遂宁高新区第一次全国自然灾害综合风险普查服务项目资金绩效评价报告</w:t>
      </w:r>
      <w:r>
        <w:rPr>
          <w:rFonts w:hint="eastAsia" w:ascii="宋体" w:hAnsi="宋体" w:eastAsia="宋体" w:cs="宋体"/>
          <w:b w:val="0"/>
          <w:bCs w:val="0"/>
          <w:sz w:val="28"/>
          <w:szCs w:val="28"/>
          <w:lang w:val="en-US" w:eastAsia="zh-CN"/>
        </w:rPr>
        <w:t xml:space="preserve">                                                1</w:t>
      </w:r>
      <w:r>
        <w:rPr>
          <w:rFonts w:hint="eastAsia" w:ascii="宋体" w:hAnsi="宋体" w:eastAsia="宋体" w:cs="宋体"/>
          <w:b w:val="0"/>
          <w:bCs w:val="0"/>
          <w:sz w:val="28"/>
          <w:szCs w:val="28"/>
        </w:rPr>
        <w:fldChar w:fldCharType="end"/>
      </w:r>
      <w:r>
        <w:rPr>
          <w:rFonts w:hint="eastAsia" w:ascii="宋体" w:hAnsi="宋体" w:eastAsia="宋体" w:cs="宋体"/>
          <w:b w:val="0"/>
          <w:bCs w:val="0"/>
          <w:sz w:val="28"/>
          <w:szCs w:val="28"/>
          <w:lang w:val="en-US" w:eastAsia="zh-CN"/>
        </w:rPr>
        <w:t>02</w:t>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left"/>
        <w:textAlignment w:val="auto"/>
        <w:outlineLvl w:val="0"/>
        <w:rPr>
          <w:rFonts w:hint="eastAsia" w:ascii="宋体" w:hAnsi="宋体" w:eastAsia="宋体" w:cs="宋体"/>
          <w:b w:val="0"/>
          <w:bCs w:val="0"/>
          <w:sz w:val="28"/>
          <w:szCs w:val="28"/>
        </w:rPr>
      </w:pPr>
      <w:r>
        <w:rPr>
          <w:rFonts w:hint="eastAsia" w:ascii="宋体" w:hAnsi="宋体" w:eastAsia="宋体" w:cs="宋体"/>
          <w:b w:val="0"/>
          <w:bCs w:val="0"/>
          <w:sz w:val="28"/>
          <w:szCs w:val="28"/>
          <w:lang w:val="en-US" w:eastAsia="zh-CN"/>
        </w:rPr>
        <w:t>6.</w:t>
      </w:r>
      <w:r>
        <w:rPr>
          <w:rFonts w:hint="eastAsia" w:ascii="宋体" w:hAnsi="宋体" w:eastAsia="宋体" w:cs="宋体"/>
          <w:b w:val="0"/>
          <w:bCs w:val="0"/>
          <w:sz w:val="28"/>
          <w:szCs w:val="28"/>
        </w:rPr>
        <w:fldChar w:fldCharType="begin"/>
      </w:r>
      <w:r>
        <w:rPr>
          <w:rFonts w:hint="eastAsia" w:ascii="宋体" w:hAnsi="宋体" w:eastAsia="宋体" w:cs="宋体"/>
          <w:b w:val="0"/>
          <w:bCs w:val="0"/>
          <w:sz w:val="28"/>
          <w:szCs w:val="28"/>
        </w:rPr>
        <w:instrText xml:space="preserve"> HYPERLINK \l _Toc636140686_WPSOffice_Level1 </w:instrText>
      </w:r>
      <w:r>
        <w:rPr>
          <w:rFonts w:hint="eastAsia" w:ascii="宋体" w:hAnsi="宋体" w:eastAsia="宋体" w:cs="宋体"/>
          <w:b w:val="0"/>
          <w:bCs w:val="0"/>
          <w:sz w:val="28"/>
          <w:szCs w:val="28"/>
        </w:rPr>
        <w:fldChar w:fldCharType="separate"/>
      </w:r>
      <w:r>
        <w:rPr>
          <w:rFonts w:hint="eastAsia" w:ascii="宋体" w:hAnsi="宋体" w:eastAsia="宋体" w:cs="宋体"/>
          <w:b w:val="0"/>
          <w:bCs w:val="0"/>
          <w:sz w:val="28"/>
          <w:szCs w:val="28"/>
        </w:rPr>
        <w:t>遂宁市自然资源和规划局高新技术产业园区分局遂宁高新区（遂宁西）高速路口出入口黄龙路景观及站房设计项目绩效评价报告</w:t>
      </w:r>
      <w:r>
        <w:rPr>
          <w:rFonts w:hint="eastAsia" w:ascii="宋体" w:hAnsi="宋体" w:eastAsia="宋体" w:cs="宋体"/>
          <w:b w:val="0"/>
          <w:bCs w:val="0"/>
          <w:sz w:val="28"/>
          <w:szCs w:val="28"/>
          <w:lang w:val="en-US" w:eastAsia="zh-CN"/>
        </w:rPr>
        <w:t xml:space="preserve">   129</w:t>
      </w:r>
      <w:r>
        <w:rPr>
          <w:rFonts w:hint="eastAsia" w:ascii="宋体" w:hAnsi="宋体" w:eastAsia="宋体" w:cs="宋体"/>
          <w:b w:val="0"/>
          <w:bCs w:val="0"/>
          <w:sz w:val="28"/>
          <w:szCs w:val="28"/>
        </w:rPr>
        <w:tab/>
      </w:r>
      <w:r>
        <w:rPr>
          <w:rFonts w:hint="eastAsia" w:ascii="宋体" w:hAnsi="宋体" w:eastAsia="宋体" w:cs="宋体"/>
          <w:b w:val="0"/>
          <w:bCs w:val="0"/>
          <w:sz w:val="28"/>
          <w:szCs w:val="28"/>
        </w:rPr>
        <w:fldChar w:fldCharType="end"/>
      </w:r>
    </w:p>
    <w:bookmarkEnd w:id="1"/>
    <w:p>
      <w:pPr>
        <w:spacing w:line="800" w:lineRule="exact"/>
        <w:ind w:firstLine="0" w:firstLineChars="0"/>
        <w:jc w:val="center"/>
        <w:rPr>
          <w:rFonts w:hint="eastAsia" w:ascii="宋体" w:hAnsi="宋体" w:eastAsia="宋体" w:cs="宋体"/>
          <w:sz w:val="28"/>
          <w:szCs w:val="28"/>
          <w:lang w:val="en-US" w:eastAsia="zh-CN"/>
        </w:rPr>
      </w:pPr>
    </w:p>
    <w:p>
      <w:pPr>
        <w:pStyle w:val="26"/>
        <w:rPr>
          <w:rFonts w:hint="eastAsia" w:ascii="宋体" w:hAnsi="宋体" w:eastAsia="宋体" w:cs="宋体"/>
          <w:sz w:val="28"/>
          <w:szCs w:val="28"/>
        </w:rPr>
      </w:pPr>
    </w:p>
    <w:p>
      <w:pPr>
        <w:pStyle w:val="26"/>
        <w:rPr>
          <w:rFonts w:hint="eastAsia" w:ascii="宋体" w:hAnsi="宋体" w:eastAsia="宋体" w:cs="宋体"/>
          <w:sz w:val="28"/>
          <w:szCs w:val="28"/>
        </w:rPr>
      </w:pPr>
    </w:p>
    <w:p>
      <w:pPr>
        <w:pStyle w:val="26"/>
        <w:rPr>
          <w:rFonts w:hint="eastAsia" w:ascii="宋体" w:hAnsi="宋体" w:eastAsia="宋体" w:cs="宋体"/>
          <w:sz w:val="28"/>
          <w:szCs w:val="28"/>
        </w:rPr>
      </w:pPr>
    </w:p>
    <w:p>
      <w:pPr>
        <w:pStyle w:val="26"/>
        <w:rPr>
          <w:rFonts w:hint="eastAsia" w:ascii="宋体" w:hAnsi="宋体" w:eastAsia="宋体" w:cs="宋体"/>
          <w:sz w:val="28"/>
          <w:szCs w:val="28"/>
        </w:rPr>
      </w:pPr>
    </w:p>
    <w:p>
      <w:pPr>
        <w:pStyle w:val="26"/>
      </w:pPr>
    </w:p>
    <w:p>
      <w:pPr>
        <w:pStyle w:val="26"/>
      </w:pPr>
    </w:p>
    <w:p>
      <w:pPr>
        <w:pStyle w:val="26"/>
      </w:pPr>
    </w:p>
    <w:p>
      <w:pPr>
        <w:keepNext w:val="0"/>
        <w:keepLines w:val="0"/>
        <w:pageBreakBefore w:val="0"/>
        <w:widowControl w:val="0"/>
        <w:kinsoku/>
        <w:wordWrap/>
        <w:overflowPunct/>
        <w:topLinePunct w:val="0"/>
        <w:autoSpaceDE/>
        <w:autoSpaceDN/>
        <w:bidi w:val="0"/>
        <w:adjustRightInd/>
        <w:snapToGrid/>
        <w:spacing w:before="313" w:beforeLines="100" w:line="560" w:lineRule="exact"/>
        <w:ind w:firstLine="0" w:firstLineChars="0"/>
        <w:jc w:val="center"/>
        <w:textAlignment w:val="auto"/>
        <w:rPr>
          <w:rFonts w:hint="eastAsia" w:ascii="宋体" w:hAnsi="宋体" w:eastAsia="宋体" w:cs="宋体"/>
          <w:b/>
          <w:bCs/>
          <w:sz w:val="44"/>
          <w:szCs w:val="44"/>
        </w:rPr>
        <w:sectPr>
          <w:headerReference r:id="rId6" w:type="default"/>
          <w:footerReference r:id="rId7" w:type="default"/>
          <w:pgSz w:w="11906" w:h="16838"/>
          <w:pgMar w:top="1440" w:right="1800" w:bottom="1440" w:left="1800" w:header="851" w:footer="992" w:gutter="0"/>
          <w:pgNumType w:fmt="decimal"/>
          <w:cols w:space="0"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before="313" w:beforeLines="100" w:line="560" w:lineRule="exact"/>
        <w:ind w:firstLine="0" w:firstLineChars="0"/>
        <w:jc w:val="center"/>
        <w:textAlignment w:val="auto"/>
        <w:rPr>
          <w:rFonts w:hint="eastAsia" w:ascii="宋体" w:hAnsi="宋体" w:eastAsia="宋体" w:cs="宋体"/>
          <w:b/>
          <w:bCs/>
          <w:sz w:val="44"/>
          <w:szCs w:val="44"/>
        </w:rPr>
      </w:pPr>
      <w:r>
        <w:rPr>
          <w:rFonts w:hint="eastAsia" w:ascii="宋体" w:hAnsi="宋体" w:eastAsia="宋体" w:cs="宋体"/>
          <w:b/>
          <w:bCs/>
          <w:sz w:val="44"/>
          <w:szCs w:val="44"/>
        </w:rPr>
        <w:t>四川遂宁高新技术产业园区科技创新与经信商务局2023年产业支持政策补贴项目</w:t>
      </w:r>
    </w:p>
    <w:p>
      <w:pPr>
        <w:keepNext w:val="0"/>
        <w:keepLines w:val="0"/>
        <w:pageBreakBefore w:val="0"/>
        <w:widowControl w:val="0"/>
        <w:kinsoku/>
        <w:wordWrap/>
        <w:overflowPunct/>
        <w:topLinePunct w:val="0"/>
        <w:autoSpaceDE/>
        <w:autoSpaceDN/>
        <w:bidi w:val="0"/>
        <w:adjustRightInd/>
        <w:snapToGrid/>
        <w:spacing w:after="313" w:afterLines="100" w:line="560" w:lineRule="exact"/>
        <w:ind w:firstLine="0" w:firstLineChars="0"/>
        <w:jc w:val="center"/>
        <w:textAlignment w:val="auto"/>
        <w:rPr>
          <w:rFonts w:hint="eastAsia" w:ascii="宋体" w:hAnsi="宋体" w:eastAsia="宋体" w:cs="宋体"/>
          <w:b/>
          <w:bCs/>
          <w:sz w:val="44"/>
          <w:szCs w:val="44"/>
        </w:rPr>
      </w:pPr>
      <w:r>
        <w:rPr>
          <w:rFonts w:hint="eastAsia" w:ascii="宋体" w:hAnsi="宋体" w:eastAsia="宋体" w:cs="宋体"/>
          <w:b/>
          <w:bCs/>
          <w:sz w:val="44"/>
          <w:szCs w:val="44"/>
        </w:rPr>
        <w:t>绩效评价报告</w:t>
      </w:r>
    </w:p>
    <w:p>
      <w:pPr>
        <w:pStyle w:val="14"/>
        <w:keepNext w:val="0"/>
        <w:keepLines w:val="0"/>
        <w:pageBreakBefore w:val="0"/>
        <w:widowControl w:val="0"/>
        <w:shd w:val="clear" w:color="auto" w:fill="FFFFFF"/>
        <w:kinsoku/>
        <w:wordWrap/>
        <w:overflowPunct w:val="0"/>
        <w:topLinePunct w:val="0"/>
        <w:autoSpaceDE w:val="0"/>
        <w:autoSpaceDN w:val="0"/>
        <w:bidi w:val="0"/>
        <w:adjustRightInd/>
        <w:snapToGrid/>
        <w:spacing w:before="0" w:beforeAutospacing="0" w:after="0" w:afterAutospacing="0" w:line="240" w:lineRule="auto"/>
        <w:ind w:left="0" w:leftChars="0" w:firstLine="640" w:firstLineChars="200"/>
        <w:jc w:val="both"/>
        <w:textAlignment w:val="auto"/>
        <w:rPr>
          <w:rFonts w:hint="eastAsia" w:ascii="仿宋" w:hAnsi="仿宋" w:eastAsia="仿宋" w:cs="仿宋"/>
          <w:color w:val="000000"/>
          <w:sz w:val="32"/>
          <w:szCs w:val="32"/>
          <w:shd w:val="clear" w:color="auto" w:fill="FFFFFF"/>
        </w:rPr>
      </w:pPr>
      <w:r>
        <w:rPr>
          <w:rFonts w:hint="eastAsia" w:ascii="仿宋" w:hAnsi="仿宋" w:eastAsia="仿宋" w:cs="仿宋"/>
          <w:sz w:val="32"/>
          <w:szCs w:val="32"/>
        </w:rPr>
        <w:t>为贯彻落实</w:t>
      </w:r>
      <w:r>
        <w:rPr>
          <w:rFonts w:hint="eastAsia" w:ascii="仿宋" w:hAnsi="仿宋" w:eastAsia="仿宋" w:cs="仿宋"/>
          <w:color w:val="000000"/>
          <w:sz w:val="32"/>
          <w:szCs w:val="32"/>
          <w:shd w:val="clear" w:color="auto" w:fill="FFFFFF"/>
        </w:rPr>
        <w:t>《中华人民共和国预算法》《中共中央国务院关于全面实施预算绩效管理的意见》（中发〔2018〕34号）、《中共四川省委四川省人民政府关于全面实施预算绩效管理的实施意见》（川委发〔2019〕8号）和《中共四川省委办公厅四川省人民政府办公厅关于深入实施预算绩效管理的通知》（川委厅〔2022〕5号）文件精神，推进实施预算绩效管理工作，提高财政资金配置效率和使用效益。根据《财政部关于印发</w:t>
      </w:r>
      <w:r>
        <w:rPr>
          <w:rFonts w:hint="eastAsia" w:ascii="仿宋" w:hAnsi="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项目支出绩效评价管理办法</w:t>
      </w:r>
      <w:r>
        <w:rPr>
          <w:rFonts w:hint="eastAsia" w:ascii="仿宋" w:hAnsi="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的通知》（财预</w:t>
      </w:r>
      <w:r>
        <w:rPr>
          <w:rFonts w:hint="eastAsia" w:ascii="仿宋" w:hAnsi="仿宋" w:eastAsia="仿宋" w:cs="仿宋"/>
          <w:sz w:val="32"/>
          <w:szCs w:val="32"/>
        </w:rPr>
        <w:t>〔2020〕</w:t>
      </w:r>
      <w:r>
        <w:rPr>
          <w:rFonts w:hint="eastAsia" w:ascii="仿宋" w:hAnsi="仿宋" w:eastAsia="仿宋" w:cs="仿宋"/>
          <w:color w:val="000000"/>
          <w:sz w:val="32"/>
          <w:szCs w:val="32"/>
          <w:shd w:val="clear" w:color="auto" w:fill="FFFFFF"/>
        </w:rPr>
        <w:t>10号）《四川省财政厅关于印发</w:t>
      </w:r>
      <w:r>
        <w:rPr>
          <w:rFonts w:hint="eastAsia" w:ascii="仿宋" w:hAnsi="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四川省省级项目支出绩效管理办法</w:t>
      </w:r>
      <w:r>
        <w:rPr>
          <w:rFonts w:hint="eastAsia" w:ascii="仿宋" w:hAnsi="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的通知》（川财绩〔2019〕14号）和《遂宁高新区财政金融局关于开展2024年部门、政策和项目支出重点绩效评价工作的通知》（遂高管财发〔2024〕9号）等文件要求，由遂宁高新区财政金融局组织和领导，成都金财企服企业管理有限公司接受委托并组建绩效评价组，</w:t>
      </w:r>
      <w:r>
        <w:rPr>
          <w:rFonts w:hint="eastAsia" w:ascii="仿宋" w:hAnsi="仿宋" w:eastAsia="仿宋" w:cs="仿宋"/>
          <w:sz w:val="32"/>
          <w:szCs w:val="32"/>
          <w:shd w:val="clear" w:color="auto" w:fill="FFFFFF"/>
        </w:rPr>
        <w:t>对四川遂宁高新技术产业园区科技创新</w:t>
      </w:r>
      <w:r>
        <w:rPr>
          <w:rFonts w:hint="eastAsia" w:ascii="仿宋" w:hAnsi="仿宋" w:eastAsia="仿宋" w:cs="仿宋"/>
          <w:sz w:val="32"/>
          <w:szCs w:val="32"/>
        </w:rPr>
        <w:t>与经信商务局（以下简称“高新区科经商务局”）组织实施的产业支持政策补贴项目进行绩效评价。</w:t>
      </w:r>
      <w:r>
        <w:rPr>
          <w:rFonts w:hint="eastAsia" w:ascii="仿宋" w:hAnsi="仿宋" w:eastAsia="仿宋" w:cs="仿宋"/>
          <w:color w:val="000000"/>
          <w:sz w:val="32"/>
          <w:szCs w:val="32"/>
          <w:shd w:val="clear" w:color="auto" w:fill="FFFFFF"/>
        </w:rPr>
        <w:t>经过资料评审、现场查看和综合分析评价，形成本次绩效评价报告，现将有关情况报告如下。</w:t>
      </w:r>
    </w:p>
    <w:p>
      <w:pPr>
        <w:pStyle w:val="2"/>
        <w:keepNext/>
        <w:keepLines/>
        <w:pageBreakBefore w:val="0"/>
        <w:widowControl w:val="0"/>
        <w:kinsoku/>
        <w:wordWrap/>
        <w:overflowPunct/>
        <w:topLinePunct w:val="0"/>
        <w:autoSpaceDE/>
        <w:autoSpaceDN/>
        <w:bidi w:val="0"/>
        <w:adjustRightInd/>
        <w:snapToGrid/>
        <w:spacing w:after="0"/>
        <w:ind w:left="0" w:leftChars="0" w:firstLine="640" w:firstLineChars="200"/>
        <w:textAlignment w:val="auto"/>
        <w:rPr>
          <w:rFonts w:hint="eastAsia"/>
        </w:rPr>
      </w:pPr>
      <w:bookmarkStart w:id="3" w:name="_Toc28755"/>
      <w:bookmarkStart w:id="4" w:name="_Toc29336"/>
      <w:bookmarkStart w:id="5" w:name="_Toc18584"/>
      <w:bookmarkStart w:id="6" w:name="_Toc12988"/>
      <w:bookmarkStart w:id="7" w:name="_Toc15920"/>
      <w:bookmarkStart w:id="8" w:name="_Toc24131"/>
      <w:bookmarkStart w:id="9" w:name="_Toc10732"/>
      <w:bookmarkStart w:id="10" w:name="_Toc25553"/>
      <w:bookmarkStart w:id="11" w:name="_Toc17243"/>
      <w:bookmarkStart w:id="12" w:name="_Toc24134"/>
      <w:bookmarkStart w:id="13" w:name="_Toc10510"/>
      <w:bookmarkStart w:id="14" w:name="_Toc12274"/>
      <w:bookmarkStart w:id="15" w:name="_Toc28574"/>
      <w:bookmarkStart w:id="16" w:name="_Toc8398"/>
      <w:bookmarkStart w:id="17" w:name="_Toc410"/>
      <w:bookmarkStart w:id="18" w:name="_Toc9070"/>
      <w:bookmarkStart w:id="19" w:name="_Toc12513"/>
      <w:bookmarkStart w:id="20" w:name="_Toc8952"/>
      <w:bookmarkStart w:id="21" w:name="_Toc6023"/>
      <w:bookmarkStart w:id="22" w:name="_Toc30372"/>
      <w:r>
        <w:rPr>
          <w:rFonts w:hint="eastAsia"/>
        </w:rPr>
        <w:t>一、</w:t>
      </w:r>
      <w:bookmarkEnd w:id="3"/>
      <w:bookmarkEnd w:id="4"/>
      <w:bookmarkEnd w:id="5"/>
      <w:r>
        <w:rPr>
          <w:rFonts w:hint="eastAsia"/>
        </w:rPr>
        <w:t>基本情况</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p>
    <w:p>
      <w:pPr>
        <w:pStyle w:val="3"/>
        <w:keepNext/>
        <w:pageBreakBefore w:val="0"/>
        <w:widowControl w:val="0"/>
        <w:kinsoku/>
        <w:wordWrap/>
        <w:topLinePunct w:val="0"/>
        <w:bidi w:val="0"/>
        <w:adjustRightInd/>
        <w:snapToGrid/>
        <w:ind w:firstLine="643" w:firstLineChars="200"/>
        <w:textAlignment w:val="auto"/>
        <w:rPr>
          <w:rFonts w:hint="eastAsia"/>
        </w:rPr>
      </w:pPr>
      <w:bookmarkStart w:id="23" w:name="_Toc17923"/>
      <w:bookmarkStart w:id="24" w:name="_Toc29156"/>
      <w:bookmarkStart w:id="25" w:name="_Toc10674"/>
      <w:bookmarkStart w:id="26" w:name="_Toc24867"/>
      <w:bookmarkStart w:id="27" w:name="_Toc18082"/>
      <w:bookmarkStart w:id="28" w:name="_Toc27258"/>
      <w:bookmarkStart w:id="29" w:name="_Toc26367"/>
      <w:bookmarkStart w:id="30" w:name="_Toc31700"/>
      <w:bookmarkStart w:id="31" w:name="_Toc14484"/>
      <w:bookmarkStart w:id="32" w:name="_Toc5579"/>
      <w:bookmarkStart w:id="33" w:name="_Toc31692"/>
      <w:bookmarkStart w:id="34" w:name="_Toc8533"/>
      <w:bookmarkStart w:id="35" w:name="_Toc14188"/>
      <w:bookmarkStart w:id="36" w:name="_Toc13512"/>
      <w:bookmarkStart w:id="37" w:name="_Toc31449"/>
      <w:bookmarkStart w:id="38" w:name="_Toc27011"/>
      <w:bookmarkStart w:id="39" w:name="_Toc11214"/>
      <w:bookmarkStart w:id="40" w:name="_Toc28443"/>
      <w:bookmarkStart w:id="41" w:name="_Toc8619"/>
      <w:bookmarkStart w:id="42" w:name="_Toc1613"/>
      <w:r>
        <w:rPr>
          <w:rFonts w:hint="eastAsia"/>
        </w:rPr>
        <w:t>（一）政策背景</w:t>
      </w:r>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pPr>
        <w:pStyle w:val="4"/>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楷体" w:hAnsi="楷体" w:eastAsia="楷体" w:cs="楷体"/>
          <w:sz w:val="32"/>
          <w:szCs w:val="32"/>
        </w:rPr>
      </w:pPr>
      <w:r>
        <w:rPr>
          <w:rFonts w:hint="eastAsia" w:ascii="楷体" w:hAnsi="楷体" w:eastAsia="楷体" w:cs="楷体"/>
          <w:sz w:val="32"/>
          <w:szCs w:val="32"/>
        </w:rPr>
        <w:t>1.政策背景</w:t>
      </w:r>
    </w:p>
    <w:p>
      <w:pPr>
        <w:bidi w:val="0"/>
        <w:rPr>
          <w:rFonts w:hint="eastAsia"/>
        </w:rPr>
      </w:pPr>
      <w:r>
        <w:rPr>
          <w:rFonts w:hint="eastAsia"/>
        </w:rPr>
        <w:t>随着国家经济结构的不断调整和产业升级的加速推进，产业发展类财政政策在促进经济高质量发展中发挥着越来越重要的作用。为鼓励和支持遂宁高新区民营经济做大做强，进一步提振企业发展信心，优化营商环境，遂宁高新区出台了《进一步加快现代服务业发展的政策措施》《促进制造业高质量发展的政策措施（试行）》《大力推进大众创业万众创新的政策措施》（以下简称“三大政策”）三大政策目的在于通过政策支持和资金扶持，促进特定产业的发展，提升产业竞争力，推动经济的转型升级。产业支持政策和补贴政策的实施对于促进产业发展、推动经济增长具有重要意义。这些政策能够为企业提供必要的支持和帮助，降低企业的经营成本和风险，提高企业的盈利能力和市场竞争力。同时，这些政策还可以带动相关产业链的发展，增加就业机会，扩大内需市场，推动经济增长。通过这些政策的实施，政府能够有效地促进产业的健康发展，为国家的长远繁荣奠定坚实的基础。</w:t>
      </w:r>
    </w:p>
    <w:p>
      <w:pPr>
        <w:pStyle w:val="4"/>
        <w:bidi w:val="0"/>
        <w:rPr>
          <w:rFonts w:hint="eastAsia" w:ascii="楷体" w:hAnsi="楷体" w:eastAsia="楷体" w:cs="楷体"/>
        </w:rPr>
      </w:pPr>
      <w:bookmarkStart w:id="43" w:name="_Toc30647"/>
      <w:bookmarkStart w:id="44" w:name="_Toc17113"/>
      <w:r>
        <w:rPr>
          <w:rFonts w:hint="eastAsia" w:ascii="楷体" w:hAnsi="楷体" w:eastAsia="楷体" w:cs="楷体"/>
        </w:rPr>
        <w:t>2.主要内容</w:t>
      </w:r>
      <w:bookmarkEnd w:id="43"/>
      <w:bookmarkEnd w:id="44"/>
    </w:p>
    <w:p>
      <w:pPr>
        <w:pStyle w:val="5"/>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仿宋" w:hAnsi="仿宋" w:eastAsia="仿宋" w:cs="仿宋"/>
          <w:sz w:val="32"/>
          <w:szCs w:val="32"/>
        </w:rPr>
      </w:pPr>
      <w:r>
        <w:rPr>
          <w:rFonts w:hint="eastAsia" w:ascii="仿宋" w:hAnsi="仿宋" w:eastAsia="仿宋" w:cs="仿宋"/>
          <w:sz w:val="32"/>
          <w:szCs w:val="32"/>
        </w:rPr>
        <w:t>（1）现代服务业支持政策补贴</w:t>
      </w:r>
    </w:p>
    <w:p>
      <w:pPr>
        <w:bidi w:val="0"/>
        <w:rPr>
          <w:rFonts w:hint="eastAsia" w:ascii="仿宋" w:hAnsi="仿宋" w:eastAsia="仿宋" w:cs="仿宋"/>
        </w:rPr>
      </w:pPr>
      <w:r>
        <w:rPr>
          <w:rFonts w:hint="eastAsia" w:ascii="仿宋" w:hAnsi="仿宋" w:eastAsia="仿宋" w:cs="仿宋"/>
        </w:rPr>
        <w:t>新增限额以上企业奖励：对新增限额以上批零住餐企业、规模以上服务业经营主体，以及新增限额以上批零住餐个体工商户给予一次性资金奖励。例如，批发业、零售业、其他营利性服务业企业可获得10.00万元每户的资金奖励，住宿、餐饮业企业可获得8.00万元每户的资金奖励。</w:t>
      </w:r>
    </w:p>
    <w:p>
      <w:pPr>
        <w:bidi w:val="0"/>
        <w:rPr>
          <w:rFonts w:hint="eastAsia" w:ascii="仿宋" w:hAnsi="仿宋" w:eastAsia="仿宋" w:cs="仿宋"/>
        </w:rPr>
      </w:pPr>
      <w:r>
        <w:rPr>
          <w:rFonts w:hint="eastAsia" w:ascii="仿宋" w:hAnsi="仿宋" w:eastAsia="仿宋" w:cs="仿宋"/>
        </w:rPr>
        <w:t>营业收入增长奖励：对年营业收入首次突破一定规模（如1亿元、5亿元、10亿元）的限额以上批零住餐经营主体、规模以上服务业经营主体，给予一次性奖励。</w:t>
      </w:r>
    </w:p>
    <w:p>
      <w:pPr>
        <w:bidi w:val="0"/>
        <w:rPr>
          <w:rFonts w:hint="eastAsia" w:ascii="仿宋" w:hAnsi="仿宋" w:eastAsia="仿宋" w:cs="仿宋"/>
        </w:rPr>
      </w:pPr>
      <w:r>
        <w:rPr>
          <w:rFonts w:hint="eastAsia" w:ascii="仿宋" w:hAnsi="仿宋" w:eastAsia="仿宋" w:cs="仿宋"/>
        </w:rPr>
        <w:t>统一运营奖励：鼓励大型专业市场、商业综合体、特色商业街、购物中心新成立统一核算的商贸法人企业，对符合条件的给予一次性50.00万元奖励。</w:t>
      </w:r>
    </w:p>
    <w:p>
      <w:pPr>
        <w:bidi w:val="0"/>
        <w:rPr>
          <w:rFonts w:hint="eastAsia" w:ascii="仿宋" w:hAnsi="仿宋" w:eastAsia="仿宋" w:cs="仿宋"/>
        </w:rPr>
      </w:pPr>
      <w:r>
        <w:rPr>
          <w:rFonts w:hint="eastAsia" w:ascii="仿宋" w:hAnsi="仿宋" w:eastAsia="仿宋" w:cs="仿宋"/>
        </w:rPr>
        <w:t>展会活动补助：对承办省级以上展会和论坛的企业或机构，给予活动费用最高80.00%且不超过20.00万元的补助。</w:t>
      </w:r>
    </w:p>
    <w:p>
      <w:pPr>
        <w:bidi w:val="0"/>
        <w:rPr>
          <w:rFonts w:hint="eastAsia" w:ascii="仿宋" w:hAnsi="仿宋" w:eastAsia="仿宋" w:cs="仿宋"/>
        </w:rPr>
      </w:pPr>
      <w:r>
        <w:rPr>
          <w:rFonts w:hint="eastAsia" w:ascii="仿宋" w:hAnsi="仿宋" w:eastAsia="仿宋" w:cs="仿宋"/>
        </w:rPr>
        <w:t>电子商务支持：对电子商务平台或企业根据其年交易额给予相应比例的奖励，以鼓励电子商务的发展。</w:t>
      </w:r>
    </w:p>
    <w:p>
      <w:pPr>
        <w:pStyle w:val="5"/>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r>
        <w:rPr>
          <w:rFonts w:hint="eastAsia" w:ascii="仿宋" w:hAnsi="仿宋" w:eastAsia="仿宋" w:cs="仿宋"/>
          <w:sz w:val="32"/>
          <w:szCs w:val="32"/>
        </w:rPr>
        <w:t>（2）制造业支持政策补贴</w:t>
      </w:r>
    </w:p>
    <w:p>
      <w:pPr>
        <w:bidi w:val="0"/>
        <w:rPr>
          <w:rFonts w:hint="eastAsia" w:ascii="仿宋" w:hAnsi="仿宋" w:eastAsia="仿宋" w:cs="仿宋"/>
        </w:rPr>
      </w:pPr>
      <w:r>
        <w:rPr>
          <w:rFonts w:hint="eastAsia" w:ascii="仿宋" w:hAnsi="仿宋" w:eastAsia="仿宋" w:cs="仿宋"/>
        </w:rPr>
        <w:t>新增规模以上工业企业奖励：对年度新增为规模以上的工业企业每户给予10.00万元奖励。</w:t>
      </w:r>
    </w:p>
    <w:p>
      <w:pPr>
        <w:bidi w:val="0"/>
        <w:rPr>
          <w:rFonts w:hint="eastAsia" w:ascii="仿宋" w:hAnsi="仿宋" w:eastAsia="仿宋" w:cs="仿宋"/>
        </w:rPr>
      </w:pPr>
      <w:r>
        <w:rPr>
          <w:rFonts w:hint="eastAsia" w:ascii="仿宋" w:hAnsi="仿宋" w:eastAsia="仿宋" w:cs="仿宋"/>
        </w:rPr>
        <w:t>主营业务收入增长奖励：对年主营业务收入首次突破不同规模（如1亿元、5亿元、10亿元等）的规模以上工业企业，给予一次性奖励，最高可达200.00万元。</w:t>
      </w:r>
    </w:p>
    <w:p>
      <w:pPr>
        <w:bidi w:val="0"/>
        <w:rPr>
          <w:rFonts w:hint="eastAsia" w:ascii="仿宋" w:hAnsi="仿宋" w:eastAsia="仿宋" w:cs="仿宋"/>
        </w:rPr>
      </w:pPr>
      <w:r>
        <w:rPr>
          <w:rFonts w:hint="eastAsia" w:ascii="仿宋" w:hAnsi="仿宋" w:eastAsia="仿宋" w:cs="仿宋"/>
        </w:rPr>
        <w:t>技术改造补助：对实施“零增地”技术改造的规上工业企业，根据购置设备金额的不同给予不同比例的补助，最高不超过200.00万元。</w:t>
      </w:r>
    </w:p>
    <w:p>
      <w:pPr>
        <w:bidi w:val="0"/>
        <w:rPr>
          <w:rFonts w:hint="eastAsia" w:ascii="仿宋" w:hAnsi="仿宋" w:eastAsia="仿宋" w:cs="仿宋"/>
        </w:rPr>
      </w:pPr>
      <w:r>
        <w:rPr>
          <w:rFonts w:hint="eastAsia" w:ascii="仿宋" w:hAnsi="仿宋" w:eastAsia="仿宋" w:cs="仿宋"/>
        </w:rPr>
        <w:t>科技创新奖励：对新获评的国家级专精特新“小巨人”企业、省级专精特新中小企业等给予一次性奖励。</w:t>
      </w:r>
    </w:p>
    <w:p>
      <w:pPr>
        <w:bidi w:val="0"/>
        <w:rPr>
          <w:rFonts w:hint="eastAsia" w:ascii="仿宋" w:hAnsi="仿宋" w:eastAsia="仿宋" w:cs="仿宋"/>
        </w:rPr>
      </w:pPr>
      <w:r>
        <w:rPr>
          <w:rFonts w:hint="eastAsia" w:ascii="仿宋" w:hAnsi="仿宋" w:eastAsia="仿宋" w:cs="仿宋"/>
        </w:rPr>
        <w:t>绿色发展奖励：对获得节水型企业、能源管理体系、低碳产品认证等的企业给予一次性奖励。</w:t>
      </w:r>
    </w:p>
    <w:p>
      <w:pPr>
        <w:pStyle w:val="5"/>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仿宋" w:hAnsi="仿宋" w:eastAsia="仿宋" w:cs="仿宋"/>
          <w:sz w:val="32"/>
          <w:szCs w:val="32"/>
        </w:rPr>
      </w:pPr>
      <w:r>
        <w:rPr>
          <w:rFonts w:hint="eastAsia" w:ascii="仿宋" w:hAnsi="仿宋" w:eastAsia="仿宋" w:cs="仿宋"/>
          <w:sz w:val="32"/>
          <w:szCs w:val="32"/>
        </w:rPr>
        <w:t>（3</w:t>
      </w:r>
      <w:r>
        <w:rPr>
          <w:rFonts w:hint="eastAsia" w:ascii="仿宋" w:hAnsi="仿宋" w:cs="仿宋"/>
          <w:sz w:val="32"/>
          <w:szCs w:val="32"/>
          <w:lang w:eastAsia="zh-CN"/>
        </w:rPr>
        <w:t>）</w:t>
      </w:r>
      <w:r>
        <w:rPr>
          <w:rFonts w:hint="eastAsia" w:ascii="仿宋" w:hAnsi="仿宋" w:eastAsia="仿宋" w:cs="仿宋"/>
          <w:sz w:val="32"/>
          <w:szCs w:val="32"/>
        </w:rPr>
        <w:t>创新创业支持政策补贴</w:t>
      </w:r>
    </w:p>
    <w:p>
      <w:pPr>
        <w:bidi w:val="0"/>
        <w:rPr>
          <w:rFonts w:hint="eastAsia" w:ascii="仿宋" w:hAnsi="仿宋" w:eastAsia="仿宋" w:cs="仿宋"/>
        </w:rPr>
      </w:pPr>
      <w:r>
        <w:rPr>
          <w:rFonts w:hint="eastAsia" w:ascii="仿宋" w:hAnsi="仿宋" w:eastAsia="仿宋" w:cs="仿宋"/>
        </w:rPr>
        <w:t>双创载体支持：对孵化器、众创空间等双创载体给予装修补贴、租金补贴、能耗补贴等，以支持其落地和运营。</w:t>
      </w:r>
    </w:p>
    <w:p>
      <w:pPr>
        <w:bidi w:val="0"/>
        <w:rPr>
          <w:rFonts w:hint="eastAsia" w:ascii="仿宋" w:hAnsi="仿宋" w:eastAsia="仿宋" w:cs="仿宋"/>
        </w:rPr>
      </w:pPr>
      <w:r>
        <w:rPr>
          <w:rFonts w:hint="eastAsia" w:ascii="仿宋" w:hAnsi="仿宋" w:eastAsia="仿宋" w:cs="仿宋"/>
        </w:rPr>
        <w:t>创业项目补贴：对符合条件的创业项目给予一次性创业补贴，如全日制本科及以上学历在校及毕业后5年内的大学生入驻园区孵化器、众创空间的创业项目可获得2.00万元补贴。</w:t>
      </w:r>
    </w:p>
    <w:p>
      <w:pPr>
        <w:bidi w:val="0"/>
        <w:rPr>
          <w:rFonts w:hint="eastAsia" w:ascii="仿宋" w:hAnsi="仿宋" w:eastAsia="仿宋" w:cs="仿宋"/>
        </w:rPr>
      </w:pPr>
      <w:r>
        <w:rPr>
          <w:rFonts w:hint="eastAsia" w:ascii="仿宋" w:hAnsi="仿宋" w:eastAsia="仿宋" w:cs="仿宋"/>
        </w:rPr>
        <w:t>人才引进奖励：对引进高层次人才的企业给予奖励，如引进“双一流”高校应届本科或应往届硕士研究生以上层次的大学生的企业，可获得一次性奖励。</w:t>
      </w:r>
    </w:p>
    <w:p>
      <w:pPr>
        <w:bidi w:val="0"/>
        <w:rPr>
          <w:rFonts w:hint="eastAsia" w:ascii="仿宋" w:hAnsi="仿宋" w:eastAsia="仿宋" w:cs="仿宋"/>
        </w:rPr>
      </w:pPr>
      <w:r>
        <w:rPr>
          <w:rFonts w:hint="eastAsia" w:ascii="仿宋" w:hAnsi="仿宋" w:eastAsia="仿宋" w:cs="仿宋"/>
        </w:rPr>
        <w:t>研发投入奖励：对符合条件的创新创业项目、重点企业加大研发投入给予奖励，如获得首件发明专利的给予2.00万元奖励。</w:t>
      </w:r>
    </w:p>
    <w:p>
      <w:pPr>
        <w:pStyle w:val="4"/>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outlineLvl w:val="2"/>
        <w:rPr>
          <w:rFonts w:hint="eastAsia" w:ascii="楷体" w:hAnsi="楷体" w:eastAsia="楷体" w:cs="楷体"/>
          <w:sz w:val="32"/>
          <w:szCs w:val="32"/>
        </w:rPr>
      </w:pPr>
      <w:r>
        <w:rPr>
          <w:rFonts w:hint="eastAsia" w:ascii="楷体" w:hAnsi="楷体" w:eastAsia="楷体" w:cs="楷体"/>
          <w:sz w:val="32"/>
          <w:szCs w:val="32"/>
        </w:rPr>
        <w:t>3.政策实施情况</w:t>
      </w:r>
    </w:p>
    <w:p>
      <w:pPr>
        <w:pStyle w:val="5"/>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r>
        <w:rPr>
          <w:rFonts w:hint="eastAsia" w:ascii="仿宋" w:hAnsi="仿宋" w:eastAsia="仿宋" w:cs="仿宋"/>
          <w:sz w:val="32"/>
          <w:szCs w:val="32"/>
        </w:rPr>
        <w:t>（1）现代服务业支持政策补贴实施情况</w:t>
      </w:r>
    </w:p>
    <w:p>
      <w:pPr>
        <w:bidi w:val="0"/>
        <w:rPr>
          <w:rFonts w:hint="eastAsia" w:ascii="仿宋" w:hAnsi="仿宋" w:eastAsia="仿宋" w:cs="仿宋"/>
        </w:rPr>
      </w:pPr>
      <w:r>
        <w:rPr>
          <w:rFonts w:hint="eastAsia" w:ascii="仿宋" w:hAnsi="仿宋" w:eastAsia="仿宋" w:cs="仿宋"/>
        </w:rPr>
        <w:t>政策申报与资金兑现：共有27家（次）企业申报了加快现代服务业发展的政策，拟兑现金额达到809.93万元，较上一年度有显著增长。新增了对电子商务平台或企业的支持政策，如蜀道通平台因其巨大的年交易额获得了高额支持（472.95万元），这极大地促进了区域电子商务的发展，提高了对外经济贸易的支持额度，盈思芯半导体等企业因此获得显著奖励（150.00万元），进一步推动了进出口贸易的增长。重点支持领域：鼓励企业升规纳限、助推企业总量突破、助力企业加速发展，鼓励企业扩大投资、统一运营、举办展销活动，并大力发展会展业、对外经济贸易、电子商务等。</w:t>
      </w:r>
    </w:p>
    <w:p>
      <w:pPr>
        <w:pStyle w:val="5"/>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r>
        <w:rPr>
          <w:rFonts w:hint="eastAsia" w:ascii="仿宋" w:hAnsi="仿宋" w:eastAsia="仿宋" w:cs="仿宋"/>
          <w:sz w:val="32"/>
          <w:szCs w:val="32"/>
        </w:rPr>
        <w:t>（2）制造业支持政策补贴实施情况</w:t>
      </w:r>
    </w:p>
    <w:p>
      <w:pPr>
        <w:bidi w:val="0"/>
        <w:rPr>
          <w:rFonts w:hint="eastAsia" w:ascii="仿宋" w:hAnsi="仿宋" w:eastAsia="仿宋" w:cs="仿宋"/>
        </w:rPr>
      </w:pPr>
      <w:r>
        <w:rPr>
          <w:rFonts w:hint="eastAsia" w:ascii="仿宋" w:hAnsi="仿宋" w:eastAsia="仿宋" w:cs="仿宋"/>
        </w:rPr>
        <w:t>政策申报与资金兑现2023年度首次申报共有23家企业参与，拟兑现金额136.25万元。成功支持了诚亿兴、托璞勒等企业创建省级</w:t>
      </w:r>
      <w:bookmarkStart w:id="1194" w:name="_GoBack"/>
      <w:r>
        <w:rPr>
          <w:rFonts w:hint="eastAsia" w:ascii="仿宋" w:hAnsi="仿宋" w:eastAsia="仿宋" w:cs="仿宋"/>
        </w:rPr>
        <w:t>专精</w:t>
      </w:r>
      <w:bookmarkEnd w:id="1194"/>
      <w:r>
        <w:rPr>
          <w:rFonts w:hint="eastAsia" w:ascii="仿宋" w:hAnsi="仿宋" w:eastAsia="仿宋" w:cs="仿宋"/>
        </w:rPr>
        <w:t>特新中小企业，托璞勒还获批全市首家省级瞪羚企业，获得35.00万元资金支持。支持了众志创美等3家新增规上工业企业以及上达电子等4家主营业务收入突破1亿元的企业。</w:t>
      </w:r>
    </w:p>
    <w:p>
      <w:pPr>
        <w:bidi w:val="0"/>
        <w:rPr>
          <w:rFonts w:hint="eastAsia" w:ascii="仿宋" w:hAnsi="仿宋" w:eastAsia="仿宋" w:cs="仿宋"/>
        </w:rPr>
      </w:pPr>
      <w:r>
        <w:rPr>
          <w:rFonts w:hint="eastAsia" w:ascii="仿宋" w:hAnsi="仿宋" w:eastAsia="仿宋" w:cs="仿宋"/>
        </w:rPr>
        <w:t>重点支持方向：推动企业加快发展，对新增规模以上工业企业给予奖励。支持企业技术改造，鼓励企业加强研发和创新。加快科技成果转化，支持企业挂牌上市，并加强企业安全生产和绿色发展。</w:t>
      </w:r>
    </w:p>
    <w:p>
      <w:pPr>
        <w:pStyle w:val="5"/>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r>
        <w:rPr>
          <w:rFonts w:hint="eastAsia" w:ascii="仿宋" w:hAnsi="仿宋" w:eastAsia="仿宋" w:cs="仿宋"/>
          <w:sz w:val="32"/>
          <w:szCs w:val="32"/>
        </w:rPr>
        <w:t>（3）创新创业支持政策补贴实施情况</w:t>
      </w:r>
    </w:p>
    <w:p>
      <w:pPr>
        <w:bidi w:val="0"/>
        <w:rPr>
          <w:rFonts w:hint="eastAsia" w:ascii="仿宋" w:hAnsi="仿宋" w:eastAsia="仿宋" w:cs="仿宋"/>
        </w:rPr>
      </w:pPr>
      <w:r>
        <w:rPr>
          <w:rFonts w:hint="eastAsia" w:ascii="仿宋" w:hAnsi="仿宋" w:eastAsia="仿宋" w:cs="仿宋"/>
        </w:rPr>
        <w:t>政策申报与资金兑现：共有38家企业申报了推进大众创业万众创新的政策，拟兑现金额354.43万元。支持了重庆大学遂宁研究院、锦兴供应链、科技服务中心等获得省级新型研发机构、国家级及省级众创空间认定，并获得相应资金支持。支持了九州聚源、宽窄印务等9家企业获得国家高新技术企业称号，并获得资金奖励。</w:t>
      </w:r>
    </w:p>
    <w:p>
      <w:pPr>
        <w:bidi w:val="0"/>
        <w:rPr>
          <w:rFonts w:hint="eastAsia" w:ascii="仿宋" w:hAnsi="仿宋" w:eastAsia="仿宋" w:cs="仿宋"/>
        </w:rPr>
      </w:pPr>
      <w:r>
        <w:rPr>
          <w:rFonts w:hint="eastAsia" w:ascii="仿宋" w:hAnsi="仿宋" w:eastAsia="仿宋" w:cs="仿宋"/>
        </w:rPr>
        <w:t>重点支持措施：构建“众创空间+孵化器+产业园区”全链条双创孵化体系。加快培育建设工程（技术）研究中心、科技企业孵化器（众创空间）等科技创新平台。着力培育一批科技型中小企业和高新技术企业，全面落实创新创业相关政策措施。</w:t>
      </w:r>
    </w:p>
    <w:p>
      <w:pPr>
        <w:bidi w:val="0"/>
        <w:rPr>
          <w:rFonts w:hint="eastAsia" w:ascii="仿宋" w:hAnsi="仿宋" w:eastAsia="仿宋" w:cs="仿宋"/>
        </w:rPr>
      </w:pPr>
      <w:r>
        <w:rPr>
          <w:rFonts w:hint="eastAsia" w:ascii="仿宋" w:hAnsi="仿宋" w:eastAsia="仿宋" w:cs="仿宋"/>
        </w:rPr>
        <w:t>遂宁高新区通过一系列精准有效的产业支持政策补贴措施，促进了现代服务业、制造业和创新创业的快速发展。这些政策不仅为企业提供了资金支持和奖励，还激发了企业的创新活力和发展动力，为区域经济的持续健康发展注入了强劲动力。未来，遂宁高新区将继续优化和完善产业支持政策体系，为更多企业提供更加全面、高效的支持和服务。</w:t>
      </w:r>
    </w:p>
    <w:p>
      <w:pPr>
        <w:pStyle w:val="3"/>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仿宋_GB2312" w:hAnsi="仿宋_GB2312" w:eastAsia="仿宋_GB2312" w:cs="仿宋_GB2312"/>
          <w:sz w:val="32"/>
          <w:szCs w:val="32"/>
        </w:rPr>
      </w:pPr>
      <w:bookmarkStart w:id="45" w:name="_Toc9195"/>
      <w:bookmarkStart w:id="46" w:name="_Toc22820"/>
      <w:bookmarkStart w:id="47" w:name="_Toc26917"/>
      <w:bookmarkStart w:id="48" w:name="_Toc1930"/>
      <w:bookmarkStart w:id="49" w:name="_Toc32416"/>
      <w:bookmarkStart w:id="50" w:name="_Toc12166"/>
      <w:bookmarkStart w:id="51" w:name="_Toc7401"/>
      <w:bookmarkStart w:id="52" w:name="_Toc12932"/>
      <w:bookmarkStart w:id="53" w:name="_Toc10460"/>
      <w:bookmarkStart w:id="54" w:name="_Toc27161"/>
      <w:bookmarkStart w:id="55" w:name="_Toc26413"/>
      <w:bookmarkStart w:id="56" w:name="_Toc11589"/>
      <w:bookmarkStart w:id="57" w:name="_Toc6314"/>
      <w:bookmarkStart w:id="58" w:name="_Toc22069"/>
      <w:bookmarkStart w:id="59" w:name="_Toc25344"/>
      <w:bookmarkStart w:id="60" w:name="_Toc13401"/>
      <w:bookmarkStart w:id="61" w:name="_Toc21932"/>
      <w:r>
        <w:rPr>
          <w:rFonts w:hint="eastAsia" w:ascii="仿宋_GB2312" w:hAnsi="仿宋_GB2312" w:eastAsia="仿宋_GB2312" w:cs="仿宋_GB2312"/>
          <w:sz w:val="32"/>
          <w:szCs w:val="32"/>
        </w:rPr>
        <w:t>（二）资金管理办法制定情况</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高新区科经商务局制定了《内部管理制度及工作流程》，参照了《机关财务管理制度（试行）》（遂高办〔2021〕269号）和《遂宁高新区财政性资金使用管理暂行办法（试行）》（遂高办〔2021〕270号）等文件。该制度结合高新区实际情况，明确了各项管理制度和工作流程，注重实用性和可操作性，并将根据工作需要和政策变化进行修订和完善。</w:t>
      </w:r>
    </w:p>
    <w:p>
      <w:pPr>
        <w:pStyle w:val="3"/>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仿宋_GB2312" w:hAnsi="仿宋_GB2312" w:eastAsia="仿宋_GB2312" w:cs="仿宋_GB2312"/>
          <w:sz w:val="32"/>
          <w:szCs w:val="32"/>
        </w:rPr>
      </w:pPr>
      <w:bookmarkStart w:id="62" w:name="_Toc7187"/>
      <w:bookmarkStart w:id="63" w:name="_Toc17879"/>
      <w:bookmarkStart w:id="64" w:name="_Toc2338"/>
      <w:bookmarkStart w:id="65" w:name="_Toc1321"/>
      <w:bookmarkStart w:id="66" w:name="_Toc451"/>
      <w:bookmarkStart w:id="67" w:name="_Toc4927"/>
      <w:bookmarkStart w:id="68" w:name="_Toc225"/>
      <w:bookmarkStart w:id="69" w:name="_Toc1392"/>
      <w:bookmarkStart w:id="70" w:name="_Toc990"/>
      <w:bookmarkStart w:id="71" w:name="_Toc9389"/>
      <w:bookmarkStart w:id="72" w:name="_Toc19245"/>
      <w:bookmarkStart w:id="73" w:name="_Toc32347"/>
      <w:bookmarkStart w:id="74" w:name="_Toc21252"/>
      <w:bookmarkStart w:id="75" w:name="_Toc19599"/>
      <w:bookmarkStart w:id="76" w:name="_Toc2642"/>
      <w:bookmarkStart w:id="77" w:name="_Toc15151"/>
      <w:bookmarkStart w:id="78" w:name="_Toc6272"/>
      <w:r>
        <w:rPr>
          <w:rFonts w:hint="eastAsia" w:ascii="仿宋_GB2312" w:hAnsi="仿宋_GB2312" w:eastAsia="仿宋_GB2312" w:cs="仿宋_GB2312"/>
          <w:sz w:val="32"/>
          <w:szCs w:val="32"/>
        </w:rPr>
        <w:t>（三）组织管理情况</w:t>
      </w:r>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pPr>
        <w:keepNext w:val="0"/>
        <w:keepLines w:val="0"/>
        <w:pageBreakBefore w:val="0"/>
        <w:widowControl w:val="0"/>
        <w:kinsoku/>
        <w:wordWrap/>
        <w:overflowPunct/>
        <w:topLinePunct w:val="0"/>
        <w:autoSpaceDE/>
        <w:autoSpaceDN/>
        <w:bidi w:val="0"/>
        <w:adjustRightInd/>
        <w:snapToGrid/>
        <w:textAlignment w:val="auto"/>
        <w:rPr>
          <w:rFonts w:hint="eastAsia"/>
        </w:rPr>
      </w:pPr>
      <w:r>
        <w:rPr>
          <w:rFonts w:hint="eastAsia"/>
        </w:rPr>
        <w:t>为了积极促进遂宁高新区民营经济的繁荣兴旺，并显著增强区内企业发展的信心与活力，同时不断优化商业环境，遂宁高新区科经商务局携手高新区财政金融局，紧密依托《进一步加快现代服务业发展的政策措施》《促进制造业高质量发展的政策措施（试行）》以及《大力推进大众创业万众创新的政策措施》这三大核心政策文件，正式启动了相关政策的深入实施与奖励资金的全面兑现工作。这系列政策的受益对象明确界定为在遂宁高新区内注册成立、拥有独立法人资格并能进行独立财务核算的个体经营者、运营平台或企业。</w:t>
      </w:r>
    </w:p>
    <w:p>
      <w:pPr>
        <w:bidi w:val="0"/>
        <w:rPr>
          <w:rFonts w:hint="eastAsia" w:ascii="仿宋" w:hAnsi="仿宋" w:eastAsia="仿宋" w:cs="仿宋"/>
        </w:rPr>
      </w:pPr>
      <w:r>
        <w:rPr>
          <w:rFonts w:hint="eastAsia" w:ascii="仿宋" w:hAnsi="仿宋" w:eastAsia="仿宋" w:cs="仿宋"/>
        </w:rPr>
        <w:t>为确保政策红利精准落地，制定了三项针对性的奖励资金兑现方案，《进一步加快现代服务业发展的政策措施》奖励资金兑现方案、《促进制造业高质量发展的政策措施》奖励资金兑现方案以及《大力推进大众创业万众创新的政策措施》政策奖补资金兑现方案。这些方案目的在于通过具体的资金扶持措施，直接助力企业成长与创新。</w:t>
      </w:r>
    </w:p>
    <w:p>
      <w:pPr>
        <w:bidi w:val="0"/>
        <w:rPr>
          <w:rFonts w:hint="eastAsia" w:ascii="仿宋" w:hAnsi="仿宋" w:eastAsia="仿宋" w:cs="仿宋"/>
        </w:rPr>
      </w:pPr>
      <w:r>
        <w:rPr>
          <w:rFonts w:hint="eastAsia" w:ascii="仿宋" w:hAnsi="仿宋" w:eastAsia="仿宋" w:cs="仿宋"/>
        </w:rPr>
        <w:t>2023年高新区党工委、管委会组织发改统计局、高新区财政金融局、科经商务局等多个关键部门，就奖补资金的兑现工作进行了深入细致的专题研讨。经过多轮讨论与协商，各部门就资金兑现的具体流程、标准与监督机制达成了高度共识，并据此形成了提交上会审议的详尽报告。在正式会议召开前夕，为确保方案的全面性与合理性，再次广泛征询了相关部门的意见与建议，均获得了积极的反馈，未有任何异议提出。这一系列举措标志着遂宁高新区在推动民营经济高质量发展、优化营商环境方面迈出了坚实的一步。</w:t>
      </w:r>
    </w:p>
    <w:p>
      <w:pPr>
        <w:pStyle w:val="3"/>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仿宋_GB2312" w:hAnsi="仿宋_GB2312" w:eastAsia="仿宋_GB2312" w:cs="仿宋_GB2312"/>
          <w:sz w:val="32"/>
          <w:szCs w:val="32"/>
        </w:rPr>
      </w:pPr>
      <w:bookmarkStart w:id="79" w:name="_Toc9056"/>
      <w:bookmarkStart w:id="80" w:name="_Toc19134"/>
      <w:bookmarkStart w:id="81" w:name="_Toc9830"/>
      <w:bookmarkStart w:id="82" w:name="_Toc19114"/>
      <w:bookmarkStart w:id="83" w:name="_Toc32454"/>
      <w:bookmarkStart w:id="84" w:name="_Toc19442"/>
      <w:bookmarkStart w:id="85" w:name="_Toc19088"/>
      <w:bookmarkStart w:id="86" w:name="_Toc28665"/>
      <w:bookmarkStart w:id="87" w:name="_Toc12449"/>
      <w:bookmarkStart w:id="88" w:name="_Toc23288"/>
      <w:bookmarkStart w:id="89" w:name="_Toc28551"/>
      <w:bookmarkStart w:id="90" w:name="_Toc13892"/>
      <w:bookmarkStart w:id="91" w:name="_Toc32212"/>
      <w:bookmarkStart w:id="92" w:name="_Toc27119"/>
      <w:bookmarkStart w:id="93" w:name="_Toc22207"/>
      <w:bookmarkStart w:id="94" w:name="_Toc27405"/>
      <w:bookmarkStart w:id="95" w:name="_Toc5550"/>
      <w:r>
        <w:rPr>
          <w:rFonts w:hint="eastAsia" w:ascii="仿宋_GB2312" w:hAnsi="仿宋_GB2312" w:eastAsia="仿宋_GB2312" w:cs="仿宋_GB2312"/>
          <w:sz w:val="32"/>
          <w:szCs w:val="32"/>
        </w:rPr>
        <w:t>（四）资金使用情况</w:t>
      </w:r>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pPr>
        <w:pStyle w:val="4"/>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楷体" w:hAnsi="楷体" w:eastAsia="楷体" w:cs="楷体"/>
          <w:b/>
          <w:bCs/>
          <w:sz w:val="32"/>
          <w:szCs w:val="32"/>
        </w:rPr>
      </w:pPr>
      <w:r>
        <w:rPr>
          <w:rFonts w:hint="eastAsia" w:ascii="楷体" w:hAnsi="楷体" w:eastAsia="楷体" w:cs="楷体"/>
          <w:b/>
          <w:bCs/>
          <w:sz w:val="32"/>
          <w:szCs w:val="32"/>
        </w:rPr>
        <w:t>1.资金投入</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按照综合预算的原则，遂宁高新区科经商务局所有收入和支出均纳入部门预算管理。2023年度遂宁高新区科经商务局产业支持政策补贴资金年初预算为340.00万元。调整后预算数为468.47万元。</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遂宁高新区财政金融局下达产业支持政策补贴资金468.47万元，预算资金到位率为100.00%。</w:t>
      </w:r>
    </w:p>
    <w:p>
      <w:pPr>
        <w:pStyle w:val="4"/>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楷体" w:hAnsi="楷体" w:eastAsia="楷体" w:cs="楷体"/>
          <w:b/>
          <w:bCs/>
          <w:sz w:val="32"/>
          <w:szCs w:val="32"/>
        </w:rPr>
      </w:pPr>
      <w:r>
        <w:rPr>
          <w:rFonts w:hint="eastAsia" w:ascii="楷体" w:hAnsi="楷体" w:eastAsia="楷体" w:cs="楷体"/>
          <w:b/>
          <w:bCs/>
          <w:sz w:val="32"/>
          <w:szCs w:val="32"/>
        </w:rPr>
        <w:t>2.资金使用</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bookmarkStart w:id="96" w:name="_Toc24190"/>
      <w:bookmarkStart w:id="97" w:name="_Toc640"/>
      <w:bookmarkStart w:id="98" w:name="_Toc32744"/>
      <w:r>
        <w:rPr>
          <w:rFonts w:hint="eastAsia" w:ascii="仿宋" w:hAnsi="仿宋" w:eastAsia="仿宋" w:cs="仿宋"/>
          <w:sz w:val="32"/>
          <w:szCs w:val="32"/>
        </w:rPr>
        <w:t>2023年度遂宁高新区科经商务局产业支持政策补贴资金为468.47万元，用于一是安排大力推进园区大众创业万众创新政策补贴拨付2021年度双创十条奖补资金96.47万元；二是安排支持园区工业、商贸服务业企业以及创新创业企业发展政策补贴资金为372.00万元。其中第二届中国（四川）国际熊猫消费节资金25.00万元，大力发展对外经济贸易服务业政策资金150.00万元；2022年服务业政策奖补6.00万元，兑现2021年服务业十条奖补资金111.00万元，兑现2021年双创十条部分奖补资金80.00万元。</w:t>
      </w:r>
    </w:p>
    <w:p>
      <w:pPr>
        <w:pStyle w:val="3"/>
        <w:keepNext/>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textAlignment w:val="auto"/>
        <w:rPr>
          <w:rFonts w:hint="eastAsia" w:ascii="仿宋_GB2312" w:hAnsi="仿宋_GB2312" w:eastAsia="仿宋_GB2312" w:cs="仿宋_GB2312"/>
          <w:sz w:val="32"/>
          <w:szCs w:val="32"/>
        </w:rPr>
      </w:pPr>
      <w:bookmarkStart w:id="99" w:name="_Toc142"/>
      <w:bookmarkStart w:id="100" w:name="_Toc10445"/>
      <w:bookmarkStart w:id="101" w:name="_Toc4203"/>
      <w:bookmarkStart w:id="102" w:name="_Toc9785"/>
      <w:bookmarkStart w:id="103" w:name="_Toc27019"/>
      <w:bookmarkStart w:id="104" w:name="_Toc13513"/>
      <w:bookmarkStart w:id="105" w:name="_Toc26671"/>
      <w:bookmarkStart w:id="106" w:name="_Toc13425"/>
      <w:bookmarkStart w:id="107" w:name="_Toc28019"/>
      <w:bookmarkStart w:id="108" w:name="_Toc8255"/>
      <w:bookmarkStart w:id="109" w:name="_Toc31160"/>
      <w:bookmarkStart w:id="110" w:name="_Toc6582"/>
      <w:bookmarkStart w:id="111" w:name="_Toc18812"/>
      <w:bookmarkStart w:id="112" w:name="_Toc15994"/>
      <w:bookmarkStart w:id="113" w:name="_Toc30192"/>
      <w:bookmarkStart w:id="114" w:name="_Toc29176"/>
      <w:r>
        <w:rPr>
          <w:rFonts w:hint="eastAsia" w:ascii="仿宋_GB2312" w:hAnsi="仿宋_GB2312" w:eastAsia="仿宋_GB2312" w:cs="仿宋_GB2312"/>
          <w:sz w:val="32"/>
          <w:szCs w:val="32"/>
        </w:rPr>
        <w:t>（五）项目绩效目标</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rPr>
        <w:t>2023年，高新区科经商务局继续园区制定的“三大政策</w:t>
      </w:r>
      <w:r>
        <w:rPr>
          <w:rFonts w:hint="eastAsia" w:ascii="仿宋" w:hAnsi="仿宋" w:eastAsia="仿宋" w:cs="仿宋"/>
          <w:sz w:val="32"/>
          <w:szCs w:val="32"/>
          <w:lang w:val="en-US" w:eastAsia="zh-CN"/>
        </w:rPr>
        <w:t>”</w:t>
      </w:r>
      <w:r>
        <w:rPr>
          <w:rFonts w:hint="eastAsia" w:ascii="仿宋" w:hAnsi="仿宋" w:eastAsia="仿宋" w:cs="仿宋"/>
          <w:sz w:val="32"/>
          <w:szCs w:val="32"/>
        </w:rPr>
        <w:t>。一是将大力推动园区内大众创业、万众创新的政策举措，目标是</w:t>
      </w:r>
      <w:r>
        <w:rPr>
          <w:rFonts w:hint="eastAsia" w:ascii="仿宋" w:hAnsi="仿宋" w:cs="仿宋"/>
          <w:sz w:val="32"/>
          <w:szCs w:val="32"/>
          <w:lang w:eastAsia="zh-CN"/>
        </w:rPr>
        <w:t>支持</w:t>
      </w:r>
      <w:r>
        <w:rPr>
          <w:rFonts w:hint="eastAsia" w:ascii="仿宋" w:hAnsi="仿宋" w:eastAsia="仿宋" w:cs="仿宋"/>
          <w:sz w:val="32"/>
          <w:szCs w:val="32"/>
        </w:rPr>
        <w:t>发展并培育2</w:t>
      </w:r>
      <w:r>
        <w:rPr>
          <w:rFonts w:hint="eastAsia" w:ascii="仿宋" w:hAnsi="仿宋" w:cs="仿宋"/>
          <w:sz w:val="32"/>
          <w:szCs w:val="32"/>
          <w:lang w:val="en-US" w:eastAsia="zh-CN"/>
        </w:rPr>
        <w:t>2</w:t>
      </w:r>
      <w:r>
        <w:rPr>
          <w:rFonts w:hint="eastAsia" w:ascii="仿宋" w:hAnsi="仿宋" w:eastAsia="仿宋" w:cs="仿宋"/>
          <w:sz w:val="32"/>
          <w:szCs w:val="32"/>
        </w:rPr>
        <w:t>家具有创新精神的企业，同时提升企业创新及创业能力15</w:t>
      </w:r>
      <w:r>
        <w:rPr>
          <w:rFonts w:hint="eastAsia" w:ascii="仿宋" w:hAnsi="仿宋" w:eastAsia="仿宋" w:cs="仿宋"/>
          <w:sz w:val="32"/>
          <w:szCs w:val="32"/>
          <w:lang w:val="en-US" w:eastAsia="zh-CN"/>
        </w:rPr>
        <w:t>.00</w:t>
      </w:r>
      <w:r>
        <w:rPr>
          <w:rFonts w:hint="eastAsia" w:ascii="仿宋" w:hAnsi="仿宋" w:eastAsia="仿宋" w:cs="仿宋"/>
          <w:sz w:val="32"/>
          <w:szCs w:val="32"/>
        </w:rPr>
        <w:t>%。计划在本年度举办至少一次创新创业活动，拉动经济增长达到10</w:t>
      </w:r>
      <w:r>
        <w:rPr>
          <w:rFonts w:hint="eastAsia" w:ascii="仿宋" w:hAnsi="仿宋" w:eastAsia="仿宋" w:cs="仿宋"/>
          <w:sz w:val="32"/>
          <w:szCs w:val="32"/>
          <w:lang w:val="en-US" w:eastAsia="zh-CN"/>
        </w:rPr>
        <w:t>.00</w:t>
      </w:r>
      <w:r>
        <w:rPr>
          <w:rFonts w:hint="eastAsia" w:ascii="仿宋" w:hAnsi="仿宋" w:eastAsia="仿宋" w:cs="仿宋"/>
          <w:sz w:val="32"/>
          <w:szCs w:val="32"/>
        </w:rPr>
        <w:t>%。二是将持续支持园区内工业、商贸、服务业以及创新型企业的发展，目标是</w:t>
      </w:r>
      <w:r>
        <w:rPr>
          <w:rFonts w:hint="eastAsia" w:ascii="仿宋" w:hAnsi="仿宋" w:cs="仿宋"/>
          <w:sz w:val="32"/>
          <w:szCs w:val="32"/>
          <w:lang w:eastAsia="zh-CN"/>
        </w:rPr>
        <w:t>助推</w:t>
      </w:r>
      <w:r>
        <w:rPr>
          <w:rFonts w:hint="eastAsia" w:ascii="仿宋" w:hAnsi="仿宋" w:eastAsia="仿宋" w:cs="仿宋"/>
          <w:sz w:val="32"/>
          <w:szCs w:val="32"/>
        </w:rPr>
        <w:t>园区内企业发展至30家以上。在年内完成相关申报工作，确保</w:t>
      </w:r>
      <w:r>
        <w:rPr>
          <w:rFonts w:hint="eastAsia" w:ascii="仿宋" w:hAnsi="仿宋" w:cs="仿宋"/>
          <w:sz w:val="32"/>
          <w:szCs w:val="32"/>
          <w:lang w:eastAsia="zh-CN"/>
        </w:rPr>
        <w:t>提升</w:t>
      </w:r>
      <w:r>
        <w:rPr>
          <w:rFonts w:hint="eastAsia" w:ascii="仿宋" w:hAnsi="仿宋" w:eastAsia="仿宋" w:cs="仿宋"/>
          <w:sz w:val="32"/>
          <w:szCs w:val="32"/>
        </w:rPr>
        <w:t>政策的奖补效应达到60</w:t>
      </w:r>
      <w:r>
        <w:rPr>
          <w:rFonts w:hint="eastAsia" w:ascii="仿宋" w:hAnsi="仿宋" w:eastAsia="仿宋" w:cs="仿宋"/>
          <w:sz w:val="32"/>
          <w:szCs w:val="32"/>
          <w:lang w:val="en-US" w:eastAsia="zh-CN"/>
        </w:rPr>
        <w:t>.00</w:t>
      </w:r>
      <w:r>
        <w:rPr>
          <w:rFonts w:hint="eastAsia" w:ascii="仿宋" w:hAnsi="仿宋" w:eastAsia="仿宋" w:cs="仿宋"/>
          <w:sz w:val="32"/>
          <w:szCs w:val="32"/>
        </w:rPr>
        <w:t>%，提升园区内工业、商贸、科技创新企业的占比达到70</w:t>
      </w:r>
      <w:r>
        <w:rPr>
          <w:rFonts w:hint="eastAsia" w:ascii="仿宋" w:hAnsi="仿宋" w:eastAsia="仿宋" w:cs="仿宋"/>
          <w:sz w:val="32"/>
          <w:szCs w:val="32"/>
          <w:lang w:val="en-US" w:eastAsia="zh-CN"/>
        </w:rPr>
        <w:t>.00</w:t>
      </w:r>
      <w:r>
        <w:rPr>
          <w:rFonts w:hint="eastAsia" w:ascii="仿宋" w:hAnsi="仿宋" w:eastAsia="仿宋" w:cs="仿宋"/>
          <w:sz w:val="32"/>
          <w:szCs w:val="32"/>
        </w:rPr>
        <w:t>%，同时带动当地就业率增长达到80</w:t>
      </w:r>
      <w:r>
        <w:rPr>
          <w:rFonts w:hint="eastAsia" w:ascii="仿宋" w:hAnsi="仿宋" w:eastAsia="仿宋" w:cs="仿宋"/>
          <w:sz w:val="32"/>
          <w:szCs w:val="32"/>
          <w:lang w:val="en-US" w:eastAsia="zh-CN"/>
        </w:rPr>
        <w:t>.00</w:t>
      </w:r>
      <w:r>
        <w:rPr>
          <w:rFonts w:hint="eastAsia" w:ascii="仿宋" w:hAnsi="仿宋" w:eastAsia="仿宋" w:cs="仿宋"/>
          <w:sz w:val="32"/>
          <w:szCs w:val="32"/>
        </w:rPr>
        <w:t>%。</w:t>
      </w:r>
      <w:bookmarkStart w:id="115" w:name="_Toc25886"/>
      <w:bookmarkStart w:id="116" w:name="_Toc504"/>
      <w:bookmarkStart w:id="117" w:name="_Toc24041"/>
      <w:bookmarkStart w:id="118" w:name="_Toc25657"/>
      <w:bookmarkStart w:id="119" w:name="_Toc8646"/>
      <w:bookmarkStart w:id="120" w:name="_Toc7572"/>
      <w:bookmarkStart w:id="121" w:name="_Toc6938"/>
      <w:bookmarkStart w:id="122" w:name="_Toc13351"/>
      <w:bookmarkStart w:id="123" w:name="_Toc23483"/>
      <w:bookmarkStart w:id="124" w:name="_Toc22307"/>
      <w:bookmarkStart w:id="125" w:name="_Toc23443"/>
      <w:bookmarkStart w:id="126" w:name="_Toc26714"/>
      <w:bookmarkStart w:id="127" w:name="_Toc10137"/>
      <w:bookmarkStart w:id="128" w:name="_Toc4978"/>
    </w:p>
    <w:p>
      <w:pPr>
        <w:pStyle w:val="2"/>
        <w:keepNext/>
        <w:pageBreakBefore w:val="0"/>
        <w:widowControl w:val="0"/>
        <w:kinsoku/>
        <w:wordWrap/>
        <w:topLinePunct w:val="0"/>
        <w:bidi w:val="0"/>
        <w:adjustRightInd/>
        <w:snapToGrid/>
        <w:ind w:firstLine="640" w:firstLineChars="200"/>
        <w:textAlignment w:val="auto"/>
        <w:rPr>
          <w:rFonts w:hint="eastAsia"/>
          <w:lang w:eastAsia="zh-CN"/>
        </w:rPr>
      </w:pPr>
      <w:bookmarkStart w:id="129" w:name="_Toc12388"/>
      <w:bookmarkStart w:id="130" w:name="_Toc3355"/>
      <w:bookmarkStart w:id="131" w:name="_Toc26151"/>
      <w:r>
        <w:rPr>
          <w:rFonts w:hint="eastAsia"/>
        </w:rPr>
        <w:t>二、绩效评价工作开展情况</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Start w:id="132" w:name="_Toc5727"/>
      <w:bookmarkStart w:id="133" w:name="_Toc1531"/>
      <w:bookmarkStart w:id="134" w:name="_Toc881"/>
      <w:bookmarkStart w:id="135" w:name="_Toc20393"/>
      <w:bookmarkStart w:id="136" w:name="_Toc752"/>
      <w:bookmarkStart w:id="137" w:name="_Toc1373"/>
      <w:bookmarkStart w:id="138" w:name="_Toc14779"/>
      <w:bookmarkStart w:id="139" w:name="_Toc20522"/>
      <w:bookmarkStart w:id="140" w:name="_Toc13130"/>
      <w:bookmarkStart w:id="141" w:name="_Toc31951"/>
      <w:bookmarkStart w:id="142" w:name="_Toc9206"/>
      <w:bookmarkStart w:id="143" w:name="_Toc129683084"/>
      <w:bookmarkStart w:id="144" w:name="_Toc17427"/>
      <w:r>
        <w:rPr>
          <w:rFonts w:hint="eastAsia"/>
          <w:lang w:eastAsia="zh-CN"/>
        </w:rPr>
        <w:tab/>
      </w:r>
      <w:bookmarkStart w:id="145" w:name="_Toc11085"/>
      <w:bookmarkStart w:id="146" w:name="_Toc17592"/>
      <w:bookmarkStart w:id="147" w:name="_Toc24272"/>
      <w:bookmarkStart w:id="148" w:name="_Toc6100"/>
      <w:bookmarkStart w:id="149" w:name="_Toc25825"/>
    </w:p>
    <w:p>
      <w:pPr>
        <w:pStyle w:val="3"/>
        <w:keepNext/>
        <w:pageBreakBefore w:val="0"/>
        <w:widowControl w:val="0"/>
        <w:kinsoku/>
        <w:wordWrap/>
        <w:topLinePunct w:val="0"/>
        <w:bidi w:val="0"/>
        <w:adjustRightInd/>
        <w:snapToGrid/>
        <w:ind w:firstLine="643" w:firstLineChars="200"/>
        <w:textAlignment w:val="auto"/>
        <w:rPr>
          <w:rFonts w:hint="eastAsia"/>
        </w:rPr>
      </w:pPr>
      <w:bookmarkStart w:id="150" w:name="_Toc19169"/>
      <w:bookmarkStart w:id="151" w:name="_Toc24291"/>
      <w:bookmarkStart w:id="152" w:name="_Toc13702"/>
      <w:r>
        <w:rPr>
          <w:rFonts w:hint="eastAsia"/>
        </w:rPr>
        <w:t>（一）绩效评价目的、对象和范围</w:t>
      </w:r>
      <w:bookmarkEnd w:id="145"/>
      <w:bookmarkEnd w:id="146"/>
      <w:bookmarkEnd w:id="147"/>
      <w:bookmarkEnd w:id="148"/>
      <w:bookmarkEnd w:id="149"/>
      <w:bookmarkEnd w:id="150"/>
      <w:bookmarkEnd w:id="151"/>
      <w:bookmarkEnd w:id="152"/>
    </w:p>
    <w:bookmarkEnd w:id="132"/>
    <w:bookmarkEnd w:id="133"/>
    <w:bookmarkEnd w:id="134"/>
    <w:bookmarkEnd w:id="135"/>
    <w:bookmarkEnd w:id="136"/>
    <w:bookmarkEnd w:id="137"/>
    <w:bookmarkEnd w:id="138"/>
    <w:bookmarkEnd w:id="139"/>
    <w:bookmarkEnd w:id="140"/>
    <w:bookmarkEnd w:id="141"/>
    <w:bookmarkEnd w:id="142"/>
    <w:bookmarkEnd w:id="143"/>
    <w:bookmarkEnd w:id="144"/>
    <w:p>
      <w:pPr>
        <w:pStyle w:val="4"/>
        <w:keepNext/>
        <w:keepLines w:val="0"/>
        <w:pageBreakBefore w:val="0"/>
        <w:widowControl w:val="0"/>
        <w:kinsoku/>
        <w:wordWrap/>
        <w:overflowPunct w:val="0"/>
        <w:topLinePunct w:val="0"/>
        <w:autoSpaceDE w:val="0"/>
        <w:autoSpaceDN w:val="0"/>
        <w:bidi w:val="0"/>
        <w:adjustRightInd/>
        <w:snapToGrid/>
        <w:ind w:left="0" w:leftChars="0" w:firstLine="643" w:firstLineChars="200"/>
        <w:textAlignment w:val="auto"/>
        <w:rPr>
          <w:rFonts w:hint="eastAsia" w:ascii="楷体" w:hAnsi="楷体" w:eastAsia="楷体" w:cs="楷体"/>
        </w:rPr>
      </w:pPr>
      <w:bookmarkStart w:id="153" w:name="_Toc30541"/>
      <w:r>
        <w:rPr>
          <w:rFonts w:hint="eastAsia" w:ascii="楷体" w:hAnsi="楷体" w:eastAsia="楷体" w:cs="楷体"/>
        </w:rPr>
        <w:t>1.绩效评价目的</w:t>
      </w:r>
      <w:bookmarkEnd w:id="153"/>
    </w:p>
    <w:p>
      <w:pPr>
        <w:pageBreakBefore w:val="0"/>
        <w:widowControl w:val="0"/>
        <w:kinsoku/>
        <w:wordWrap/>
        <w:topLinePunct w:val="0"/>
        <w:bidi w:val="0"/>
        <w:adjustRightInd/>
        <w:snapToGrid/>
        <w:textAlignment w:val="auto"/>
        <w:rPr>
          <w:rFonts w:hint="eastAsia" w:ascii="仿宋" w:hAnsi="仿宋" w:eastAsia="仿宋" w:cs="仿宋"/>
        </w:rPr>
      </w:pPr>
      <w:r>
        <w:rPr>
          <w:rFonts w:hint="eastAsia" w:ascii="仿宋" w:hAnsi="仿宋" w:eastAsia="仿宋" w:cs="仿宋"/>
        </w:rPr>
        <w:t>根据项目绩效目标，运用科学合理的绩效评价指标、评价标准和评价方法，对遂宁高新区科经商务局2023年产业支持政策补贴的经济性、效率性和效益性进行客观、公正地评价。通过绩效评价，有效贯彻落实中央关于全面实施预算绩效管理的决策部署，加强奖补资金监督，规范奖补资金的使用，提高奖补资金使用效益，不断强化绩效结果应用。通过对奖补资金事后监督和评价工作，不断发现问题，总结经验，优化方法，加快推动商贸服务业、双创主体恢复增长，园区发展基础进一步夯实。</w:t>
      </w:r>
    </w:p>
    <w:bookmarkEnd w:id="96"/>
    <w:bookmarkEnd w:id="97"/>
    <w:bookmarkEnd w:id="98"/>
    <w:p>
      <w:pPr>
        <w:pStyle w:val="4"/>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bookmarkStart w:id="154" w:name="_Toc24988"/>
      <w:r>
        <w:rPr>
          <w:rFonts w:hint="eastAsia" w:ascii="楷体" w:hAnsi="楷体" w:eastAsia="楷体" w:cs="楷体"/>
          <w:sz w:val="32"/>
          <w:szCs w:val="32"/>
        </w:rPr>
        <w:t>2.绩效评价对象</w:t>
      </w:r>
      <w:bookmarkEnd w:id="154"/>
    </w:p>
    <w:p>
      <w:pPr>
        <w:bidi w:val="0"/>
        <w:rPr>
          <w:rFonts w:hint="eastAsia" w:ascii="仿宋" w:hAnsi="仿宋" w:eastAsia="仿宋" w:cs="仿宋"/>
        </w:rPr>
      </w:pPr>
      <w:r>
        <w:rPr>
          <w:rFonts w:hint="eastAsia" w:ascii="仿宋" w:hAnsi="仿宋" w:eastAsia="仿宋" w:cs="仿宋"/>
        </w:rPr>
        <w:t>本次评价对象是遂宁高新区科经商务局2023年产业支持政策补贴资金468.47万元。</w:t>
      </w:r>
    </w:p>
    <w:p>
      <w:pPr>
        <w:pStyle w:val="4"/>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楷体" w:hAnsi="楷体" w:eastAsia="楷体" w:cs="楷体"/>
          <w:sz w:val="32"/>
          <w:szCs w:val="32"/>
        </w:rPr>
      </w:pPr>
      <w:bookmarkStart w:id="155" w:name="_Toc31189"/>
      <w:r>
        <w:rPr>
          <w:rFonts w:hint="eastAsia" w:ascii="楷体" w:hAnsi="楷体" w:eastAsia="楷体" w:cs="楷体"/>
          <w:sz w:val="32"/>
          <w:szCs w:val="32"/>
        </w:rPr>
        <w:t>3.绩效评价范围</w:t>
      </w:r>
      <w:bookmarkEnd w:id="155"/>
    </w:p>
    <w:p>
      <w:pPr>
        <w:bidi w:val="0"/>
        <w:rPr>
          <w:rFonts w:hint="eastAsia"/>
        </w:rPr>
      </w:pPr>
      <w:r>
        <w:rPr>
          <w:rFonts w:hint="eastAsia"/>
        </w:rPr>
        <w:t>本次绩效评价范围包括：一是政策制定，包括政策的必要性、政策可行性、政策合规合理性；二是政策执行，包括配套政策制定情况和政策执行情况；三是资金使用效率，包括预算执行率和资金拨付及时性、资金使用率；四是政策效果情况，包括政策产出和效益情况，群众满意度情况。</w:t>
      </w:r>
    </w:p>
    <w:p>
      <w:pPr>
        <w:pStyle w:val="3"/>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_GB2312" w:hAnsi="仿宋_GB2312" w:eastAsia="仿宋_GB2312" w:cs="仿宋_GB2312"/>
          <w:sz w:val="32"/>
          <w:szCs w:val="32"/>
        </w:rPr>
      </w:pPr>
      <w:bookmarkStart w:id="156" w:name="_Toc25144"/>
      <w:bookmarkStart w:id="157" w:name="_Toc21859"/>
      <w:bookmarkStart w:id="158" w:name="_Toc22423"/>
      <w:bookmarkStart w:id="159" w:name="_Toc29848"/>
      <w:bookmarkStart w:id="160" w:name="_Toc13332"/>
      <w:bookmarkStart w:id="161" w:name="_Toc129683088"/>
      <w:bookmarkStart w:id="162" w:name="_Toc9757"/>
      <w:bookmarkStart w:id="163" w:name="_Toc23704"/>
      <w:bookmarkStart w:id="164" w:name="_Toc24573"/>
      <w:bookmarkStart w:id="165" w:name="_Toc26942"/>
      <w:bookmarkStart w:id="166" w:name="_Toc657"/>
      <w:bookmarkStart w:id="167" w:name="_Toc23262"/>
      <w:bookmarkStart w:id="168" w:name="_Toc17197"/>
      <w:bookmarkStart w:id="169" w:name="_Toc22264"/>
      <w:bookmarkStart w:id="170" w:name="_Toc28114"/>
      <w:bookmarkStart w:id="171" w:name="_Toc32683"/>
      <w:bookmarkStart w:id="172" w:name="_Toc25050"/>
      <w:bookmarkStart w:id="173" w:name="_Toc26533"/>
      <w:bookmarkStart w:id="174" w:name="_Toc6181"/>
      <w:bookmarkStart w:id="175" w:name="_Toc24621"/>
      <w:bookmarkStart w:id="176" w:name="_Toc19738"/>
      <w:r>
        <w:rPr>
          <w:rFonts w:hint="eastAsia" w:ascii="仿宋_GB2312" w:hAnsi="仿宋_GB2312" w:eastAsia="仿宋_GB2312" w:cs="仿宋_GB2312"/>
          <w:sz w:val="32"/>
          <w:szCs w:val="32"/>
        </w:rPr>
        <w:t>（二）绩效评价依据和原则</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pPr>
        <w:pStyle w:val="4"/>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楷体" w:hAnsi="楷体" w:eastAsia="楷体" w:cs="楷体"/>
          <w:sz w:val="32"/>
          <w:szCs w:val="32"/>
        </w:rPr>
      </w:pPr>
      <w:r>
        <w:rPr>
          <w:rFonts w:hint="eastAsia" w:ascii="楷体" w:hAnsi="楷体" w:eastAsia="楷体" w:cs="楷体"/>
          <w:sz w:val="32"/>
          <w:szCs w:val="32"/>
        </w:rPr>
        <w:t>1.绩效评价依据</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1）</w:t>
      </w:r>
      <w:r>
        <w:rPr>
          <w:rFonts w:hint="eastAsia" w:ascii="仿宋" w:hAnsi="仿宋" w:eastAsia="仿宋" w:cs="仿宋"/>
          <w:sz w:val="32"/>
          <w:szCs w:val="32"/>
        </w:rPr>
        <w:t>《中华人民共和国预算法》；</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lang w:val="en-US" w:eastAsia="zh-CN"/>
        </w:rPr>
        <w:t>（2）</w:t>
      </w:r>
      <w:r>
        <w:rPr>
          <w:rFonts w:hint="eastAsia" w:ascii="仿宋" w:hAnsi="仿宋" w:eastAsia="仿宋" w:cs="仿宋"/>
          <w:sz w:val="32"/>
          <w:szCs w:val="32"/>
        </w:rPr>
        <w:t>《中华人民共和国审计法》；</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lang w:val="en-US" w:eastAsia="zh-CN"/>
        </w:rPr>
        <w:t>（3）</w:t>
      </w:r>
      <w:r>
        <w:rPr>
          <w:rFonts w:hint="eastAsia" w:ascii="仿宋" w:hAnsi="仿宋" w:eastAsia="仿宋" w:cs="仿宋"/>
          <w:sz w:val="32"/>
          <w:szCs w:val="32"/>
        </w:rPr>
        <w:t>《中共中央国务院关于全面实施预算绩效管理的意见》（中发〔2018〕34号）；</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4）</w:t>
      </w:r>
      <w:r>
        <w:rPr>
          <w:rFonts w:hint="eastAsia" w:ascii="仿宋" w:hAnsi="仿宋" w:eastAsia="仿宋" w:cs="仿宋"/>
          <w:sz w:val="32"/>
          <w:szCs w:val="32"/>
        </w:rPr>
        <w:t>《财政部关于印发〈项目支出绩效评价管理办法〉的通知》（财预〔2020〕10号）；</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lang w:val="en-US" w:eastAsia="zh-CN"/>
        </w:rPr>
        <w:t>(5)</w:t>
      </w:r>
      <w:r>
        <w:rPr>
          <w:rFonts w:hint="eastAsia" w:ascii="仿宋" w:hAnsi="仿宋" w:eastAsia="仿宋" w:cs="仿宋"/>
          <w:sz w:val="32"/>
          <w:szCs w:val="32"/>
        </w:rPr>
        <w:t>《遂宁市财政局关于印发遂宁市市本级政府采购项目绩效评价办法的通知》（遂财采〔2023〕54号）</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cs="仿宋"/>
          <w:sz w:val="32"/>
          <w:szCs w:val="32"/>
          <w:lang w:val="en-US" w:eastAsia="zh-CN"/>
        </w:rPr>
        <w:t>（</w:t>
      </w:r>
      <w:r>
        <w:rPr>
          <w:rFonts w:hint="eastAsia" w:ascii="仿宋" w:hAnsi="仿宋" w:eastAsia="仿宋" w:cs="仿宋"/>
          <w:sz w:val="32"/>
          <w:szCs w:val="32"/>
          <w:lang w:val="en-US" w:eastAsia="zh-CN"/>
        </w:rPr>
        <w:t>6</w:t>
      </w:r>
      <w:r>
        <w:rPr>
          <w:rFonts w:hint="eastAsia" w:ascii="仿宋" w:hAnsi="仿宋" w:cs="仿宋"/>
          <w:sz w:val="32"/>
          <w:szCs w:val="32"/>
          <w:lang w:val="en-US" w:eastAsia="zh-CN"/>
        </w:rPr>
        <w:t>）</w:t>
      </w:r>
      <w:r>
        <w:rPr>
          <w:rFonts w:hint="eastAsia" w:ascii="仿宋" w:hAnsi="仿宋" w:eastAsia="仿宋" w:cs="仿宋"/>
          <w:sz w:val="32"/>
          <w:szCs w:val="32"/>
        </w:rPr>
        <w:t>遂宁高新技术产业园区《关于大力推进大众创业万众创新的十条政策措施（试行）的通知》（遂高管〔2019〕65号）；</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cs="仿宋"/>
          <w:sz w:val="32"/>
          <w:szCs w:val="32"/>
          <w:lang w:val="en-US" w:eastAsia="zh-CN"/>
        </w:rPr>
        <w:t>（</w:t>
      </w:r>
      <w:r>
        <w:rPr>
          <w:rFonts w:hint="eastAsia" w:ascii="仿宋" w:hAnsi="仿宋" w:eastAsia="仿宋" w:cs="仿宋"/>
          <w:sz w:val="32"/>
          <w:szCs w:val="32"/>
          <w:lang w:val="en-US" w:eastAsia="zh-CN"/>
        </w:rPr>
        <w:t>7</w:t>
      </w:r>
      <w:r>
        <w:rPr>
          <w:rFonts w:hint="eastAsia" w:ascii="仿宋" w:hAnsi="仿宋" w:cs="仿宋"/>
          <w:sz w:val="32"/>
          <w:szCs w:val="32"/>
          <w:lang w:val="en-US" w:eastAsia="zh-CN"/>
        </w:rPr>
        <w:t>）</w:t>
      </w:r>
      <w:r>
        <w:rPr>
          <w:rFonts w:hint="eastAsia" w:ascii="仿宋" w:hAnsi="仿宋" w:eastAsia="仿宋" w:cs="仿宋"/>
          <w:sz w:val="32"/>
          <w:szCs w:val="32"/>
        </w:rPr>
        <w:t>遂宁高新技术产业园区《进一步加快现代服务业发展的政策措施》（遂高管〔2020〕48号）；</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cs="仿宋"/>
          <w:sz w:val="32"/>
          <w:szCs w:val="32"/>
          <w:lang w:val="en-US" w:eastAsia="zh-CN"/>
        </w:rPr>
        <w:t>（</w:t>
      </w:r>
      <w:r>
        <w:rPr>
          <w:rFonts w:hint="eastAsia" w:ascii="仿宋" w:hAnsi="仿宋" w:eastAsia="仿宋" w:cs="仿宋"/>
          <w:sz w:val="32"/>
          <w:szCs w:val="32"/>
          <w:lang w:val="en-US" w:eastAsia="zh-CN"/>
        </w:rPr>
        <w:t>8</w:t>
      </w:r>
      <w:r>
        <w:rPr>
          <w:rFonts w:hint="eastAsia" w:ascii="仿宋" w:hAnsi="仿宋" w:cs="仿宋"/>
          <w:sz w:val="32"/>
          <w:szCs w:val="32"/>
          <w:lang w:val="en-US" w:eastAsia="zh-CN"/>
        </w:rPr>
        <w:t>）</w:t>
      </w:r>
      <w:r>
        <w:rPr>
          <w:rFonts w:hint="eastAsia" w:ascii="仿宋" w:hAnsi="仿宋" w:eastAsia="仿宋" w:cs="仿宋"/>
          <w:sz w:val="32"/>
          <w:szCs w:val="32"/>
        </w:rPr>
        <w:t>遂宁高新技术产业园区《促进制造业高质量发展的政策措施（试行）》（遂高管规〔2022〕2号）；</w:t>
      </w:r>
    </w:p>
    <w:p>
      <w:pPr>
        <w:pStyle w:val="6"/>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cs="仿宋"/>
          <w:sz w:val="32"/>
          <w:szCs w:val="32"/>
          <w:lang w:val="en-US" w:eastAsia="zh-CN"/>
        </w:rPr>
        <w:t>（</w:t>
      </w:r>
      <w:r>
        <w:rPr>
          <w:rFonts w:hint="eastAsia" w:ascii="仿宋" w:hAnsi="仿宋" w:eastAsia="仿宋" w:cs="仿宋"/>
          <w:sz w:val="32"/>
          <w:szCs w:val="32"/>
          <w:lang w:val="en-US" w:eastAsia="zh-CN"/>
        </w:rPr>
        <w:t>9</w:t>
      </w:r>
      <w:r>
        <w:rPr>
          <w:rFonts w:hint="eastAsia" w:ascii="仿宋" w:hAnsi="仿宋" w:cs="仿宋"/>
          <w:sz w:val="32"/>
          <w:szCs w:val="32"/>
          <w:lang w:val="en-US" w:eastAsia="zh-CN"/>
        </w:rPr>
        <w:t>）</w:t>
      </w:r>
      <w:r>
        <w:rPr>
          <w:rFonts w:hint="eastAsia" w:ascii="仿宋" w:hAnsi="仿宋" w:eastAsia="仿宋" w:cs="仿宋"/>
          <w:sz w:val="32"/>
          <w:szCs w:val="32"/>
        </w:rPr>
        <w:t>其他有关政策文件。</w:t>
      </w:r>
    </w:p>
    <w:p>
      <w:pPr>
        <w:pStyle w:val="4"/>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楷体" w:hAnsi="楷体" w:eastAsia="楷体" w:cs="楷体"/>
          <w:sz w:val="32"/>
          <w:szCs w:val="32"/>
        </w:rPr>
      </w:pPr>
      <w:r>
        <w:rPr>
          <w:rFonts w:hint="eastAsia" w:ascii="楷体" w:hAnsi="楷体" w:eastAsia="楷体" w:cs="楷体"/>
          <w:sz w:val="32"/>
          <w:szCs w:val="32"/>
        </w:rPr>
        <w:t>2.评价指标原则</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bookmarkStart w:id="177" w:name="_Toc26523"/>
      <w:r>
        <w:rPr>
          <w:rFonts w:hint="eastAsia" w:ascii="仿宋" w:hAnsi="仿宋" w:eastAsia="仿宋" w:cs="仿宋"/>
          <w:sz w:val="32"/>
          <w:szCs w:val="32"/>
        </w:rPr>
        <w:t>本次绩效评价本着客观公正、科学规范、绩效相关、公开透明的原则，采用全面评价和重点评价相结合，现场评价与非现场评价相补充的方法，对项目进行综合评价。在评价过程中，结合被评价单位的实际情况，通过听取情况介绍、收集和核实相关材料、检查财务凭证实地走访调查、综合分析等一系列工作程序，在充分发挥社会调查的基础上，形成评价结论。</w:t>
      </w:r>
    </w:p>
    <w:bookmarkEnd w:id="177"/>
    <w:p>
      <w:pPr>
        <w:pStyle w:val="3"/>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_GB2312" w:hAnsi="仿宋_GB2312" w:eastAsia="仿宋_GB2312" w:cs="仿宋_GB2312"/>
          <w:sz w:val="32"/>
          <w:szCs w:val="32"/>
        </w:rPr>
      </w:pPr>
      <w:bookmarkStart w:id="178" w:name="_Toc4610"/>
      <w:bookmarkStart w:id="179" w:name="_Toc22948"/>
      <w:bookmarkStart w:id="180" w:name="_Toc10560"/>
      <w:bookmarkStart w:id="181" w:name="_Toc18090"/>
      <w:bookmarkStart w:id="182" w:name="_Toc12796"/>
      <w:bookmarkStart w:id="183" w:name="_Toc3229"/>
      <w:bookmarkStart w:id="184" w:name="_Toc14606"/>
      <w:bookmarkStart w:id="185" w:name="_Toc13137"/>
      <w:bookmarkStart w:id="186" w:name="_Toc8487"/>
      <w:bookmarkStart w:id="187" w:name="_Toc18481"/>
      <w:bookmarkStart w:id="188" w:name="_Toc15007"/>
      <w:bookmarkStart w:id="189" w:name="_Toc8834"/>
      <w:bookmarkStart w:id="190" w:name="_Toc27991"/>
      <w:bookmarkStart w:id="191" w:name="_Toc25465"/>
      <w:bookmarkStart w:id="192" w:name="_Toc22080"/>
      <w:bookmarkStart w:id="193" w:name="_Toc13329"/>
      <w:bookmarkStart w:id="194" w:name="_Toc30033"/>
      <w:r>
        <w:rPr>
          <w:rFonts w:hint="eastAsia" w:ascii="仿宋_GB2312" w:hAnsi="仿宋_GB2312" w:eastAsia="仿宋_GB2312" w:cs="仿宋_GB2312"/>
          <w:sz w:val="32"/>
          <w:szCs w:val="32"/>
        </w:rPr>
        <w:t>（三）评价方法和指标体系</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p>
    <w:p>
      <w:pPr>
        <w:pStyle w:val="4"/>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楷体" w:hAnsi="楷体" w:eastAsia="楷体" w:cs="楷体"/>
          <w:sz w:val="32"/>
          <w:szCs w:val="32"/>
        </w:rPr>
      </w:pPr>
      <w:r>
        <w:rPr>
          <w:rFonts w:hint="eastAsia" w:ascii="楷体" w:hAnsi="楷体" w:eastAsia="楷体" w:cs="楷体"/>
          <w:sz w:val="32"/>
          <w:szCs w:val="32"/>
        </w:rPr>
        <w:t>1.绩效评价方法</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bookmarkStart w:id="195" w:name="_Toc170897740"/>
      <w:r>
        <w:rPr>
          <w:rFonts w:hint="eastAsia" w:ascii="仿宋" w:hAnsi="仿宋" w:eastAsia="仿宋" w:cs="仿宋"/>
          <w:sz w:val="32"/>
          <w:szCs w:val="32"/>
        </w:rPr>
        <w:t>本次绩效评价用到的评价方法包括成本效益法、比较法、因素分析法和公众评价法，具体如下：</w:t>
      </w:r>
    </w:p>
    <w:p>
      <w:pPr>
        <w:pStyle w:val="5"/>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r>
        <w:rPr>
          <w:rFonts w:hint="eastAsia" w:ascii="仿宋" w:hAnsi="仿宋" w:eastAsia="仿宋" w:cs="仿宋"/>
          <w:sz w:val="32"/>
          <w:szCs w:val="32"/>
        </w:rPr>
        <w:t>（1）成本效益法</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成本效益法主要为将项目建设投入与产出、效益进行关联性分析。本项目投入主要是产业支持政策补贴资金，通过产业支持政策补贴资金兑现，结合经批复的财政支持资金，提升园区政策奖补效应。</w:t>
      </w:r>
    </w:p>
    <w:p>
      <w:pPr>
        <w:pStyle w:val="5"/>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r>
        <w:rPr>
          <w:rFonts w:hint="eastAsia" w:ascii="仿宋" w:hAnsi="仿宋" w:eastAsia="仿宋" w:cs="仿宋"/>
          <w:sz w:val="32"/>
          <w:szCs w:val="32"/>
        </w:rPr>
        <w:t>（2）比较法</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比较法是指将实施情况与绩效目标、历史情况、不同部门和地区同类支出情况进行比较的方法。本次绩效评价运用比较法主要为指将实施情况与绩效目标进行对比。</w:t>
      </w:r>
    </w:p>
    <w:p>
      <w:pPr>
        <w:pStyle w:val="5"/>
        <w:keepLines w:val="0"/>
        <w:pageBreakBefore w:val="0"/>
        <w:widowControl w:val="0"/>
        <w:kinsoku/>
        <w:wordWrap/>
        <w:overflowPunct w:val="0"/>
        <w:topLinePunct w:val="0"/>
        <w:autoSpaceDE w:val="0"/>
        <w:autoSpaceDN w:val="0"/>
        <w:bidi w:val="0"/>
        <w:adjustRightInd/>
        <w:snapToGrid/>
        <w:spacing w:line="560" w:lineRule="exact"/>
        <w:ind w:left="0" w:leftChars="0" w:firstLine="643" w:firstLineChars="200"/>
        <w:jc w:val="both"/>
        <w:rPr>
          <w:rFonts w:hint="eastAsia" w:ascii="仿宋" w:hAnsi="仿宋" w:eastAsia="仿宋" w:cs="仿宋"/>
          <w:sz w:val="32"/>
          <w:szCs w:val="32"/>
        </w:rPr>
      </w:pPr>
      <w:r>
        <w:rPr>
          <w:rFonts w:hint="eastAsia" w:ascii="仿宋" w:hAnsi="仿宋" w:eastAsia="仿宋" w:cs="仿宋"/>
          <w:sz w:val="32"/>
          <w:szCs w:val="32"/>
        </w:rPr>
        <w:t>（3）因素分析法</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因素分析法是指综合分析影响绩效目标实现、实施效果的内外部因素的方法。本项目将通过评估各类因素对项目绩效目标实现、实施效果的影响程度，在绩效评价时进行相应考虑。</w:t>
      </w:r>
    </w:p>
    <w:p>
      <w:pPr>
        <w:pStyle w:val="4"/>
        <w:bidi w:val="0"/>
        <w:rPr>
          <w:rFonts w:hint="eastAsia" w:ascii="楷体" w:hAnsi="楷体" w:eastAsia="楷体" w:cs="楷体"/>
        </w:rPr>
      </w:pPr>
      <w:r>
        <w:rPr>
          <w:rFonts w:hint="eastAsia" w:ascii="楷体" w:hAnsi="楷体" w:eastAsia="楷体" w:cs="楷体"/>
        </w:rPr>
        <w:t>2.评价指标体系</w:t>
      </w:r>
      <w:bookmarkEnd w:id="195"/>
      <w:bookmarkStart w:id="196" w:name="_Toc115268466"/>
    </w:p>
    <w:p>
      <w:pPr>
        <w:pStyle w:val="5"/>
        <w:bidi w:val="0"/>
        <w:rPr>
          <w:rFonts w:hint="eastAsia" w:ascii="仿宋" w:hAnsi="仿宋" w:eastAsia="仿宋" w:cs="仿宋"/>
        </w:rPr>
      </w:pPr>
      <w:r>
        <w:rPr>
          <w:rFonts w:hint="eastAsia" w:ascii="仿宋" w:hAnsi="仿宋" w:eastAsia="仿宋" w:cs="仿宋"/>
        </w:rPr>
        <w:t>（1）本次评价指标的构建思路</w:t>
      </w:r>
      <w:bookmarkEnd w:id="196"/>
    </w:p>
    <w:p>
      <w:pPr>
        <w:pStyle w:val="6"/>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本次绩效评价对象为遂宁高新区科经商务局产业支持政策补贴资金项目，针对绩效指标体系建立是本次绩效评价的一个关键部分，在确定绩效评价指标方面，我们主要考虑到两个重点：一是设置合理的绩效指标，绩效指标要能够准确清晰地反映资金使用效果，需尽量设置为可衡量、可考核的清晰明确的指标，指标值需具有约束力；二是产业支持政策补贴特点，依据政策补贴管理规定，坚持问题导向、目标导向、效果导向，结合产业支持政策补贴资金管理和政策效益设置相对应的指标进行评判，并科学评估风险。</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本次绩效评价参照《财政部关于印发〈项目支出绩效评价管理办法〉的通知》（财预〔2020〕10号）；遂宁高新技术产业园区《关于大力推进大众创业万众创新的十条政策措施（试行）的通知》（遂高管〔2019〕65号）；遂宁高新技术产业园区《进一步加快现代服务业发展的政策措施》（遂高管〔2020〕48号）；遂宁高新技术产业园区《促进制造业高质量发展的政策措施（试行）》（</w:t>
      </w:r>
      <w:r>
        <w:rPr>
          <w:rFonts w:hint="eastAsia" w:ascii="仿宋" w:hAnsi="仿宋" w:eastAsia="仿宋" w:cs="仿宋"/>
          <w:sz w:val="32"/>
          <w:szCs w:val="32"/>
          <w:shd w:val="clear" w:color="auto" w:fill="FFFFFF"/>
        </w:rPr>
        <w:t>遂高管规〔2022〕2号）</w:t>
      </w:r>
      <w:r>
        <w:rPr>
          <w:rFonts w:hint="eastAsia" w:ascii="仿宋" w:hAnsi="仿宋" w:eastAsia="仿宋" w:cs="仿宋"/>
          <w:sz w:val="32"/>
          <w:szCs w:val="32"/>
        </w:rPr>
        <w:t>文件中绩效评价要求来设计本次绩效评价指标体系，同时根据我们绩效评价的经验结合项目实际情况，细化了政策制定、政策执行、资金使用、政策效果等方面指标权重，针对性强化产出效果指标考核的权重。</w:t>
      </w:r>
    </w:p>
    <w:p>
      <w:pPr>
        <w:pStyle w:val="5"/>
        <w:bidi w:val="0"/>
        <w:rPr>
          <w:rFonts w:hint="eastAsia" w:ascii="仿宋" w:hAnsi="仿宋" w:eastAsia="仿宋" w:cs="仿宋"/>
        </w:rPr>
      </w:pPr>
      <w:r>
        <w:rPr>
          <w:rFonts w:hint="eastAsia" w:ascii="仿宋" w:hAnsi="仿宋" w:eastAsia="仿宋" w:cs="仿宋"/>
        </w:rPr>
        <w:t>（2）指标体系</w:t>
      </w:r>
    </w:p>
    <w:p>
      <w:pPr>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根据</w:t>
      </w:r>
      <w:r>
        <w:rPr>
          <w:rFonts w:hint="eastAsia" w:ascii="仿宋" w:hAnsi="仿宋" w:eastAsia="仿宋" w:cs="仿宋"/>
          <w:kern w:val="0"/>
          <w:sz w:val="32"/>
          <w:szCs w:val="32"/>
          <w:lang w:bidi="ar"/>
        </w:rPr>
        <w:t>财政部关于预算绩效管理工作的规定</w:t>
      </w:r>
      <w:r>
        <w:rPr>
          <w:rFonts w:hint="eastAsia" w:ascii="仿宋" w:hAnsi="仿宋" w:eastAsia="仿宋" w:cs="仿宋"/>
          <w:sz w:val="32"/>
          <w:szCs w:val="32"/>
        </w:rPr>
        <w:t>，结合产业支持政策补贴资金特点，绩效评价组在与专家组充分沟通的基础上，拟定本次绩效评价指标体系。本绩效评价指标体系设政策制定、政策执行、政策产出、政策效果4个一级指标、18个二级指标、27个三级指标评价项目。指标体系如下：</w:t>
      </w:r>
    </w:p>
    <w:p>
      <w:pPr>
        <w:keepNext w:val="0"/>
        <w:keepLines w:val="0"/>
        <w:pageBreakBefore w:val="0"/>
        <w:widowControl w:val="0"/>
        <w:kinsoku/>
        <w:wordWrap/>
        <w:overflowPunct w:val="0"/>
        <w:topLinePunct w:val="0"/>
        <w:autoSpaceDE w:val="0"/>
        <w:autoSpaceDN w:val="0"/>
        <w:bidi w:val="0"/>
        <w:adjustRightInd/>
        <w:snapToGrid/>
        <w:spacing w:after="157" w:afterLines="50" w:line="560" w:lineRule="exact"/>
        <w:ind w:left="0" w:leftChars="0" w:right="0" w:rightChars="0" w:firstLine="0" w:firstLineChars="0"/>
        <w:jc w:val="center"/>
        <w:textAlignment w:val="auto"/>
        <w:rPr>
          <w:rFonts w:hint="eastAsia" w:ascii="宋体" w:hAnsi="宋体" w:eastAsia="宋体" w:cs="宋体"/>
          <w:b/>
          <w:bCs/>
          <w:sz w:val="24"/>
          <w:szCs w:val="24"/>
        </w:rPr>
      </w:pPr>
      <w:r>
        <w:rPr>
          <w:rFonts w:hint="eastAsia" w:ascii="宋体" w:hAnsi="宋体" w:eastAsia="宋体" w:cs="宋体"/>
          <w:b/>
          <w:bCs/>
          <w:sz w:val="24"/>
          <w:szCs w:val="24"/>
        </w:rPr>
        <w:t>2023年产业支持政策补贴绩效评价指标体系</w:t>
      </w:r>
    </w:p>
    <w:tbl>
      <w:tblPr>
        <w:tblStyle w:val="17"/>
        <w:tblW w:w="8390" w:type="dxa"/>
        <w:jc w:val="right"/>
        <w:tblLayout w:type="fixed"/>
        <w:tblCellMar>
          <w:top w:w="0" w:type="dxa"/>
          <w:left w:w="108" w:type="dxa"/>
          <w:bottom w:w="0" w:type="dxa"/>
          <w:right w:w="108" w:type="dxa"/>
        </w:tblCellMar>
      </w:tblPr>
      <w:tblGrid>
        <w:gridCol w:w="2160"/>
        <w:gridCol w:w="2310"/>
        <w:gridCol w:w="2641"/>
        <w:gridCol w:w="1279"/>
      </w:tblGrid>
      <w:tr>
        <w:tblPrEx>
          <w:tblCellMar>
            <w:top w:w="0" w:type="dxa"/>
            <w:left w:w="108" w:type="dxa"/>
            <w:bottom w:w="0" w:type="dxa"/>
            <w:right w:w="108" w:type="dxa"/>
          </w:tblCellMar>
        </w:tblPrEx>
        <w:trPr>
          <w:trHeight w:val="312" w:hRule="atLeast"/>
          <w:jc w:val="right"/>
        </w:trPr>
        <w:tc>
          <w:tcPr>
            <w:tcW w:w="21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kern w:val="0"/>
                <w:sz w:val="24"/>
                <w:szCs w:val="24"/>
                <w:lang w:bidi="ar"/>
              </w:rPr>
              <w:t>一级指标</w:t>
            </w:r>
          </w:p>
        </w:tc>
        <w:tc>
          <w:tcPr>
            <w:tcW w:w="23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kern w:val="0"/>
                <w:sz w:val="24"/>
                <w:szCs w:val="24"/>
                <w:lang w:bidi="ar"/>
              </w:rPr>
              <w:t>二级指标</w:t>
            </w:r>
          </w:p>
        </w:tc>
        <w:tc>
          <w:tcPr>
            <w:tcW w:w="264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kern w:val="0"/>
                <w:sz w:val="24"/>
                <w:szCs w:val="24"/>
                <w:lang w:bidi="ar"/>
              </w:rPr>
              <w:t>三级指标</w:t>
            </w:r>
          </w:p>
        </w:tc>
        <w:tc>
          <w:tcPr>
            <w:tcW w:w="12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kern w:val="0"/>
                <w:sz w:val="24"/>
                <w:szCs w:val="24"/>
                <w:lang w:bidi="ar"/>
              </w:rPr>
              <w:t>分值</w:t>
            </w:r>
          </w:p>
        </w:tc>
      </w:tr>
      <w:tr>
        <w:tblPrEx>
          <w:tblCellMar>
            <w:top w:w="0" w:type="dxa"/>
            <w:left w:w="108" w:type="dxa"/>
            <w:bottom w:w="0" w:type="dxa"/>
            <w:right w:w="108" w:type="dxa"/>
          </w:tblCellMar>
        </w:tblPrEx>
        <w:trPr>
          <w:trHeight w:val="312"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both"/>
              <w:rPr>
                <w:rFonts w:hint="eastAsia" w:ascii="宋体" w:hAnsi="宋体" w:eastAsia="宋体" w:cs="宋体"/>
                <w:b/>
                <w:bCs/>
                <w:sz w:val="24"/>
                <w:szCs w:val="24"/>
              </w:rPr>
            </w:pPr>
          </w:p>
        </w:tc>
        <w:tc>
          <w:tcPr>
            <w:tcW w:w="2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both"/>
              <w:rPr>
                <w:rFonts w:hint="eastAsia" w:ascii="宋体" w:hAnsi="宋体" w:eastAsia="宋体" w:cs="宋体"/>
                <w:b/>
                <w:bCs/>
                <w:sz w:val="24"/>
                <w:szCs w:val="24"/>
              </w:rPr>
            </w:pPr>
          </w:p>
        </w:tc>
        <w:tc>
          <w:tcPr>
            <w:tcW w:w="264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both"/>
              <w:rPr>
                <w:rFonts w:hint="eastAsia" w:ascii="宋体" w:hAnsi="宋体" w:eastAsia="宋体" w:cs="宋体"/>
                <w:b/>
                <w:bCs/>
                <w:sz w:val="24"/>
                <w:szCs w:val="24"/>
              </w:rPr>
            </w:pPr>
          </w:p>
        </w:tc>
        <w:tc>
          <w:tcPr>
            <w:tcW w:w="12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center"/>
              <w:rPr>
                <w:rFonts w:hint="eastAsia" w:ascii="宋体" w:hAnsi="宋体" w:eastAsia="宋体" w:cs="宋体"/>
                <w:b/>
                <w:bCs/>
                <w:sz w:val="24"/>
                <w:szCs w:val="24"/>
              </w:rPr>
            </w:pPr>
          </w:p>
        </w:tc>
      </w:tr>
      <w:tr>
        <w:tblPrEx>
          <w:tblCellMar>
            <w:top w:w="0" w:type="dxa"/>
            <w:left w:w="108" w:type="dxa"/>
            <w:bottom w:w="0" w:type="dxa"/>
            <w:right w:w="108" w:type="dxa"/>
          </w:tblCellMar>
        </w:tblPrEx>
        <w:trPr>
          <w:trHeight w:val="335" w:hRule="atLeast"/>
          <w:jc w:val="right"/>
        </w:trPr>
        <w:tc>
          <w:tcPr>
            <w:tcW w:w="21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both"/>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政策制定（20分）</w:t>
            </w:r>
          </w:p>
        </w:tc>
        <w:tc>
          <w:tcPr>
            <w:tcW w:w="23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政策必要性</w:t>
            </w: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政策符合</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满足需求</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3.00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交叉重复</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3.00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政策可行性</w:t>
            </w: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条件具备</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环境具备</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92"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政策合规合理性</w:t>
            </w: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符合法律法规</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1.00</w:t>
            </w:r>
          </w:p>
        </w:tc>
      </w:tr>
      <w:tr>
        <w:tblPrEx>
          <w:tblCellMar>
            <w:top w:w="0" w:type="dxa"/>
            <w:left w:w="108" w:type="dxa"/>
            <w:bottom w:w="0" w:type="dxa"/>
            <w:right w:w="108" w:type="dxa"/>
          </w:tblCellMar>
        </w:tblPrEx>
        <w:trPr>
          <w:trHeight w:val="445"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符合职能职责</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1.00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内容完整</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范围明确</w:t>
            </w:r>
          </w:p>
        </w:tc>
        <w:tc>
          <w:tcPr>
            <w:tcW w:w="12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000000" w:sz="4" w:space="0"/>
              <w:left w:val="single" w:color="000000" w:sz="4" w:space="0"/>
              <w:bottom w:val="single" w:color="auto"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标准合理</w:t>
            </w:r>
          </w:p>
        </w:tc>
        <w:tc>
          <w:tcPr>
            <w:tcW w:w="1279" w:type="dxa"/>
            <w:tcBorders>
              <w:top w:val="single" w:color="000000" w:sz="4" w:space="0"/>
              <w:left w:val="single" w:color="000000" w:sz="4" w:space="0"/>
              <w:bottom w:val="single" w:color="auto" w:sz="4" w:space="0"/>
              <w:right w:val="single" w:color="000000"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48" w:hRule="atLeast"/>
          <w:jc w:val="right"/>
        </w:trPr>
        <w:tc>
          <w:tcPr>
            <w:tcW w:w="216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both"/>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政策执行（20分）</w:t>
            </w: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配套政策制定情况</w:t>
            </w: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区级实施细则制定情况</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430"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政策执行情况</w:t>
            </w: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申报审核规范性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7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项目库建设完备性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34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政策调整及时性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42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动态跟踪机制健全性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1.00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管理规范性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90"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信息公开情况</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1.00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资金使用效率</w:t>
            </w: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预算执行率</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2.00</w:t>
            </w:r>
          </w:p>
        </w:tc>
      </w:tr>
      <w:tr>
        <w:tblPrEx>
          <w:tblCellMar>
            <w:top w:w="0" w:type="dxa"/>
            <w:left w:w="108" w:type="dxa"/>
            <w:bottom w:w="0" w:type="dxa"/>
            <w:right w:w="108" w:type="dxa"/>
          </w:tblCellMar>
        </w:tblPrEx>
        <w:trPr>
          <w:trHeight w:val="90"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资金拨付及时性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1.00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资金使用率</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1.00</w:t>
            </w:r>
          </w:p>
        </w:tc>
      </w:tr>
      <w:tr>
        <w:tblPrEx>
          <w:tblCellMar>
            <w:top w:w="0" w:type="dxa"/>
            <w:left w:w="108" w:type="dxa"/>
            <w:bottom w:w="0" w:type="dxa"/>
            <w:right w:w="108" w:type="dxa"/>
          </w:tblCellMar>
        </w:tblPrEx>
        <w:trPr>
          <w:trHeight w:val="41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资金使用合规性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1.00</w:t>
            </w:r>
          </w:p>
        </w:tc>
      </w:tr>
      <w:tr>
        <w:tblPrEx>
          <w:tblCellMar>
            <w:top w:w="0" w:type="dxa"/>
            <w:left w:w="108" w:type="dxa"/>
            <w:bottom w:w="0" w:type="dxa"/>
            <w:right w:w="108" w:type="dxa"/>
          </w:tblCellMar>
        </w:tblPrEx>
        <w:trPr>
          <w:trHeight w:val="335" w:hRule="atLeast"/>
          <w:jc w:val="right"/>
        </w:trPr>
        <w:tc>
          <w:tcPr>
            <w:tcW w:w="216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both"/>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政策产出（40分）</w:t>
            </w: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数量指标</w:t>
            </w:r>
          </w:p>
        </w:tc>
        <w:tc>
          <w:tcPr>
            <w:tcW w:w="264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推进园区大众创业万众创新</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质量指标</w:t>
            </w:r>
          </w:p>
        </w:tc>
        <w:tc>
          <w:tcPr>
            <w:tcW w:w="264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时效指标</w:t>
            </w:r>
          </w:p>
        </w:tc>
        <w:tc>
          <w:tcPr>
            <w:tcW w:w="264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成本指标</w:t>
            </w:r>
          </w:p>
        </w:tc>
        <w:tc>
          <w:tcPr>
            <w:tcW w:w="264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rPr>
                <w:rFonts w:hint="eastAsia" w:ascii="宋体" w:hAnsi="宋体" w:eastAsia="宋体" w:cs="宋体"/>
                <w:sz w:val="24"/>
                <w:szCs w:val="24"/>
              </w:rPr>
            </w:pP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数量指标</w:t>
            </w:r>
          </w:p>
        </w:tc>
        <w:tc>
          <w:tcPr>
            <w:tcW w:w="264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支持园区工业、商贸服务业企业以及创新创业企业发展</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质量指标</w:t>
            </w:r>
          </w:p>
        </w:tc>
        <w:tc>
          <w:tcPr>
            <w:tcW w:w="264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时效指标</w:t>
            </w:r>
          </w:p>
        </w:tc>
        <w:tc>
          <w:tcPr>
            <w:tcW w:w="264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260" w:hRule="atLeast"/>
          <w:jc w:val="right"/>
        </w:trPr>
        <w:tc>
          <w:tcPr>
            <w:tcW w:w="216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成本核算</w:t>
            </w:r>
          </w:p>
        </w:tc>
        <w:tc>
          <w:tcPr>
            <w:tcW w:w="264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restart"/>
            <w:tcBorders>
              <w:top w:val="single" w:color="auto" w:sz="4" w:space="0"/>
              <w:left w:val="single" w:color="000000" w:sz="4" w:space="0"/>
              <w:bottom w:val="nil"/>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both"/>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政策效益（20分）</w:t>
            </w: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经济效益</w:t>
            </w: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撬动性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nil"/>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社会效益</w:t>
            </w: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引导性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35" w:hRule="atLeast"/>
          <w:jc w:val="right"/>
        </w:trPr>
        <w:tc>
          <w:tcPr>
            <w:tcW w:w="2160" w:type="dxa"/>
            <w:vMerge w:val="continue"/>
            <w:tcBorders>
              <w:top w:val="single" w:color="000000" w:sz="4" w:space="0"/>
              <w:left w:val="single" w:color="000000" w:sz="4" w:space="0"/>
              <w:bottom w:val="nil"/>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可持续影响</w:t>
            </w: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成长性</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320" w:hRule="atLeast"/>
          <w:jc w:val="right"/>
        </w:trPr>
        <w:tc>
          <w:tcPr>
            <w:tcW w:w="2160" w:type="dxa"/>
            <w:vMerge w:val="continue"/>
            <w:tcBorders>
              <w:top w:val="single" w:color="000000" w:sz="4" w:space="0"/>
              <w:left w:val="single" w:color="000000" w:sz="4" w:space="0"/>
              <w:bottom w:val="nil"/>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p>
        </w:tc>
        <w:tc>
          <w:tcPr>
            <w:tcW w:w="2310"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满意度指标</w:t>
            </w:r>
          </w:p>
        </w:tc>
        <w:tc>
          <w:tcPr>
            <w:tcW w:w="2641"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受益对象满意度</w:t>
            </w:r>
          </w:p>
        </w:tc>
        <w:tc>
          <w:tcPr>
            <w:tcW w:w="1279" w:type="dxa"/>
            <w:tcBorders>
              <w:top w:val="single" w:color="auto" w:sz="4" w:space="0"/>
              <w:left w:val="single" w:color="auto" w:sz="4" w:space="0"/>
              <w:bottom w:val="single" w:color="auto" w:sz="4" w:space="0"/>
              <w:right w:val="single" w:color="auto" w:sz="4" w:space="0"/>
            </w:tcBorders>
            <w:shd w:val="clear" w:color="auto" w:fill="auto"/>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sz w:val="24"/>
                <w:szCs w:val="24"/>
              </w:rPr>
            </w:pPr>
            <w:r>
              <w:rPr>
                <w:rFonts w:hint="eastAsia" w:ascii="宋体" w:hAnsi="宋体" w:eastAsia="宋体" w:cs="宋体"/>
                <w:kern w:val="0"/>
                <w:sz w:val="24"/>
                <w:szCs w:val="24"/>
                <w:lang w:bidi="ar"/>
              </w:rPr>
              <w:t>5.00</w:t>
            </w:r>
          </w:p>
        </w:tc>
      </w:tr>
      <w:tr>
        <w:tblPrEx>
          <w:tblCellMar>
            <w:top w:w="0" w:type="dxa"/>
            <w:left w:w="108" w:type="dxa"/>
            <w:bottom w:w="0" w:type="dxa"/>
            <w:right w:w="108" w:type="dxa"/>
          </w:tblCellMar>
        </w:tblPrEx>
        <w:trPr>
          <w:trHeight w:val="278" w:hRule="atLeast"/>
          <w:jc w:val="right"/>
        </w:trPr>
        <w:tc>
          <w:tcPr>
            <w:tcW w:w="4470"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center"/>
              <w:textAlignment w:val="center"/>
              <w:rPr>
                <w:rFonts w:hint="eastAsia" w:ascii="宋体" w:hAnsi="宋体" w:eastAsia="宋体" w:cs="宋体"/>
                <w:b/>
                <w:bCs/>
                <w:sz w:val="24"/>
                <w:szCs w:val="24"/>
              </w:rPr>
            </w:pPr>
            <w:r>
              <w:rPr>
                <w:rFonts w:hint="eastAsia" w:ascii="宋体" w:hAnsi="宋体" w:eastAsia="宋体" w:cs="宋体"/>
                <w:b/>
                <w:bCs/>
                <w:kern w:val="0"/>
                <w:sz w:val="24"/>
                <w:szCs w:val="24"/>
                <w:lang w:bidi="ar"/>
              </w:rPr>
              <w:t>合计</w:t>
            </w:r>
          </w:p>
        </w:tc>
        <w:tc>
          <w:tcPr>
            <w:tcW w:w="2641"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center"/>
              <w:rPr>
                <w:rFonts w:hint="eastAsia" w:ascii="宋体" w:hAnsi="宋体" w:eastAsia="宋体" w:cs="宋体"/>
                <w:b/>
                <w:bCs/>
                <w:sz w:val="24"/>
                <w:szCs w:val="24"/>
              </w:rPr>
            </w:pPr>
          </w:p>
        </w:tc>
        <w:tc>
          <w:tcPr>
            <w:tcW w:w="1279" w:type="dxa"/>
            <w:tcBorders>
              <w:top w:val="single" w:color="auto" w:sz="4" w:space="0"/>
              <w:left w:val="single" w:color="auto" w:sz="4" w:space="0"/>
              <w:bottom w:val="single" w:color="auto" w:sz="4" w:space="0"/>
              <w:right w:val="single" w:color="auto" w:sz="4" w:space="0"/>
            </w:tcBorders>
            <w:shd w:val="clear" w:color="auto" w:fill="auto"/>
            <w:noWrap/>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kern w:val="0"/>
                <w:sz w:val="24"/>
                <w:szCs w:val="24"/>
                <w:lang w:bidi="ar"/>
              </w:rPr>
              <w:t>100.00</w:t>
            </w:r>
          </w:p>
        </w:tc>
      </w:tr>
    </w:tbl>
    <w:p>
      <w:pPr>
        <w:pStyle w:val="5"/>
        <w:bidi w:val="0"/>
        <w:rPr>
          <w:rFonts w:hint="eastAsia" w:ascii="仿宋" w:hAnsi="仿宋" w:eastAsia="仿宋" w:cs="仿宋"/>
        </w:rPr>
      </w:pPr>
      <w:r>
        <w:rPr>
          <w:rFonts w:hint="eastAsia" w:ascii="仿宋" w:hAnsi="仿宋" w:eastAsia="仿宋" w:cs="仿宋"/>
        </w:rPr>
        <w:t>（3）评价等级</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根据</w:t>
      </w:r>
      <w:r>
        <w:rPr>
          <w:rFonts w:hint="eastAsia" w:ascii="仿宋" w:hAnsi="仿宋" w:eastAsia="仿宋" w:cs="仿宋"/>
          <w:kern w:val="0"/>
          <w:sz w:val="32"/>
          <w:szCs w:val="32"/>
          <w:lang w:bidi="ar"/>
        </w:rPr>
        <w:t>财政部关于预算绩效管理工作的规定</w:t>
      </w:r>
      <w:r>
        <w:rPr>
          <w:rFonts w:hint="eastAsia" w:ascii="仿宋" w:hAnsi="仿宋" w:eastAsia="仿宋" w:cs="仿宋"/>
          <w:sz w:val="32"/>
          <w:szCs w:val="32"/>
        </w:rPr>
        <w:t>文件规定，绩效评价结果量化为百分制综合评分，并按照综合评分进行分级。绩效评价结果分4个等级</w:t>
      </w:r>
      <w:r>
        <w:rPr>
          <w:rFonts w:hint="eastAsia" w:ascii="仿宋" w:hAnsi="仿宋" w:eastAsia="仿宋" w:cs="仿宋"/>
          <w:kern w:val="0"/>
          <w:sz w:val="32"/>
          <w:szCs w:val="32"/>
          <w:lang w:bidi="ar"/>
        </w:rPr>
        <w:t>：</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kern w:val="0"/>
          <w:sz w:val="32"/>
          <w:szCs w:val="32"/>
          <w:lang w:bidi="ar"/>
        </w:rPr>
        <w:t>综合得分在90（含）-100分为“优”；</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kern w:val="0"/>
          <w:sz w:val="32"/>
          <w:szCs w:val="32"/>
          <w:lang w:bidi="ar"/>
        </w:rPr>
        <w:t>综合得分在80（含）-90分为“良”；</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kern w:val="0"/>
          <w:sz w:val="32"/>
          <w:szCs w:val="32"/>
          <w:lang w:bidi="ar"/>
        </w:rPr>
        <w:t>综合得分在60（含）-80分为“中”；</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kern w:val="0"/>
          <w:sz w:val="32"/>
          <w:szCs w:val="32"/>
          <w:lang w:bidi="ar"/>
        </w:rPr>
        <w:t>综合得分在60分以下为“差”。</w:t>
      </w:r>
    </w:p>
    <w:p>
      <w:pPr>
        <w:pStyle w:val="3"/>
        <w:bidi w:val="0"/>
        <w:rPr>
          <w:rFonts w:hint="eastAsia"/>
        </w:rPr>
      </w:pPr>
      <w:bookmarkStart w:id="197" w:name="_Toc25376"/>
      <w:bookmarkStart w:id="198" w:name="_Toc14106"/>
      <w:bookmarkStart w:id="199" w:name="_Toc170897741"/>
      <w:bookmarkStart w:id="200" w:name="_Toc129683093"/>
      <w:bookmarkStart w:id="201" w:name="_Toc30985"/>
      <w:bookmarkStart w:id="202" w:name="_Toc4105"/>
      <w:bookmarkStart w:id="203" w:name="_Toc18906"/>
      <w:bookmarkStart w:id="204" w:name="_Toc9533"/>
      <w:bookmarkStart w:id="205" w:name="_Toc22416"/>
      <w:bookmarkStart w:id="206" w:name="_Toc10882"/>
      <w:bookmarkStart w:id="207" w:name="_Toc25770"/>
      <w:bookmarkStart w:id="208" w:name="_Toc26096"/>
      <w:bookmarkStart w:id="209" w:name="_Toc1038"/>
      <w:bookmarkStart w:id="210" w:name="_Toc19871"/>
      <w:bookmarkStart w:id="211" w:name="_Toc20150"/>
      <w:bookmarkStart w:id="212" w:name="_Toc2681"/>
      <w:bookmarkStart w:id="213" w:name="_Toc17878"/>
      <w:bookmarkStart w:id="214" w:name="_Toc6562"/>
      <w:bookmarkStart w:id="215" w:name="_Toc27243"/>
      <w:r>
        <w:rPr>
          <w:rFonts w:hint="eastAsia"/>
        </w:rPr>
        <w:t>（四）</w:t>
      </w:r>
      <w:bookmarkEnd w:id="197"/>
      <w:bookmarkEnd w:id="198"/>
      <w:bookmarkEnd w:id="199"/>
      <w:bookmarkEnd w:id="200"/>
      <w:bookmarkEnd w:id="201"/>
      <w:bookmarkEnd w:id="202"/>
      <w:r>
        <w:rPr>
          <w:rFonts w:hint="eastAsia"/>
        </w:rPr>
        <w:t>本次绩效评价的程序</w:t>
      </w:r>
      <w:bookmarkEnd w:id="203"/>
      <w:bookmarkEnd w:id="204"/>
      <w:bookmarkEnd w:id="205"/>
      <w:bookmarkEnd w:id="206"/>
      <w:bookmarkEnd w:id="207"/>
      <w:bookmarkEnd w:id="208"/>
      <w:bookmarkEnd w:id="209"/>
      <w:bookmarkEnd w:id="210"/>
      <w:bookmarkEnd w:id="211"/>
      <w:bookmarkEnd w:id="212"/>
      <w:bookmarkEnd w:id="213"/>
      <w:bookmarkEnd w:id="214"/>
      <w:bookmarkEnd w:id="215"/>
    </w:p>
    <w:p>
      <w:pPr>
        <w:pStyle w:val="4"/>
        <w:bidi w:val="0"/>
        <w:rPr>
          <w:rFonts w:hint="eastAsia" w:ascii="楷体" w:hAnsi="楷体" w:eastAsia="楷体" w:cs="楷体"/>
        </w:rPr>
      </w:pPr>
      <w:bookmarkStart w:id="216" w:name="_Toc170897742"/>
      <w:bookmarkStart w:id="217" w:name="_Toc129683094"/>
      <w:bookmarkStart w:id="218" w:name="_Toc129682483"/>
      <w:r>
        <w:rPr>
          <w:rFonts w:hint="eastAsia" w:ascii="楷体" w:hAnsi="楷体" w:eastAsia="楷体" w:cs="楷体"/>
        </w:rPr>
        <w:t>1.进驻单位，初步沟通</w:t>
      </w:r>
      <w:bookmarkEnd w:id="216"/>
      <w:bookmarkEnd w:id="217"/>
      <w:bookmarkEnd w:id="218"/>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2024年6月15日，绩效评价工作组按委托方要求进驻被评价单位，参与现场评价工作会议，听取科经商务局产业支持政策补贴的目标设定及完成情况，项目组织管理制度建立健全及落实情况，预算支出执行情况，财务管理状况，资产管理情况和预算支出执行产生的效益效果等情况介绍。初步了解产业支持政策补贴整体进展情况并实地制定评价工作具体方案。</w:t>
      </w:r>
      <w:bookmarkStart w:id="219" w:name="_Toc129683095"/>
      <w:bookmarkStart w:id="220" w:name="_Toc129682484"/>
      <w:bookmarkStart w:id="221" w:name="_Toc136351486"/>
    </w:p>
    <w:p>
      <w:pPr>
        <w:pStyle w:val="4"/>
        <w:bidi w:val="0"/>
        <w:rPr>
          <w:rFonts w:hint="eastAsia" w:ascii="楷体" w:hAnsi="楷体" w:eastAsia="楷体" w:cs="楷体"/>
        </w:rPr>
      </w:pPr>
      <w:r>
        <w:rPr>
          <w:rFonts w:hint="eastAsia" w:ascii="楷体" w:hAnsi="楷体" w:eastAsia="楷体" w:cs="楷体"/>
        </w:rPr>
        <w:t>2.收集资料，复核分析</w:t>
      </w:r>
      <w:bookmarkEnd w:id="219"/>
      <w:bookmarkEnd w:id="220"/>
      <w:bookmarkEnd w:id="221"/>
    </w:p>
    <w:p>
      <w:pPr>
        <w:bidi w:val="0"/>
        <w:rPr>
          <w:rFonts w:hint="eastAsia"/>
        </w:rPr>
      </w:pPr>
      <w:r>
        <w:rPr>
          <w:rFonts w:hint="eastAsia"/>
        </w:rPr>
        <w:t>对被评价单位提供的有关财务资料进行查阅，核实其真实性。包括：财务报表与总账、明细账核对，明细账和记账凭证核对，记账凭证和后附附件的核对，检查账务处理的合规性；检查政策收支数据，与财务资料比对复核，核实资金下达与资金拨付手续，核实项目公示信息；检查产业支持政策补贴各项管理制度设置的完善性和合理性，落实制度的实际运行状况；检查各项收支审批程序、核实资金是否按来源和预算用途规范管理和运用；检查产业支持政策补贴进度和政策落实资料，核实产业支持政策补贴产出的数量、质量及政策效果情况。</w:t>
      </w:r>
    </w:p>
    <w:p>
      <w:pPr>
        <w:pStyle w:val="4"/>
        <w:bidi w:val="0"/>
        <w:rPr>
          <w:rFonts w:hint="eastAsia" w:ascii="楷体" w:hAnsi="楷体" w:eastAsia="楷体" w:cs="楷体"/>
        </w:rPr>
      </w:pPr>
      <w:bookmarkStart w:id="222" w:name="_Toc129682485"/>
      <w:bookmarkStart w:id="223" w:name="_Toc129683096"/>
      <w:bookmarkStart w:id="224" w:name="_Toc136351487"/>
      <w:r>
        <w:rPr>
          <w:rFonts w:hint="eastAsia" w:ascii="楷体" w:hAnsi="楷体" w:eastAsia="楷体" w:cs="楷体"/>
        </w:rPr>
        <w:t>3.实地查看</w:t>
      </w:r>
      <w:bookmarkEnd w:id="222"/>
      <w:bookmarkEnd w:id="223"/>
      <w:r>
        <w:rPr>
          <w:rFonts w:hint="eastAsia" w:ascii="楷体" w:hAnsi="楷体" w:eastAsia="楷体" w:cs="楷体"/>
        </w:rPr>
        <w:t>，现场评价</w:t>
      </w:r>
      <w:bookmarkEnd w:id="224"/>
    </w:p>
    <w:p>
      <w:pPr>
        <w:bidi w:val="0"/>
        <w:rPr>
          <w:rFonts w:hint="eastAsia" w:ascii="仿宋" w:hAnsi="仿宋" w:eastAsia="仿宋" w:cs="仿宋"/>
          <w:lang w:val="en-US" w:eastAsia="zh-CN"/>
        </w:rPr>
      </w:pPr>
      <w:r>
        <w:rPr>
          <w:rFonts w:hint="eastAsia" w:ascii="仿宋" w:hAnsi="仿宋" w:eastAsia="仿宋" w:cs="仿宋"/>
        </w:rPr>
        <w:t>2024年6月24日，评价组经过现场查看翻阅的产业支持政策补贴资料政策执行和查看财务账目情况，核实产业支持政策补贴实际实施和完成情况，通过访谈与实地查看，了解通过访谈与实地查看，了解通过访谈与实地查看，了解产业支持政策补贴申报模式和实际兑现情况</w:t>
      </w:r>
      <w:r>
        <w:rPr>
          <w:rFonts w:hint="eastAsia" w:ascii="仿宋" w:hAnsi="仿宋" w:eastAsia="仿宋" w:cs="仿宋"/>
          <w:lang w:eastAsia="zh-CN"/>
        </w:rPr>
        <w:t>。</w:t>
      </w:r>
    </w:p>
    <w:p>
      <w:pPr>
        <w:pStyle w:val="4"/>
        <w:bidi w:val="0"/>
        <w:rPr>
          <w:rFonts w:hint="eastAsia" w:ascii="楷体" w:hAnsi="楷体" w:eastAsia="楷体" w:cs="楷体"/>
        </w:rPr>
      </w:pPr>
      <w:bookmarkStart w:id="225" w:name="_Toc129683097"/>
      <w:bookmarkStart w:id="226" w:name="_Toc136351488"/>
      <w:bookmarkStart w:id="227" w:name="_Toc129682486"/>
      <w:r>
        <w:rPr>
          <w:rFonts w:hint="eastAsia" w:ascii="楷体" w:hAnsi="楷体" w:eastAsia="楷体" w:cs="楷体"/>
        </w:rPr>
        <w:t>4.发放调查问卷</w:t>
      </w:r>
      <w:bookmarkEnd w:id="225"/>
      <w:bookmarkEnd w:id="226"/>
      <w:bookmarkEnd w:id="227"/>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对产业支持政策补贴兑现情况公众满意度情况进行调查，对具有明确受益对象的评价项目，根据需要收集的评价数据设置调查表并认真做好调查表的发放与回收工作。对回收问卷进行科学统计分析，并通过统计结果分析原因，评价其对项目绩效成果的影响程度。</w:t>
      </w:r>
    </w:p>
    <w:p>
      <w:pPr>
        <w:pStyle w:val="4"/>
        <w:bidi w:val="0"/>
        <w:rPr>
          <w:rFonts w:hint="eastAsia" w:ascii="楷体" w:hAnsi="楷体" w:eastAsia="楷体" w:cs="楷体"/>
        </w:rPr>
      </w:pPr>
      <w:bookmarkStart w:id="228" w:name="_Toc129682487"/>
      <w:bookmarkStart w:id="229" w:name="_Toc129683098"/>
      <w:bookmarkStart w:id="230" w:name="_Toc136351489"/>
      <w:r>
        <w:rPr>
          <w:rFonts w:hint="eastAsia" w:ascii="楷体" w:hAnsi="楷体" w:eastAsia="楷体" w:cs="楷体"/>
        </w:rPr>
        <w:t>5.综合分析，客观评价</w:t>
      </w:r>
      <w:bookmarkEnd w:id="228"/>
      <w:bookmarkEnd w:id="229"/>
      <w:bookmarkEnd w:id="230"/>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根据对产业支持政策补贴核实的情况，独立、客观、公正地开展现场评价工作，对提供的材料及自评报告，结合现场评价情况进行综合分析重点逐项分析评价产业支持政策补贴目标设置情况；政策制定情况；政策执行情况；项目申报、奖补兑现情况；资金下达情况；资金使用情况；绩效目标产出完成情况；产业支持政策补贴资金使用绩效情况。对各项指标对比分析和归纳总结，初步形成项目综合评价。</w:t>
      </w:r>
    </w:p>
    <w:p>
      <w:pPr>
        <w:pStyle w:val="4"/>
        <w:bidi w:val="0"/>
        <w:rPr>
          <w:rFonts w:hint="eastAsia" w:ascii="楷体" w:hAnsi="楷体" w:eastAsia="楷体" w:cs="楷体"/>
        </w:rPr>
      </w:pPr>
      <w:bookmarkStart w:id="231" w:name="_Toc129682488"/>
      <w:bookmarkStart w:id="232" w:name="_Toc170897747"/>
      <w:bookmarkStart w:id="233" w:name="_Toc129683099"/>
      <w:r>
        <w:rPr>
          <w:rFonts w:hint="eastAsia" w:ascii="楷体" w:hAnsi="楷体" w:eastAsia="楷体" w:cs="楷体"/>
        </w:rPr>
        <w:t>6</w:t>
      </w:r>
      <w:bookmarkEnd w:id="231"/>
      <w:bookmarkEnd w:id="232"/>
      <w:bookmarkEnd w:id="233"/>
      <w:bookmarkStart w:id="234" w:name="_Toc170897748"/>
      <w:r>
        <w:rPr>
          <w:rFonts w:hint="eastAsia" w:ascii="楷体" w:hAnsi="楷体" w:eastAsia="楷体" w:cs="楷体"/>
        </w:rPr>
        <w:t>.绩效评价报告</w:t>
      </w:r>
      <w:bookmarkEnd w:id="234"/>
    </w:p>
    <w:p>
      <w:pPr>
        <w:pStyle w:val="5"/>
        <w:bidi w:val="0"/>
        <w:rPr>
          <w:rFonts w:hint="eastAsia"/>
        </w:rPr>
      </w:pPr>
      <w:r>
        <w:rPr>
          <w:rFonts w:hint="eastAsia" w:ascii="仿宋" w:hAnsi="仿宋" w:eastAsia="仿宋" w:cs="仿宋"/>
        </w:rPr>
        <w:t>（1）撰</w:t>
      </w:r>
      <w:r>
        <w:rPr>
          <w:rFonts w:hint="eastAsia"/>
        </w:rPr>
        <w:t>写绩效评价报告</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绩效评价报告的具体格式由财政部门统一制定，绩效评价人员按照规定的文本格式和协议要求撰写绩效评价报告，做到依据充分、数据真实、内容完整、客观公正、结论明确、建议可行。</w:t>
      </w:r>
    </w:p>
    <w:p>
      <w:pPr>
        <w:pStyle w:val="5"/>
        <w:bidi w:val="0"/>
        <w:rPr>
          <w:rFonts w:hint="eastAsia" w:ascii="仿宋" w:hAnsi="仿宋" w:eastAsia="仿宋" w:cs="仿宋"/>
        </w:rPr>
      </w:pPr>
      <w:r>
        <w:rPr>
          <w:rFonts w:hint="eastAsia" w:ascii="仿宋" w:hAnsi="仿宋" w:eastAsia="仿宋" w:cs="仿宋"/>
        </w:rPr>
        <w:t>（2）绩效评价报告征求意见</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绩效评价报告初稿完成后，由财政部门牵头，出具绩效评价报告征求意见稿，征求被评价单位的意见，根据反馈的有效意见对评价报告进行修改。如对评价报告存在意见分歧，经协商仍不能取得一致的，绩效评价组在出具正式绩效评价报告时须同时提交被评价单位的不同意见。</w:t>
      </w:r>
    </w:p>
    <w:p>
      <w:pPr>
        <w:pStyle w:val="5"/>
        <w:bidi w:val="0"/>
        <w:rPr>
          <w:rFonts w:hint="eastAsia" w:ascii="仿宋" w:hAnsi="仿宋" w:eastAsia="仿宋" w:cs="仿宋"/>
        </w:rPr>
      </w:pPr>
      <w:r>
        <w:rPr>
          <w:rFonts w:hint="eastAsia" w:ascii="仿宋" w:hAnsi="仿宋" w:eastAsia="仿宋" w:cs="仿宋"/>
        </w:rPr>
        <w:t>（3）提交绩效评价报告</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bookmarkStart w:id="235" w:name="_Toc27714"/>
      <w:bookmarkStart w:id="236" w:name="_Toc170897749"/>
      <w:bookmarkStart w:id="237" w:name="_Toc25149"/>
      <w:bookmarkStart w:id="238" w:name="_Toc13595"/>
      <w:bookmarkStart w:id="239" w:name="_Toc433"/>
      <w:bookmarkStart w:id="240" w:name="_Toc2442"/>
      <w:bookmarkStart w:id="241" w:name="_Toc32758"/>
      <w:bookmarkStart w:id="242" w:name="_Toc21044"/>
      <w:r>
        <w:rPr>
          <w:rFonts w:hint="eastAsia" w:ascii="仿宋" w:hAnsi="仿宋" w:eastAsia="仿宋" w:cs="仿宋"/>
          <w:sz w:val="32"/>
          <w:szCs w:val="32"/>
        </w:rPr>
        <w:t>出具四川遂宁高新技术产业园区科技创新与经信商务局2023年产业支持政策补贴项目绩效评价报告。</w:t>
      </w:r>
    </w:p>
    <w:p>
      <w:pPr>
        <w:pStyle w:val="2"/>
        <w:keepNext/>
        <w:keepLines/>
        <w:pageBreakBefore w:val="0"/>
        <w:widowControl w:val="0"/>
        <w:kinsoku/>
        <w:wordWrap/>
        <w:overflowPunct/>
        <w:topLinePunct w:val="0"/>
        <w:autoSpaceDE/>
        <w:autoSpaceDN/>
        <w:bidi w:val="0"/>
        <w:adjustRightInd/>
        <w:snapToGrid/>
        <w:spacing w:before="0" w:after="0" w:line="560" w:lineRule="exact"/>
        <w:textAlignment w:val="auto"/>
        <w:rPr>
          <w:rFonts w:hint="eastAsia"/>
        </w:rPr>
      </w:pPr>
      <w:bookmarkStart w:id="243" w:name="_Toc13177"/>
      <w:bookmarkStart w:id="244" w:name="_Toc32435"/>
      <w:bookmarkStart w:id="245" w:name="_Toc28764"/>
      <w:bookmarkStart w:id="246" w:name="_Toc12685"/>
      <w:bookmarkStart w:id="247" w:name="_Toc679"/>
      <w:bookmarkStart w:id="248" w:name="_Toc25730"/>
      <w:bookmarkStart w:id="249" w:name="_Toc24192"/>
      <w:bookmarkStart w:id="250" w:name="_Toc19006"/>
      <w:bookmarkStart w:id="251" w:name="_Toc223"/>
      <w:bookmarkStart w:id="252" w:name="_Toc16468"/>
      <w:bookmarkStart w:id="253" w:name="_Toc32591"/>
      <w:bookmarkStart w:id="254" w:name="_Toc5715"/>
      <w:bookmarkStart w:id="255" w:name="_Toc4275"/>
      <w:r>
        <w:rPr>
          <w:rFonts w:hint="eastAsia"/>
        </w:rPr>
        <w:t>三、综合评价情况及评价结论</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评价工作小组对遂宁高新区科经商务局2023年度产业支持政策补贴项目进行综合评价，涉及政策依据、绩效目标、资金落实等方面。政策补贴旨在提升服务业能力和质量，绩效目标科学合理，政策项目及时入库，但入库项目材料不完善，资金使用规范。核查机制和档案管理有待加强，跟踪访谈的资料不完整。后续监督工作待提升。绩效目标细化分工，确保任务落实，提高资金效益。政策补贴已产生社会和经济效益，长期将促进民营经济和优化营商环境。</w:t>
      </w:r>
    </w:p>
    <w:p>
      <w:pPr>
        <w:keepLines w:val="0"/>
        <w:pageBreakBefore w:val="0"/>
        <w:widowControl w:val="0"/>
        <w:kinsoku/>
        <w:wordWrap/>
        <w:overflowPunct w:val="0"/>
        <w:topLinePunct w:val="0"/>
        <w:autoSpaceDE w:val="0"/>
        <w:autoSpaceDN w:val="0"/>
        <w:bidi w:val="0"/>
        <w:ind w:firstLine="640"/>
        <w:rPr>
          <w:rFonts w:hint="eastAsia" w:ascii="仿宋" w:hAnsi="仿宋" w:cs="仿宋"/>
          <w:szCs w:val="32"/>
        </w:rPr>
      </w:pPr>
      <w:r>
        <w:rPr>
          <w:rFonts w:hint="eastAsia" w:ascii="仿宋" w:hAnsi="仿宋" w:eastAsia="仿宋" w:cs="仿宋"/>
          <w:sz w:val="32"/>
          <w:szCs w:val="32"/>
        </w:rPr>
        <w:t>经绩效评价组从政策制定指标、政策执行指标、政策产出指标、政策效果指标及满意度指标五方面进行综合评议，本项目绩效评价综合评分为93.50分，综合绩效评定结论为“优”。</w:t>
      </w:r>
      <w:r>
        <w:rPr>
          <w:rFonts w:hint="eastAsia" w:ascii="仿宋" w:hAnsi="仿宋" w:cs="仿宋"/>
          <w:szCs w:val="32"/>
        </w:rPr>
        <w:t>综合评价得分情况如下：</w:t>
      </w:r>
    </w:p>
    <w:p>
      <w:pPr>
        <w:keepNext w:val="0"/>
        <w:keepLines w:val="0"/>
        <w:pageBreakBefore w:val="0"/>
        <w:widowControl w:val="0"/>
        <w:kinsoku/>
        <w:wordWrap/>
        <w:overflowPunct w:val="0"/>
        <w:topLinePunct w:val="0"/>
        <w:autoSpaceDE w:val="0"/>
        <w:autoSpaceDN w:val="0"/>
        <w:bidi w:val="0"/>
        <w:adjustRightInd/>
        <w:snapToGrid/>
        <w:spacing w:after="156" w:afterLines="50"/>
        <w:ind w:firstLine="2891" w:firstLineChars="1200"/>
        <w:textAlignment w:val="auto"/>
        <w:rPr>
          <w:rFonts w:hint="eastAsia" w:ascii="仿宋" w:hAnsi="仿宋" w:eastAsia="仿宋" w:cs="仿宋"/>
          <w:sz w:val="32"/>
          <w:szCs w:val="32"/>
        </w:rPr>
      </w:pPr>
      <w:r>
        <w:rPr>
          <w:rFonts w:hint="eastAsia" w:ascii="宋体" w:hAnsi="宋体" w:eastAsia="宋体" w:cs="宋体"/>
          <w:b/>
          <w:bCs/>
          <w:iCs/>
          <w:sz w:val="24"/>
        </w:rPr>
        <w:t>综合评价得分情况表</w:t>
      </w:r>
    </w:p>
    <w:tbl>
      <w:tblPr>
        <w:tblStyle w:val="17"/>
        <w:tblW w:w="431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9"/>
        <w:gridCol w:w="1839"/>
        <w:gridCol w:w="1840"/>
        <w:gridCol w:w="18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2" w:hRule="atLeast"/>
          <w:tblHeader/>
          <w:jc w:val="center"/>
        </w:trPr>
        <w:tc>
          <w:tcPr>
            <w:tcW w:w="1839" w:type="dxa"/>
            <w:vAlign w:val="center"/>
          </w:tcPr>
          <w:p>
            <w:pPr>
              <w:keepLines w:val="0"/>
              <w:pageBreakBefore w:val="0"/>
              <w:widowControl w:val="0"/>
              <w:kinsoku/>
              <w:wordWrap/>
              <w:overflowPunct w:val="0"/>
              <w:topLinePunct w:val="0"/>
              <w:autoSpaceDE w:val="0"/>
              <w:autoSpaceDN w:val="0"/>
              <w:bidi w:val="0"/>
              <w:spacing w:line="240" w:lineRule="auto"/>
              <w:ind w:firstLine="0" w:firstLineChars="0"/>
              <w:jc w:val="center"/>
              <w:textAlignment w:val="center"/>
              <w:rPr>
                <w:rFonts w:hint="eastAsia" w:ascii="宋体" w:hAnsi="宋体" w:eastAsia="宋体" w:cs="宋体"/>
                <w:b/>
                <w:bCs/>
                <w:sz w:val="24"/>
                <w:szCs w:val="24"/>
              </w:rPr>
            </w:pPr>
            <w:bookmarkStart w:id="256" w:name="_Toc518478712"/>
            <w:r>
              <w:rPr>
                <w:rFonts w:hint="eastAsia" w:ascii="宋体" w:hAnsi="宋体" w:eastAsia="宋体" w:cs="宋体"/>
                <w:b/>
                <w:bCs/>
                <w:color w:val="000000"/>
                <w:kern w:val="0"/>
                <w:sz w:val="24"/>
                <w:lang w:bidi="ar"/>
              </w:rPr>
              <w:t>一级指标</w:t>
            </w:r>
          </w:p>
        </w:tc>
        <w:tc>
          <w:tcPr>
            <w:tcW w:w="1839" w:type="dxa"/>
            <w:vAlign w:val="center"/>
          </w:tcPr>
          <w:p>
            <w:pPr>
              <w:keepLines w:val="0"/>
              <w:pageBreakBefore w:val="0"/>
              <w:widowControl w:val="0"/>
              <w:kinsoku/>
              <w:wordWrap/>
              <w:overflowPunct w:val="0"/>
              <w:topLinePunct w:val="0"/>
              <w:autoSpaceDE w:val="0"/>
              <w:autoSpaceDN w:val="0"/>
              <w:bidi w:val="0"/>
              <w:spacing w:line="240" w:lineRule="auto"/>
              <w:ind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color w:val="000000"/>
                <w:kern w:val="0"/>
                <w:sz w:val="24"/>
                <w:lang w:bidi="ar"/>
              </w:rPr>
              <w:t>分值</w:t>
            </w:r>
          </w:p>
        </w:tc>
        <w:tc>
          <w:tcPr>
            <w:tcW w:w="1840" w:type="dxa"/>
            <w:vAlign w:val="center"/>
          </w:tcPr>
          <w:p>
            <w:pPr>
              <w:keepLines w:val="0"/>
              <w:pageBreakBefore w:val="0"/>
              <w:widowControl w:val="0"/>
              <w:kinsoku/>
              <w:wordWrap/>
              <w:overflowPunct w:val="0"/>
              <w:topLinePunct w:val="0"/>
              <w:autoSpaceDE w:val="0"/>
              <w:autoSpaceDN w:val="0"/>
              <w:bidi w:val="0"/>
              <w:spacing w:line="240" w:lineRule="auto"/>
              <w:ind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color w:val="000000"/>
                <w:kern w:val="0"/>
                <w:sz w:val="24"/>
                <w:lang w:bidi="ar"/>
              </w:rPr>
              <w:t>得分</w:t>
            </w:r>
          </w:p>
        </w:tc>
        <w:tc>
          <w:tcPr>
            <w:tcW w:w="1840" w:type="dxa"/>
            <w:vAlign w:val="center"/>
          </w:tcPr>
          <w:p>
            <w:pPr>
              <w:keepLines w:val="0"/>
              <w:pageBreakBefore w:val="0"/>
              <w:widowControl w:val="0"/>
              <w:kinsoku/>
              <w:wordWrap/>
              <w:overflowPunct w:val="0"/>
              <w:topLinePunct w:val="0"/>
              <w:autoSpaceDE w:val="0"/>
              <w:autoSpaceDN w:val="0"/>
              <w:bidi w:val="0"/>
              <w:spacing w:line="240" w:lineRule="auto"/>
              <w:ind w:firstLine="0" w:firstLineChars="0"/>
              <w:jc w:val="center"/>
              <w:textAlignment w:val="center"/>
              <w:rPr>
                <w:rFonts w:hint="eastAsia" w:ascii="宋体" w:hAnsi="宋体" w:eastAsia="宋体" w:cs="宋体"/>
                <w:b/>
                <w:bCs/>
                <w:sz w:val="24"/>
                <w:szCs w:val="24"/>
              </w:rPr>
            </w:pPr>
            <w:r>
              <w:rPr>
                <w:rFonts w:hint="eastAsia" w:ascii="宋体" w:hAnsi="宋体" w:eastAsia="宋体" w:cs="宋体"/>
                <w:b/>
                <w:bCs/>
                <w:color w:val="000000"/>
                <w:kern w:val="0"/>
                <w:sz w:val="24"/>
                <w:lang w:bidi="ar"/>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jc w:val="center"/>
        </w:trPr>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rPr>
                <w:rFonts w:hint="eastAsia" w:ascii="宋体" w:hAnsi="宋体" w:eastAsia="宋体" w:cs="宋体"/>
                <w:sz w:val="24"/>
                <w:szCs w:val="24"/>
              </w:rPr>
            </w:pPr>
            <w:r>
              <w:rPr>
                <w:rFonts w:hint="eastAsia" w:ascii="宋体" w:hAnsi="宋体" w:eastAsia="宋体" w:cs="宋体"/>
                <w:sz w:val="24"/>
                <w:szCs w:val="24"/>
              </w:rPr>
              <w:t>政策制定</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textAlignment w:val="center"/>
              <w:rPr>
                <w:rFonts w:hint="eastAsia" w:ascii="宋体" w:hAnsi="宋体" w:eastAsia="宋体" w:cs="宋体"/>
                <w:sz w:val="24"/>
                <w:szCs w:val="24"/>
                <w:lang w:bidi="ar"/>
              </w:rPr>
            </w:pPr>
            <w:r>
              <w:rPr>
                <w:rFonts w:hint="eastAsia" w:ascii="宋体" w:hAnsi="宋体" w:eastAsia="宋体" w:cs="宋体"/>
                <w:sz w:val="24"/>
                <w:szCs w:val="24"/>
                <w:lang w:bidi="ar"/>
              </w:rPr>
              <w:t>20.00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textAlignment w:val="center"/>
              <w:rPr>
                <w:rFonts w:hint="eastAsia" w:ascii="宋体" w:hAnsi="宋体" w:eastAsia="宋体" w:cs="宋体"/>
                <w:sz w:val="24"/>
                <w:szCs w:val="24"/>
                <w:lang w:bidi="ar"/>
              </w:rPr>
            </w:pPr>
            <w:r>
              <w:rPr>
                <w:rFonts w:hint="eastAsia" w:ascii="宋体" w:hAnsi="宋体" w:eastAsia="宋体" w:cs="宋体"/>
                <w:sz w:val="24"/>
                <w:szCs w:val="24"/>
                <w:lang w:bidi="ar"/>
              </w:rPr>
              <w:t>20.00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jc w:val="center"/>
        </w:trPr>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rPr>
                <w:rFonts w:hint="eastAsia" w:ascii="宋体" w:hAnsi="宋体" w:eastAsia="宋体" w:cs="宋体"/>
                <w:sz w:val="24"/>
                <w:szCs w:val="24"/>
              </w:rPr>
            </w:pPr>
            <w:r>
              <w:rPr>
                <w:rFonts w:hint="eastAsia" w:ascii="宋体" w:hAnsi="宋体" w:eastAsia="宋体" w:cs="宋体"/>
                <w:sz w:val="24"/>
                <w:szCs w:val="24"/>
              </w:rPr>
              <w:t>政策执行</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rPr>
              <w:t>20.00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rPr>
              <w:t>15.50</w:t>
            </w:r>
          </w:p>
        </w:tc>
        <w:tc>
          <w:tcPr>
            <w:tcW w:w="180" w:type="pct"/>
            <w:vAlign w:val="center"/>
          </w:tcPr>
          <w:p>
            <w:pPr>
              <w:keepLines w:val="0"/>
              <w:pageBreakBefore w:val="0"/>
              <w:widowControl w:val="0"/>
              <w:tabs>
                <w:tab w:val="left" w:pos="760"/>
                <w:tab w:val="center" w:pos="1253"/>
              </w:tabs>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lang w:bidi="ar"/>
              </w:rPr>
              <w:t>85.00%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jc w:val="center"/>
        </w:trPr>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rPr>
                <w:rFonts w:hint="eastAsia" w:ascii="宋体" w:hAnsi="宋体" w:eastAsia="宋体" w:cs="宋体"/>
                <w:sz w:val="24"/>
                <w:szCs w:val="24"/>
              </w:rPr>
            </w:pPr>
            <w:r>
              <w:rPr>
                <w:rFonts w:hint="eastAsia" w:ascii="宋体" w:hAnsi="宋体" w:eastAsia="宋体" w:cs="宋体"/>
                <w:sz w:val="24"/>
                <w:szCs w:val="24"/>
              </w:rPr>
              <w:t>政策产出</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rPr>
              <w:t>40.00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rPr>
              <w:t>40.00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lang w:bidi="ar"/>
              </w:rPr>
            </w:pPr>
            <w:r>
              <w:rPr>
                <w:rFonts w:hint="eastAsia" w:ascii="宋体" w:hAnsi="宋体" w:eastAsia="宋体" w:cs="宋体"/>
                <w:sz w:val="24"/>
                <w:szCs w:val="24"/>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1" w:hRule="atLeast"/>
          <w:jc w:val="center"/>
        </w:trPr>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0" w:firstLineChars="0"/>
              <w:jc w:val="center"/>
              <w:rPr>
                <w:rFonts w:hint="eastAsia" w:ascii="宋体" w:hAnsi="宋体" w:eastAsia="宋体" w:cs="宋体"/>
                <w:sz w:val="24"/>
                <w:szCs w:val="24"/>
              </w:rPr>
            </w:pPr>
            <w:r>
              <w:rPr>
                <w:rFonts w:hint="eastAsia" w:ascii="宋体" w:hAnsi="宋体" w:eastAsia="宋体" w:cs="宋体"/>
                <w:sz w:val="24"/>
                <w:szCs w:val="24"/>
              </w:rPr>
              <w:t>政策效果</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rPr>
              <w:t>20.00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rPr>
            </w:pPr>
            <w:r>
              <w:rPr>
                <w:rFonts w:hint="eastAsia" w:ascii="宋体" w:hAnsi="宋体" w:eastAsia="宋体" w:cs="宋体"/>
                <w:sz w:val="24"/>
                <w:szCs w:val="24"/>
              </w:rPr>
              <w:t>18.00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0" w:firstLineChars="200"/>
              <w:jc w:val="both"/>
              <w:rPr>
                <w:rFonts w:hint="eastAsia" w:ascii="宋体" w:hAnsi="宋体" w:eastAsia="宋体" w:cs="宋体"/>
                <w:sz w:val="24"/>
                <w:szCs w:val="24"/>
                <w:lang w:bidi="ar"/>
              </w:rPr>
            </w:pPr>
            <w:r>
              <w:rPr>
                <w:rFonts w:hint="eastAsia" w:ascii="宋体" w:hAnsi="宋体" w:eastAsia="宋体" w:cs="宋体"/>
                <w:sz w:val="24"/>
                <w:szCs w:val="24"/>
                <w:lang w:bidi="ar"/>
              </w:rPr>
              <w:t>92.50%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2" w:hRule="atLeast"/>
          <w:jc w:val="center"/>
        </w:trPr>
        <w:tc>
          <w:tcPr>
            <w:tcW w:w="180" w:type="pct"/>
            <w:vAlign w:val="center"/>
          </w:tcPr>
          <w:p>
            <w:pPr>
              <w:keepLines w:val="0"/>
              <w:pageBreakBefore w:val="0"/>
              <w:widowControl w:val="0"/>
              <w:kinsoku/>
              <w:wordWrap/>
              <w:overflowPunct w:val="0"/>
              <w:topLinePunct w:val="0"/>
              <w:autoSpaceDE w:val="0"/>
              <w:autoSpaceDN w:val="0"/>
              <w:bidi w:val="0"/>
              <w:spacing w:line="240" w:lineRule="auto"/>
              <w:jc w:val="both"/>
              <w:rPr>
                <w:rFonts w:hint="eastAsia" w:ascii="宋体" w:hAnsi="宋体" w:eastAsia="宋体" w:cs="宋体"/>
                <w:b/>
                <w:bCs/>
                <w:sz w:val="24"/>
                <w:szCs w:val="24"/>
              </w:rPr>
            </w:pPr>
            <w:r>
              <w:rPr>
                <w:rFonts w:hint="eastAsia" w:ascii="宋体" w:hAnsi="宋体" w:eastAsia="宋体" w:cs="宋体"/>
                <w:b/>
                <w:bCs/>
                <w:sz w:val="24"/>
                <w:szCs w:val="24"/>
              </w:rPr>
              <w:t>合</w:t>
            </w:r>
            <w:r>
              <w:rPr>
                <w:rFonts w:hint="eastAsia" w:ascii="宋体" w:hAnsi="宋体" w:eastAsia="宋体" w:cs="宋体"/>
                <w:b/>
                <w:bCs/>
                <w:sz w:val="24"/>
                <w:szCs w:val="24"/>
                <w:lang w:val="en-US" w:eastAsia="zh-CN"/>
              </w:rPr>
              <w:t xml:space="preserve"> </w:t>
            </w:r>
            <w:r>
              <w:rPr>
                <w:rFonts w:hint="eastAsia" w:ascii="宋体" w:hAnsi="宋体" w:eastAsia="宋体" w:cs="宋体"/>
                <w:b/>
                <w:bCs/>
                <w:sz w:val="24"/>
                <w:szCs w:val="24"/>
              </w:rPr>
              <w:t>计</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both"/>
              <w:textAlignment w:val="center"/>
              <w:rPr>
                <w:rFonts w:hint="eastAsia" w:ascii="宋体" w:hAnsi="宋体" w:eastAsia="宋体" w:cs="宋体"/>
                <w:b/>
                <w:bCs/>
                <w:sz w:val="24"/>
                <w:szCs w:val="24"/>
              </w:rPr>
            </w:pPr>
            <w:r>
              <w:rPr>
                <w:rFonts w:hint="eastAsia" w:ascii="宋体" w:hAnsi="宋体" w:eastAsia="宋体" w:cs="宋体"/>
                <w:b/>
                <w:bCs/>
                <w:sz w:val="24"/>
                <w:szCs w:val="24"/>
              </w:rPr>
              <w:t>100.00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both"/>
              <w:textAlignment w:val="center"/>
              <w:rPr>
                <w:rFonts w:hint="eastAsia" w:ascii="宋体" w:hAnsi="宋体" w:eastAsia="宋体" w:cs="宋体"/>
                <w:b/>
                <w:bCs/>
                <w:sz w:val="24"/>
                <w:szCs w:val="24"/>
              </w:rPr>
            </w:pPr>
            <w:r>
              <w:rPr>
                <w:rFonts w:hint="eastAsia" w:ascii="宋体" w:hAnsi="宋体" w:eastAsia="宋体" w:cs="宋体"/>
                <w:b/>
                <w:bCs/>
                <w:sz w:val="24"/>
                <w:szCs w:val="24"/>
              </w:rPr>
              <w:t>93.50</w:t>
            </w:r>
          </w:p>
        </w:tc>
        <w:tc>
          <w:tcPr>
            <w:tcW w:w="180" w:type="pct"/>
            <w:vAlign w:val="center"/>
          </w:tcPr>
          <w:p>
            <w:pPr>
              <w:keepLines w:val="0"/>
              <w:pageBreakBefore w:val="0"/>
              <w:widowControl w:val="0"/>
              <w:kinsoku/>
              <w:wordWrap/>
              <w:overflowPunct w:val="0"/>
              <w:topLinePunct w:val="0"/>
              <w:autoSpaceDE w:val="0"/>
              <w:autoSpaceDN w:val="0"/>
              <w:bidi w:val="0"/>
              <w:spacing w:line="240" w:lineRule="auto"/>
              <w:ind w:left="0" w:leftChars="0" w:firstLine="482" w:firstLineChars="200"/>
              <w:jc w:val="both"/>
              <w:textAlignment w:val="center"/>
              <w:rPr>
                <w:rFonts w:hint="eastAsia" w:ascii="宋体" w:hAnsi="宋体" w:eastAsia="宋体" w:cs="宋体"/>
                <w:b/>
                <w:bCs/>
                <w:sz w:val="24"/>
                <w:szCs w:val="24"/>
              </w:rPr>
            </w:pPr>
            <w:r>
              <w:rPr>
                <w:rFonts w:hint="eastAsia" w:ascii="宋体" w:hAnsi="宋体" w:eastAsia="宋体" w:cs="宋体"/>
                <w:b/>
                <w:bCs/>
                <w:sz w:val="24"/>
                <w:szCs w:val="24"/>
              </w:rPr>
              <w:t>93.50%</w:t>
            </w:r>
          </w:p>
        </w:tc>
      </w:tr>
      <w:bookmarkEnd w:id="256"/>
    </w:tbl>
    <w:p>
      <w:pPr>
        <w:pStyle w:val="2"/>
        <w:bidi w:val="0"/>
        <w:rPr>
          <w:rFonts w:hint="eastAsia"/>
        </w:rPr>
      </w:pPr>
      <w:bookmarkStart w:id="257" w:name="_Toc16522"/>
      <w:bookmarkStart w:id="258" w:name="_Toc8720"/>
      <w:bookmarkStart w:id="259" w:name="_Toc9990"/>
      <w:bookmarkStart w:id="260" w:name="_Toc26157"/>
      <w:bookmarkStart w:id="261" w:name="_Toc29384"/>
      <w:bookmarkStart w:id="262" w:name="_Toc4736"/>
      <w:bookmarkStart w:id="263" w:name="_Toc14579"/>
      <w:bookmarkStart w:id="264" w:name="_Toc27377"/>
      <w:bookmarkStart w:id="265" w:name="_Toc19315"/>
      <w:bookmarkStart w:id="266" w:name="_Toc14323"/>
      <w:bookmarkStart w:id="267" w:name="_Toc16601"/>
      <w:bookmarkStart w:id="268" w:name="_Toc25015"/>
      <w:bookmarkStart w:id="269" w:name="_Toc12647"/>
      <w:bookmarkStart w:id="270" w:name="_Toc8504"/>
      <w:bookmarkStart w:id="271" w:name="_Toc1944"/>
      <w:bookmarkStart w:id="272" w:name="_Toc1623"/>
      <w:bookmarkStart w:id="273" w:name="_Toc170897750"/>
      <w:bookmarkStart w:id="274" w:name="_Toc13464"/>
      <w:bookmarkStart w:id="275" w:name="_Toc4070"/>
      <w:bookmarkStart w:id="276" w:name="_Toc29042"/>
      <w:bookmarkStart w:id="277" w:name="_Toc6402"/>
      <w:bookmarkStart w:id="278" w:name="_Toc15407"/>
      <w:r>
        <w:rPr>
          <w:rFonts w:hint="eastAsia"/>
        </w:rPr>
        <w:t>四、</w:t>
      </w:r>
      <w:bookmarkEnd w:id="257"/>
      <w:r>
        <w:rPr>
          <w:rFonts w:hint="eastAsia"/>
        </w:rPr>
        <w:t>绩效指标分析情况</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pPr>
        <w:pStyle w:val="3"/>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仿宋_GB2312" w:hAnsi="仿宋_GB2312" w:eastAsia="仿宋_GB2312" w:cs="仿宋_GB2312"/>
          <w:sz w:val="32"/>
          <w:szCs w:val="32"/>
        </w:rPr>
      </w:pPr>
      <w:bookmarkStart w:id="279" w:name="_Toc29910221"/>
      <w:bookmarkStart w:id="280" w:name="_Toc30087652"/>
      <w:bookmarkStart w:id="281" w:name="_Toc9742"/>
      <w:bookmarkStart w:id="282" w:name="_Toc22314"/>
      <w:bookmarkStart w:id="283" w:name="_Toc29088"/>
      <w:bookmarkStart w:id="284" w:name="_Toc14003"/>
      <w:bookmarkStart w:id="285" w:name="_Toc7534"/>
      <w:bookmarkStart w:id="286" w:name="_Toc30580"/>
      <w:bookmarkStart w:id="287" w:name="_Toc28275"/>
      <w:bookmarkStart w:id="288" w:name="_Toc5138"/>
      <w:bookmarkStart w:id="289" w:name="_Toc26414"/>
      <w:bookmarkStart w:id="290" w:name="_Toc14175"/>
      <w:bookmarkStart w:id="291" w:name="_Toc1616"/>
      <w:bookmarkStart w:id="292" w:name="_Toc15945"/>
      <w:bookmarkStart w:id="293" w:name="_Toc26767"/>
      <w:bookmarkStart w:id="294" w:name="_Toc27420"/>
      <w:bookmarkStart w:id="295" w:name="_Toc26696"/>
      <w:bookmarkStart w:id="296" w:name="_Toc10724"/>
      <w:bookmarkStart w:id="297" w:name="_Toc24019"/>
      <w:bookmarkStart w:id="298" w:name="_Toc20936"/>
      <w:bookmarkStart w:id="299" w:name="_Toc18691"/>
      <w:bookmarkStart w:id="300" w:name="_Toc30666"/>
      <w:bookmarkStart w:id="301" w:name="_Toc13166"/>
      <w:bookmarkStart w:id="302" w:name="_Toc170897751"/>
      <w:r>
        <w:rPr>
          <w:rFonts w:hint="eastAsia" w:ascii="仿宋_GB2312" w:hAnsi="仿宋_GB2312" w:eastAsia="仿宋_GB2312" w:cs="仿宋_GB2312"/>
          <w:sz w:val="32"/>
          <w:szCs w:val="32"/>
        </w:rPr>
        <w:t>（一）</w:t>
      </w:r>
      <w:bookmarkEnd w:id="279"/>
      <w:bookmarkEnd w:id="280"/>
      <w:bookmarkEnd w:id="281"/>
      <w:r>
        <w:rPr>
          <w:rFonts w:hint="eastAsia" w:ascii="仿宋_GB2312" w:hAnsi="仿宋_GB2312" w:eastAsia="仿宋_GB2312" w:cs="仿宋_GB2312"/>
          <w:sz w:val="32"/>
          <w:szCs w:val="32"/>
        </w:rPr>
        <w:t>政策制定情况</w:t>
      </w:r>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pPr>
        <w:pStyle w:val="4"/>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楷体" w:hAnsi="楷体" w:eastAsia="楷体" w:cs="楷体"/>
          <w:sz w:val="32"/>
          <w:szCs w:val="32"/>
        </w:rPr>
      </w:pPr>
      <w:r>
        <w:rPr>
          <w:rFonts w:hint="eastAsia" w:ascii="楷体" w:hAnsi="楷体" w:eastAsia="楷体" w:cs="楷体"/>
          <w:sz w:val="32"/>
          <w:szCs w:val="32"/>
        </w:rPr>
        <w:t>1.政策必要性</w:t>
      </w:r>
      <w:bookmarkStart w:id="303" w:name="_Toc170897752"/>
      <w:r>
        <w:rPr>
          <w:rFonts w:hint="eastAsia" w:ascii="楷体" w:hAnsi="楷体" w:eastAsia="楷体" w:cs="楷体"/>
          <w:sz w:val="32"/>
          <w:szCs w:val="32"/>
        </w:rPr>
        <w:t>（满分8.00分，评价得分8.00分）</w:t>
      </w:r>
      <w:bookmarkEnd w:id="303"/>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产业支持政策的目标设定合理，与政策规划的覆盖范围相匹配，且与客观需求保持一致；政策专项之间的制度机制在顶层设计上不存在缺陷或缺失，实现了统筹协调，相互补充，且无交叉重复现象；政策实施的对象广泛覆盖了大服务业的经营者，确保了全面性；政策标准的制定合理且协调，充分考虑了对象、区域、环境、经济发展等多种因素。本项得8.00分。</w:t>
      </w:r>
    </w:p>
    <w:p>
      <w:pPr>
        <w:pStyle w:val="4"/>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楷体" w:hAnsi="楷体" w:eastAsia="楷体" w:cs="楷体"/>
          <w:sz w:val="32"/>
          <w:szCs w:val="32"/>
          <w:lang w:val="en-US" w:eastAsia="zh-CN"/>
        </w:rPr>
      </w:pPr>
      <w:r>
        <w:rPr>
          <w:rFonts w:hint="eastAsia" w:ascii="楷体" w:hAnsi="楷体" w:eastAsia="楷体" w:cs="楷体"/>
          <w:sz w:val="32"/>
          <w:szCs w:val="32"/>
          <w:lang w:val="en-US" w:eastAsia="zh-CN"/>
        </w:rPr>
        <w:t>2.政策可行性（满分4.00分，评价得分4.00分）</w:t>
      </w:r>
    </w:p>
    <w:p>
      <w:pPr>
        <w:bidi w:val="0"/>
        <w:rPr>
          <w:rFonts w:hint="eastAsia" w:ascii="仿宋" w:hAnsi="仿宋" w:eastAsia="仿宋" w:cs="仿宋"/>
        </w:rPr>
      </w:pPr>
      <w:r>
        <w:rPr>
          <w:rFonts w:hint="eastAsia" w:ascii="仿宋" w:hAnsi="仿宋" w:eastAsia="仿宋" w:cs="仿宋"/>
          <w:lang w:eastAsia="zh-CN"/>
        </w:rPr>
        <w:t>遂宁高新区管委会负责政策执行，具备完善的组织结构和职责分配，确保政策有效实施。由高新区科创经商局和财政金融局牵头，经园区单位自愿申报，通过高新区科商务局、高新区财政金融局初审、复审、现场核查，高新区</w:t>
      </w:r>
      <w:r>
        <w:rPr>
          <w:rFonts w:hint="eastAsia" w:ascii="仿宋" w:hAnsi="仿宋" w:eastAsia="仿宋" w:cs="仿宋"/>
          <w:lang w:val="en-US" w:eastAsia="zh-CN"/>
        </w:rPr>
        <w:t>发改统计局 、</w:t>
      </w:r>
      <w:r>
        <w:rPr>
          <w:rFonts w:hint="eastAsia" w:ascii="仿宋" w:hAnsi="仿宋" w:eastAsia="仿宋" w:cs="仿宋"/>
          <w:lang w:eastAsia="zh-CN"/>
        </w:rPr>
        <w:t>市监管局高新分局、市应急局高新分局、市公安局高新分局、船山区税务局等相关部门配合协助审查，党政办公会审议通过，将计划奖励或补助的企业名单进行公示，接受社会监督，共同组织审核兑现奖励。这种多部门协同合作的模式，有助于形成合力，提高政策实施的效率和效果。政策文件明确提到，执行过程中由高新区科经商务局实施细</w:t>
      </w:r>
      <w:r>
        <w:rPr>
          <w:rFonts w:hint="eastAsia" w:ascii="仿宋" w:hAnsi="仿宋" w:eastAsia="仿宋" w:cs="仿宋"/>
        </w:rPr>
        <w:t>则进行界定和解释，这表明政策实施主体具备制定详细执行方案的能力。同时，通过审计和统计等手段对政策执行情况进行监督，确保政策执行的公正性和透明度</w:t>
      </w:r>
      <w:r>
        <w:rPr>
          <w:rFonts w:hint="eastAsia" w:ascii="仿宋" w:hAnsi="仿宋" w:eastAsia="仿宋" w:cs="仿宋"/>
          <w:lang w:eastAsia="zh-CN"/>
        </w:rPr>
        <w:t>。</w:t>
      </w:r>
      <w:r>
        <w:rPr>
          <w:rFonts w:hint="eastAsia" w:ascii="仿宋" w:hAnsi="仿宋" w:eastAsia="仿宋" w:cs="仿宋"/>
        </w:rPr>
        <w:t>遂宁高新区管委会具备较强的组织实施能力，能够确保政策措施的有效实施。</w:t>
      </w:r>
    </w:p>
    <w:p>
      <w:pPr>
        <w:bidi w:val="0"/>
        <w:rPr>
          <w:rFonts w:hint="eastAsia" w:ascii="仿宋" w:hAnsi="仿宋" w:eastAsia="仿宋" w:cs="仿宋"/>
          <w:lang w:eastAsia="zh-CN"/>
        </w:rPr>
      </w:pPr>
      <w:r>
        <w:rPr>
          <w:rFonts w:hint="eastAsia" w:ascii="仿宋" w:hAnsi="仿宋" w:eastAsia="仿宋" w:cs="仿宋"/>
        </w:rPr>
        <w:t>政策制定前及实施后的外部环境均较为有利，为</w:t>
      </w:r>
      <w:r>
        <w:rPr>
          <w:rFonts w:hint="eastAsia" w:ascii="仿宋" w:hAnsi="仿宋" w:eastAsia="仿宋" w:cs="仿宋"/>
          <w:lang w:eastAsia="zh-CN"/>
        </w:rPr>
        <w:t>“三大</w:t>
      </w:r>
      <w:r>
        <w:rPr>
          <w:rFonts w:hint="eastAsia" w:ascii="仿宋" w:hAnsi="仿宋" w:eastAsia="仿宋" w:cs="仿宋"/>
        </w:rPr>
        <w:t>政策</w:t>
      </w:r>
      <w:r>
        <w:rPr>
          <w:rFonts w:hint="eastAsia" w:ascii="仿宋" w:hAnsi="仿宋" w:eastAsia="仿宋" w:cs="仿宋"/>
          <w:lang w:eastAsia="zh-CN"/>
        </w:rPr>
        <w:t>”</w:t>
      </w:r>
      <w:r>
        <w:rPr>
          <w:rFonts w:hint="eastAsia" w:ascii="仿宋" w:hAnsi="仿宋" w:eastAsia="仿宋" w:cs="仿宋"/>
        </w:rPr>
        <w:t>措施的实施提供了良好的外部条件。然而，也需要注意到外部环境的变化可能会对政策实施产生影响，因此政策实施主体需要密切关注外部环境的变化，及时调整和优化政策措施</w:t>
      </w:r>
      <w:r>
        <w:rPr>
          <w:rFonts w:hint="eastAsia" w:ascii="仿宋" w:hAnsi="仿宋" w:eastAsia="仿宋" w:cs="仿宋"/>
          <w:lang w:eastAsia="zh-CN"/>
        </w:rPr>
        <w:t>。</w:t>
      </w:r>
      <w:r>
        <w:rPr>
          <w:rFonts w:hint="eastAsia" w:ascii="仿宋" w:hAnsi="仿宋" w:eastAsia="仿宋" w:cs="仿宋"/>
        </w:rPr>
        <w:t>本项得分为4.00分</w:t>
      </w:r>
      <w:r>
        <w:rPr>
          <w:rFonts w:hint="eastAsia" w:ascii="仿宋" w:hAnsi="仿宋" w:eastAsia="仿宋" w:cs="仿宋"/>
          <w:lang w:eastAsia="zh-CN"/>
        </w:rPr>
        <w:t>。</w:t>
      </w:r>
    </w:p>
    <w:p>
      <w:pPr>
        <w:pStyle w:val="4"/>
        <w:bidi w:val="0"/>
        <w:rPr>
          <w:rFonts w:hint="eastAsia"/>
        </w:rPr>
      </w:pPr>
      <w:r>
        <w:rPr>
          <w:rFonts w:hint="eastAsia" w:ascii="楷体" w:hAnsi="楷体" w:eastAsia="楷体" w:cs="楷体"/>
          <w:lang w:val="en-US" w:eastAsia="zh-CN"/>
        </w:rPr>
        <w:t>3.政策合规合理性</w:t>
      </w:r>
      <w:r>
        <w:rPr>
          <w:rFonts w:hint="eastAsia"/>
          <w:lang w:val="en-US" w:eastAsia="zh-CN"/>
        </w:rPr>
        <w:t>（满分</w:t>
      </w:r>
      <w:r>
        <w:rPr>
          <w:rFonts w:hint="eastAsia" w:ascii="楷体" w:hAnsi="楷体" w:eastAsia="楷体" w:cs="楷体"/>
          <w:lang w:val="en-US" w:eastAsia="zh-CN"/>
        </w:rPr>
        <w:t>8.00分，评价得分8.00</w:t>
      </w:r>
      <w:r>
        <w:rPr>
          <w:rFonts w:hint="eastAsia"/>
          <w:lang w:val="en-US" w:eastAsia="zh-CN"/>
        </w:rPr>
        <w:t>分）</w:t>
      </w:r>
    </w:p>
    <w:p>
      <w:pPr>
        <w:bidi w:val="0"/>
        <w:rPr>
          <w:rFonts w:hint="eastAsia" w:ascii="仿宋" w:hAnsi="仿宋" w:eastAsia="仿宋" w:cs="仿宋"/>
          <w:lang w:val="en-US" w:eastAsia="zh-CN"/>
        </w:rPr>
      </w:pPr>
      <w:r>
        <w:rPr>
          <w:rFonts w:hint="eastAsia" w:ascii="仿宋" w:hAnsi="仿宋" w:eastAsia="仿宋" w:cs="仿宋"/>
          <w:lang w:val="en-US" w:eastAsia="zh-CN"/>
        </w:rPr>
        <w:t>遂宁高新区管委会制定的“三大政策”，贯彻了促进现代服务业发展的战略，明确了提升遂宁高新区服务业的政策方向。内容覆盖关键领域，如批零住餐、服务业经营主体等，体现了政策的针对性和可操作性。该政策遵循国家及地方法律法规，确保合法规范。高新区管委会制定的政策与促进经济发展、优化产业结构的目标一致，体现了政策与职能职责的紧密联系。</w:t>
      </w:r>
    </w:p>
    <w:p>
      <w:pPr>
        <w:bidi w:val="0"/>
        <w:rPr>
          <w:rFonts w:hint="eastAsia" w:ascii="仿宋" w:hAnsi="仿宋" w:eastAsia="仿宋" w:cs="仿宋"/>
          <w:lang w:val="en-US" w:eastAsia="zh-CN"/>
        </w:rPr>
      </w:pPr>
      <w:r>
        <w:rPr>
          <w:rFonts w:hint="eastAsia" w:ascii="仿宋" w:hAnsi="仿宋" w:eastAsia="仿宋" w:cs="仿宋"/>
          <w:lang w:val="en-US" w:eastAsia="zh-CN"/>
        </w:rPr>
        <w:t>“三大政策”明确界定了受益对象的范围，主要为工商、税务、统计登记在遂宁高新区，且具有独立法人资格并实行独立核算的个体或企业，确保了政策的针对性和有效性。补助方式主要包括资金奖励和费用补助两种形式。补助标准根据企业类型、经营规模、业绩增长等因素科学设定，既体现了政策的激励作用，又兼顾了公平性和差异性。</w:t>
      </w:r>
    </w:p>
    <w:p>
      <w:pPr>
        <w:bidi w:val="0"/>
        <w:rPr>
          <w:rFonts w:hint="eastAsia" w:ascii="仿宋" w:hAnsi="仿宋" w:eastAsia="仿宋" w:cs="仿宋"/>
          <w:lang w:val="en-US" w:eastAsia="zh-CN"/>
        </w:rPr>
      </w:pPr>
      <w:r>
        <w:rPr>
          <w:rFonts w:hint="eastAsia" w:ascii="仿宋" w:hAnsi="仿宋" w:eastAsia="仿宋" w:cs="仿宋"/>
          <w:lang w:val="en-US" w:eastAsia="zh-CN"/>
        </w:rPr>
        <w:t>“三大政策”在分配因素和审核程序上综合考虑了企业类型、经营规模等因素，确保了奖补的公正透明。审核程序由相关部门主导，保障了政策的规范严谨。政策还注重绩效管理和信息公开，通过遂宁高新区官网公开信息，接受监督，增强透明度和公信力。政策覆盖现代服务业多个领域，强调普惠和公平，实际操作中可能设定条件或限制。</w:t>
      </w:r>
      <w:r>
        <w:rPr>
          <w:rFonts w:hint="eastAsia" w:ascii="仿宋" w:hAnsi="仿宋" w:eastAsia="仿宋" w:cs="仿宋"/>
        </w:rPr>
        <w:t>本项得8.00</w:t>
      </w:r>
      <w:r>
        <w:rPr>
          <w:rFonts w:hint="eastAsia" w:ascii="仿宋" w:hAnsi="仿宋" w:eastAsia="仿宋" w:cs="仿宋"/>
          <w:lang w:eastAsia="zh-CN"/>
        </w:rPr>
        <w:t>分。</w:t>
      </w:r>
    </w:p>
    <w:p>
      <w:pPr>
        <w:bidi w:val="0"/>
        <w:rPr>
          <w:rFonts w:hint="eastAsia" w:ascii="仿宋" w:hAnsi="仿宋" w:eastAsia="仿宋" w:cs="仿宋"/>
        </w:rPr>
      </w:pPr>
      <w:r>
        <w:rPr>
          <w:rFonts w:hint="eastAsia" w:ascii="仿宋" w:hAnsi="仿宋" w:eastAsia="仿宋" w:cs="仿宋"/>
        </w:rPr>
        <w:t>综上所述，政策制定部分满分20.00分，评价得分20.00分。</w:t>
      </w:r>
    </w:p>
    <w:p>
      <w:pPr>
        <w:pStyle w:val="3"/>
        <w:keepLines w:val="0"/>
        <w:pageBreakBefore w:val="0"/>
        <w:widowControl w:val="0"/>
        <w:kinsoku/>
        <w:wordWrap/>
        <w:overflowPunct w:val="0"/>
        <w:topLinePunct w:val="0"/>
        <w:autoSpaceDE w:val="0"/>
        <w:autoSpaceDN w:val="0"/>
        <w:bidi w:val="0"/>
        <w:spacing w:line="560" w:lineRule="exact"/>
        <w:ind w:left="0" w:leftChars="0" w:firstLine="643" w:firstLineChars="200"/>
        <w:jc w:val="both"/>
        <w:textAlignment w:val="auto"/>
        <w:rPr>
          <w:rFonts w:hint="eastAsia" w:ascii="仿宋_GB2312" w:hAnsi="仿宋_GB2312" w:eastAsia="仿宋_GB2312" w:cs="仿宋_GB2312"/>
          <w:sz w:val="32"/>
          <w:szCs w:val="32"/>
        </w:rPr>
      </w:pPr>
      <w:bookmarkStart w:id="304" w:name="_Toc18641"/>
      <w:bookmarkStart w:id="305" w:name="_Toc21191"/>
      <w:bookmarkStart w:id="306" w:name="_Toc170897755"/>
      <w:bookmarkStart w:id="307" w:name="_Toc604"/>
      <w:bookmarkStart w:id="308" w:name="_Toc3462"/>
      <w:bookmarkStart w:id="309" w:name="_Toc16415"/>
      <w:bookmarkStart w:id="310" w:name="_Toc26776"/>
      <w:bookmarkStart w:id="311" w:name="_Toc20178"/>
      <w:bookmarkStart w:id="312" w:name="_Toc31425"/>
      <w:bookmarkStart w:id="313" w:name="_Toc28172"/>
      <w:bookmarkStart w:id="314" w:name="_Toc5471"/>
      <w:bookmarkStart w:id="315" w:name="_Toc13655"/>
      <w:bookmarkStart w:id="316" w:name="_Toc1242"/>
      <w:bookmarkStart w:id="317" w:name="_Toc13857"/>
      <w:bookmarkStart w:id="318" w:name="_Toc27614"/>
      <w:bookmarkStart w:id="319" w:name="_Toc23438"/>
      <w:bookmarkStart w:id="320" w:name="_Toc6342"/>
      <w:bookmarkStart w:id="321" w:name="_Toc4459"/>
      <w:bookmarkStart w:id="322" w:name="_Toc29416"/>
      <w:bookmarkStart w:id="323" w:name="_Toc14051"/>
      <w:bookmarkStart w:id="324" w:name="_Toc19999"/>
      <w:r>
        <w:rPr>
          <w:rFonts w:hint="eastAsia" w:ascii="仿宋_GB2312" w:hAnsi="仿宋_GB2312" w:eastAsia="仿宋_GB2312" w:cs="仿宋_GB2312"/>
          <w:sz w:val="32"/>
          <w:szCs w:val="32"/>
        </w:rPr>
        <w:t>（二）政策执行情况</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p>
    <w:p>
      <w:pPr>
        <w:pStyle w:val="4"/>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楷体" w:hAnsi="楷体" w:eastAsia="楷体" w:cs="楷体"/>
          <w:b/>
          <w:bCs/>
          <w:kern w:val="2"/>
          <w:sz w:val="32"/>
          <w:szCs w:val="32"/>
          <w:lang w:val="en-US" w:eastAsia="zh-CN" w:bidi="ar-SA"/>
        </w:rPr>
      </w:pPr>
      <w:r>
        <w:rPr>
          <w:rFonts w:hint="eastAsia" w:ascii="楷体" w:hAnsi="楷体" w:eastAsia="楷体" w:cs="楷体"/>
          <w:b/>
          <w:bCs/>
          <w:kern w:val="2"/>
          <w:sz w:val="32"/>
          <w:szCs w:val="32"/>
          <w:lang w:val="en-US" w:eastAsia="zh-CN" w:bidi="ar-SA"/>
        </w:rPr>
        <w:t>1.配套政策制定情况（满分5分，评价得分5分）</w:t>
      </w:r>
    </w:p>
    <w:p>
      <w:pPr>
        <w:keepLines w:val="0"/>
        <w:pageBreakBefore w:val="0"/>
        <w:widowControl w:val="0"/>
        <w:kinsoku/>
        <w:wordWrap/>
        <w:overflowPunct w:val="0"/>
        <w:topLinePunct w:val="0"/>
        <w:autoSpaceDE w:val="0"/>
        <w:autoSpaceDN w:val="0"/>
        <w:bidi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为确保产业支持政策补贴资金的监管工作得到有效执行，高新区科经商务局依据《遂宁高新区财政性资金使用管理暂行办法（试行）》（遂高办〔2021〕270号）文件，参照了《进一步加快现代服务业发展的政策措施》《促进制造业高质量发展的政策措施（试行）》以及《大力推进大众创业万众创新的政策措施》</w:t>
      </w:r>
      <w:r>
        <w:rPr>
          <w:rFonts w:hint="eastAsia" w:ascii="仿宋" w:hAnsi="仿宋" w:cs="仿宋"/>
          <w:sz w:val="32"/>
          <w:szCs w:val="32"/>
          <w:lang w:eastAsia="zh-CN"/>
        </w:rPr>
        <w:t>的文件要求，</w:t>
      </w:r>
      <w:r>
        <w:rPr>
          <w:rFonts w:hint="eastAsia" w:ascii="仿宋" w:hAnsi="仿宋" w:eastAsia="仿宋" w:cs="仿宋"/>
          <w:color w:val="auto"/>
          <w:sz w:val="32"/>
          <w:szCs w:val="32"/>
          <w:lang w:eastAsia="zh-CN"/>
        </w:rPr>
        <w:t>高新区科经商务局</w:t>
      </w:r>
      <w:r>
        <w:rPr>
          <w:rFonts w:hint="eastAsia" w:ascii="仿宋" w:hAnsi="仿宋" w:eastAsia="仿宋" w:cs="仿宋"/>
          <w:sz w:val="32"/>
          <w:szCs w:val="32"/>
        </w:rPr>
        <w:t>制定了相应的实施细则和政策奖补资金兑现方案。</w:t>
      </w:r>
      <w:r>
        <w:rPr>
          <w:rFonts w:hint="eastAsia" w:ascii="仿宋" w:hAnsi="仿宋" w:eastAsia="仿宋" w:cs="仿宋"/>
          <w:i w:val="0"/>
          <w:iCs w:val="0"/>
          <w:caps w:val="0"/>
          <w:color w:val="auto"/>
          <w:spacing w:val="0"/>
          <w:sz w:val="32"/>
          <w:szCs w:val="32"/>
          <w:lang w:eastAsia="zh-CN"/>
        </w:rPr>
        <w:t>由高新区科创经商局和财政金融</w:t>
      </w:r>
      <w:r>
        <w:rPr>
          <w:rFonts w:hint="eastAsia" w:ascii="仿宋" w:hAnsi="仿宋" w:eastAsia="仿宋" w:cs="仿宋"/>
          <w:color w:val="auto"/>
          <w:sz w:val="32"/>
          <w:szCs w:val="32"/>
          <w:lang w:eastAsia="zh-CN"/>
        </w:rPr>
        <w:t>局牵头，经园区单位自愿申报，通过高新区科商务局、高新区财政金融局初审、复审、现场核查，高新区</w:t>
      </w:r>
      <w:r>
        <w:rPr>
          <w:rFonts w:hint="eastAsia" w:ascii="仿宋" w:hAnsi="仿宋" w:eastAsia="仿宋" w:cs="仿宋"/>
          <w:color w:val="auto"/>
          <w:sz w:val="32"/>
          <w:szCs w:val="32"/>
          <w:lang w:val="en-US" w:eastAsia="zh-CN"/>
        </w:rPr>
        <w:t>发改统计局 、</w:t>
      </w:r>
      <w:r>
        <w:rPr>
          <w:rFonts w:hint="eastAsia" w:ascii="仿宋" w:hAnsi="仿宋" w:eastAsia="仿宋" w:cs="仿宋"/>
          <w:color w:val="auto"/>
          <w:sz w:val="32"/>
          <w:szCs w:val="32"/>
          <w:lang w:eastAsia="zh-CN"/>
        </w:rPr>
        <w:t>市监管局高新分局、市应急局高新分局、市公安局高新分局、船山区税务局等相关部门配合协助审查，党政办公会审议通过，将</w:t>
      </w:r>
      <w:r>
        <w:rPr>
          <w:rFonts w:hint="eastAsia" w:ascii="仿宋" w:hAnsi="仿宋" w:cs="仿宋"/>
          <w:color w:val="auto"/>
          <w:sz w:val="32"/>
          <w:szCs w:val="32"/>
          <w:lang w:eastAsia="zh-CN"/>
        </w:rPr>
        <w:t>计划</w:t>
      </w:r>
      <w:r>
        <w:rPr>
          <w:rFonts w:hint="eastAsia" w:ascii="仿宋" w:hAnsi="仿宋" w:eastAsia="仿宋" w:cs="仿宋"/>
          <w:color w:val="auto"/>
          <w:sz w:val="32"/>
          <w:szCs w:val="32"/>
          <w:lang w:eastAsia="zh-CN"/>
        </w:rPr>
        <w:t>奖励或补助的企业名单进行公示，接受社会监督，共同组织审核兑现奖励</w:t>
      </w:r>
      <w:r>
        <w:rPr>
          <w:rFonts w:hint="eastAsia" w:ascii="仿宋" w:hAnsi="仿宋" w:eastAsia="仿宋" w:cs="仿宋"/>
          <w:sz w:val="32"/>
          <w:szCs w:val="32"/>
        </w:rPr>
        <w:t>。政策实施对象的覆盖范围广泛，政策标准的制定合理且协调，充分考虑了对象、区域、环境、经济发展等多方面因素，以确保政策目标的实现。本项得5.00分。</w:t>
      </w:r>
    </w:p>
    <w:p>
      <w:pPr>
        <w:pStyle w:val="4"/>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楷体" w:hAnsi="楷体" w:eastAsia="楷体" w:cs="楷体"/>
          <w:b/>
          <w:bCs/>
          <w:kern w:val="2"/>
          <w:sz w:val="32"/>
          <w:szCs w:val="32"/>
          <w:lang w:val="en-US" w:eastAsia="zh-CN" w:bidi="ar-SA"/>
        </w:rPr>
      </w:pPr>
      <w:r>
        <w:rPr>
          <w:rFonts w:hint="eastAsia" w:ascii="楷体" w:hAnsi="楷体" w:eastAsia="楷体" w:cs="楷体"/>
          <w:b/>
          <w:bCs/>
          <w:kern w:val="2"/>
          <w:sz w:val="32"/>
          <w:szCs w:val="32"/>
          <w:lang w:val="en-US" w:eastAsia="zh-CN" w:bidi="ar-SA"/>
        </w:rPr>
        <w:t>2.政策执行情况（满分10分，评价得分6分）</w:t>
      </w:r>
    </w:p>
    <w:p>
      <w:pPr>
        <w:bidi w:val="0"/>
        <w:rPr>
          <w:rFonts w:hint="eastAsia" w:ascii="仿宋" w:hAnsi="仿宋" w:eastAsia="仿宋" w:cs="仿宋"/>
        </w:rPr>
      </w:pPr>
      <w:r>
        <w:rPr>
          <w:rFonts w:hint="eastAsia" w:ascii="仿宋" w:hAnsi="仿宋" w:eastAsia="仿宋" w:cs="仿宋"/>
        </w:rPr>
        <w:t>遂宁高新区科经商务局在政策执行过程中，注重对执行对象的精确识别，确保不同项目的执行对象能够相互协调，精准对接政策目标，从而实现政策预期效果的最大化。政策执行团队密切关注实际情况的变化，动态调整政策内容，这种调整不仅及时准确，还充分考虑了合理性和可行性，确保了政策的有效性和适应性。</w:t>
      </w:r>
    </w:p>
    <w:p>
      <w:pPr>
        <w:keepNext w:val="0"/>
        <w:keepLines w:val="0"/>
        <w:pageBreakBefore w:val="0"/>
        <w:widowControl w:val="0"/>
        <w:kinsoku/>
        <w:wordWrap/>
        <w:overflowPunct w:val="0"/>
        <w:topLinePunct w:val="0"/>
        <w:autoSpaceDE w:val="0"/>
        <w:autoSpaceDN w:val="0"/>
        <w:bidi w:val="0"/>
        <w:adjustRightInd/>
        <w:snapToGrid/>
        <w:textAlignment w:val="auto"/>
        <w:rPr>
          <w:rFonts w:hint="eastAsia" w:ascii="仿宋" w:hAnsi="仿宋" w:eastAsia="仿宋" w:cs="仿宋"/>
        </w:rPr>
      </w:pPr>
      <w:r>
        <w:rPr>
          <w:rFonts w:hint="eastAsia" w:ascii="仿宋" w:hAnsi="仿宋" w:eastAsia="仿宋" w:cs="仿宋"/>
          <w:lang w:val="zh-CN"/>
        </w:rPr>
        <w:t>从评价情况看，</w:t>
      </w:r>
      <w:r>
        <w:rPr>
          <w:rFonts w:hint="eastAsia" w:ascii="仿宋" w:hAnsi="仿宋" w:eastAsia="仿宋" w:cs="仿宋"/>
        </w:rPr>
        <w:t>产业支持补贴政策项目</w:t>
      </w:r>
      <w:r>
        <w:rPr>
          <w:rFonts w:hint="eastAsia" w:ascii="仿宋" w:hAnsi="仿宋" w:eastAsia="仿宋" w:cs="仿宋"/>
          <w:lang w:val="zh-CN"/>
        </w:rPr>
        <w:t>能够在规定时间内完成，基本达到预期目标，取得一定成效。但从评价过程中也发现一些存在的问题，</w:t>
      </w:r>
      <w:r>
        <w:rPr>
          <w:rFonts w:hint="eastAsia" w:ascii="仿宋" w:hAnsi="仿宋" w:eastAsia="仿宋" w:cs="仿宋"/>
        </w:rPr>
        <w:t>评价组在查看项目申报资料时，发现实地调研结果的资料收集存在不完整的情况，影响了对政策执行环境及效果的全面评估。项目库管理方面的相关成果物及证明材料未达到完备标准，给项目管理带来了不便。追加预算156.00万元的事项，缺乏相应的调剂文件支持，影响预算调整的透明度和合规性。在政策执行流程、实施方案以及访谈等动态跟踪机制的执行力方面相关资料不完整。发现政策执行中的公开材料，如照片、公示文件等资料不完善的情况。本项得6.00分。</w:t>
      </w:r>
    </w:p>
    <w:p>
      <w:pPr>
        <w:pStyle w:val="4"/>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楷体" w:hAnsi="楷体" w:eastAsia="楷体" w:cs="楷体"/>
          <w:b/>
          <w:bCs/>
          <w:kern w:val="2"/>
          <w:sz w:val="32"/>
          <w:szCs w:val="32"/>
          <w:lang w:val="en-US" w:eastAsia="zh-CN" w:bidi="ar-SA"/>
        </w:rPr>
      </w:pPr>
      <w:r>
        <w:rPr>
          <w:rFonts w:hint="eastAsia" w:ascii="楷体" w:hAnsi="楷体" w:eastAsia="楷体" w:cs="楷体"/>
          <w:b/>
          <w:bCs/>
          <w:kern w:val="2"/>
          <w:sz w:val="32"/>
          <w:szCs w:val="32"/>
          <w:lang w:val="en-US" w:eastAsia="zh-CN" w:bidi="ar-SA"/>
        </w:rPr>
        <w:t>3.资金使用效率（满分5分，评价得分4.5</w:t>
      </w:r>
      <w:r>
        <w:rPr>
          <w:rFonts w:hint="eastAsia" w:ascii="楷体" w:hAnsi="楷体" w:cs="楷体"/>
          <w:b/>
          <w:bCs/>
          <w:kern w:val="2"/>
          <w:sz w:val="32"/>
          <w:szCs w:val="32"/>
          <w:lang w:val="en-US" w:eastAsia="zh-CN" w:bidi="ar-SA"/>
        </w:rPr>
        <w:t>0</w:t>
      </w:r>
      <w:r>
        <w:rPr>
          <w:rFonts w:hint="eastAsia" w:ascii="楷体" w:hAnsi="楷体" w:eastAsia="楷体" w:cs="楷体"/>
          <w:b/>
          <w:bCs/>
          <w:kern w:val="2"/>
          <w:sz w:val="32"/>
          <w:szCs w:val="32"/>
          <w:lang w:val="en-US" w:eastAsia="zh-CN" w:bidi="ar-SA"/>
        </w:rPr>
        <w:t>分）</w:t>
      </w:r>
    </w:p>
    <w:p>
      <w:pPr>
        <w:keepLines w:val="0"/>
        <w:pageBreakBefore w:val="0"/>
        <w:widowControl w:val="0"/>
        <w:kinsoku/>
        <w:wordWrap/>
        <w:overflowPunct w:val="0"/>
        <w:topLinePunct w:val="0"/>
        <w:autoSpaceDE w:val="0"/>
        <w:autoSpaceDN w:val="0"/>
        <w:bidi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产业支持政策补贴年初预算数340.00万元，调整后预算数468.47万元，实际支付数468.47万元预算执行率100.00%。遂宁高新区财政金融局下达产业支持政策补贴资金468.47万元，实际支出467.47万元，其中用于大力推进园区大众创业万众创新96.47万元，支持园区工业、商贸服务业企业以及创新创业企业发展372.00万元，全部按制定政策方案支付给获得补助单位。资金使用率为10</w:t>
      </w:r>
      <w:r>
        <w:rPr>
          <w:rFonts w:hint="eastAsia" w:ascii="仿宋" w:hAnsi="仿宋" w:eastAsia="仿宋" w:cs="仿宋"/>
          <w:sz w:val="32"/>
          <w:szCs w:val="32"/>
          <w:lang w:val="en-US" w:eastAsia="zh-CN"/>
        </w:rPr>
        <w:t>0.00</w:t>
      </w:r>
      <w:r>
        <w:rPr>
          <w:rFonts w:hint="eastAsia" w:ascii="仿宋" w:hAnsi="仿宋" w:eastAsia="仿宋" w:cs="仿宋"/>
          <w:sz w:val="32"/>
          <w:szCs w:val="32"/>
        </w:rPr>
        <w:t>%。</w:t>
      </w:r>
    </w:p>
    <w:p>
      <w:pPr>
        <w:pStyle w:val="14"/>
        <w:keepLines w:val="0"/>
        <w:pageBreakBefore w:val="0"/>
        <w:widowControl w:val="0"/>
        <w:kinsoku/>
        <w:wordWrap/>
        <w:overflowPunct w:val="0"/>
        <w:topLinePunct w:val="0"/>
        <w:autoSpaceDE w:val="0"/>
        <w:autoSpaceDN w:val="0"/>
        <w:bidi w:val="0"/>
        <w:spacing w:before="0" w:beforeAutospacing="0" w:after="0" w:afterAutospacing="0"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通过查看产业支持政策补贴项目报账资料及会计账目查看，确认产业项目资金的拨付流程基本遵循了既定的审批程序和手续，确保了资金管理的规范性和透明度。在资金运用方面，基本符合国家财经法规、财务管理制度以及针对专项资金的各项管理办法要求，按照项目预算批复用途进行了合理有效的配置，未发现任何截留、挤占、挪用资金或虚列支出等违规行为，资金使用效率和的财务管理较好。在对凭证进行抽查时，发现2023年9月5日支付给第二届中国（四川）国际熊猫消费节的25.00万元专项资金，其原始凭证附件存在缺失，导致财务记录不完整且不合规。本项得4.50分。</w:t>
      </w:r>
    </w:p>
    <w:p>
      <w:pPr>
        <w:pStyle w:val="14"/>
        <w:keepLines w:val="0"/>
        <w:pageBreakBefore w:val="0"/>
        <w:widowControl w:val="0"/>
        <w:kinsoku/>
        <w:wordWrap/>
        <w:overflowPunct w:val="0"/>
        <w:topLinePunct w:val="0"/>
        <w:autoSpaceDE w:val="0"/>
        <w:autoSpaceDN w:val="0"/>
        <w:bidi w:val="0"/>
        <w:spacing w:before="0" w:beforeAutospacing="0" w:after="0" w:afterAutospacing="0"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综上所述，政策执行部分满分20.00分，评价得分15.50分。</w:t>
      </w:r>
    </w:p>
    <w:p>
      <w:pPr>
        <w:pStyle w:val="3"/>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仿宋_GB2312" w:hAnsi="仿宋_GB2312" w:eastAsia="仿宋_GB2312" w:cs="仿宋_GB2312"/>
          <w:sz w:val="32"/>
          <w:szCs w:val="32"/>
        </w:rPr>
      </w:pPr>
      <w:bookmarkStart w:id="325" w:name="_Toc10786"/>
      <w:bookmarkStart w:id="326" w:name="_Toc12529"/>
      <w:bookmarkStart w:id="327" w:name="_Toc23639"/>
      <w:bookmarkStart w:id="328" w:name="_Toc26111"/>
      <w:bookmarkStart w:id="329" w:name="_Toc12091"/>
      <w:bookmarkStart w:id="330" w:name="_Toc5042"/>
      <w:bookmarkStart w:id="331" w:name="_Toc8681"/>
      <w:bookmarkStart w:id="332" w:name="_Toc5531"/>
      <w:bookmarkStart w:id="333" w:name="_Toc170897761"/>
      <w:bookmarkStart w:id="334" w:name="_Toc9447"/>
      <w:bookmarkStart w:id="335" w:name="_Toc6803"/>
      <w:bookmarkStart w:id="336" w:name="_Toc14874"/>
      <w:bookmarkStart w:id="337" w:name="_Toc16973"/>
      <w:bookmarkStart w:id="338" w:name="_Toc10523"/>
      <w:bookmarkStart w:id="339" w:name="_Toc15942"/>
      <w:bookmarkStart w:id="340" w:name="_Toc25428"/>
      <w:bookmarkStart w:id="341" w:name="_Toc23429"/>
      <w:bookmarkStart w:id="342" w:name="_Toc10557"/>
      <w:bookmarkStart w:id="343" w:name="_Toc14659"/>
      <w:bookmarkStart w:id="344" w:name="_Toc22917"/>
      <w:bookmarkStart w:id="345" w:name="_Toc28730"/>
      <w:bookmarkStart w:id="346" w:name="_Toc26318"/>
      <w:bookmarkStart w:id="347" w:name="_Toc170897765"/>
      <w:r>
        <w:rPr>
          <w:rFonts w:hint="eastAsia" w:ascii="仿宋_GB2312" w:hAnsi="仿宋_GB2312" w:cs="仿宋_GB2312"/>
          <w:sz w:val="32"/>
          <w:szCs w:val="32"/>
          <w:lang w:eastAsia="zh-CN"/>
        </w:rPr>
        <w:t>（三）</w:t>
      </w:r>
      <w:r>
        <w:rPr>
          <w:rFonts w:hint="eastAsia" w:ascii="仿宋_GB2312" w:hAnsi="仿宋_GB2312" w:eastAsia="仿宋_GB2312" w:cs="仿宋_GB2312"/>
          <w:sz w:val="32"/>
          <w:szCs w:val="32"/>
        </w:rPr>
        <w:t>政策</w:t>
      </w:r>
      <w:bookmarkEnd w:id="325"/>
      <w:r>
        <w:rPr>
          <w:rFonts w:hint="eastAsia" w:ascii="仿宋_GB2312" w:hAnsi="仿宋_GB2312" w:cs="仿宋_GB2312"/>
          <w:sz w:val="32"/>
          <w:szCs w:val="32"/>
          <w:lang w:eastAsia="zh-CN"/>
        </w:rPr>
        <w:t>产出</w:t>
      </w:r>
      <w:r>
        <w:rPr>
          <w:rFonts w:hint="eastAsia" w:ascii="仿宋_GB2312" w:hAnsi="仿宋_GB2312" w:eastAsia="仿宋_GB2312" w:cs="仿宋_GB2312"/>
          <w:sz w:val="32"/>
          <w:szCs w:val="32"/>
        </w:rPr>
        <w:t>情况</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pPr>
        <w:pStyle w:val="4"/>
        <w:bidi w:val="0"/>
        <w:rPr>
          <w:rFonts w:hint="eastAsia" w:ascii="楷体" w:hAnsi="楷体" w:eastAsia="楷体" w:cs="楷体"/>
        </w:rPr>
      </w:pPr>
      <w:r>
        <w:rPr>
          <w:rFonts w:hint="eastAsia" w:ascii="楷体" w:hAnsi="楷体" w:eastAsia="楷体" w:cs="楷体"/>
          <w:lang w:val="en-US" w:eastAsia="zh-CN"/>
        </w:rPr>
        <w:t>1</w:t>
      </w:r>
      <w:r>
        <w:rPr>
          <w:rFonts w:hint="eastAsia" w:ascii="楷体" w:hAnsi="楷体" w:eastAsia="楷体" w:cs="楷体"/>
          <w:b/>
          <w:bCs/>
          <w:kern w:val="2"/>
          <w:sz w:val="32"/>
          <w:szCs w:val="32"/>
          <w:lang w:val="en-US" w:eastAsia="zh-CN" w:bidi="ar-SA"/>
        </w:rPr>
        <w:t>.</w:t>
      </w:r>
      <w:r>
        <w:rPr>
          <w:rFonts w:hint="eastAsia" w:ascii="楷体" w:hAnsi="楷体" w:eastAsia="楷体" w:cs="楷体"/>
        </w:rPr>
        <w:t>产出数量（满分</w:t>
      </w:r>
      <w:r>
        <w:rPr>
          <w:rFonts w:hint="eastAsia" w:ascii="楷体" w:hAnsi="楷体" w:eastAsia="楷体" w:cs="楷体"/>
          <w:lang w:val="en-US" w:eastAsia="zh-CN"/>
        </w:rPr>
        <w:t>10</w:t>
      </w:r>
      <w:r>
        <w:rPr>
          <w:rFonts w:hint="eastAsia" w:ascii="楷体" w:hAnsi="楷体" w:eastAsia="楷体" w:cs="楷体"/>
        </w:rPr>
        <w:t>.00分，评价得分</w:t>
      </w:r>
      <w:r>
        <w:rPr>
          <w:rFonts w:hint="eastAsia" w:ascii="楷体" w:hAnsi="楷体" w:eastAsia="楷体" w:cs="楷体"/>
          <w:lang w:val="en-US" w:eastAsia="zh-CN"/>
        </w:rPr>
        <w:t>10</w:t>
      </w:r>
      <w:r>
        <w:rPr>
          <w:rFonts w:hint="eastAsia" w:ascii="楷体" w:hAnsi="楷体" w:eastAsia="楷体" w:cs="楷体"/>
        </w:rPr>
        <w:t>.00分）</w:t>
      </w:r>
    </w:p>
    <w:p>
      <w:pPr>
        <w:bidi w:val="0"/>
        <w:rPr>
          <w:rFonts w:hint="eastAsia" w:ascii="仿宋" w:hAnsi="仿宋" w:eastAsia="仿宋" w:cs="仿宋"/>
        </w:rPr>
      </w:pPr>
      <w:r>
        <w:rPr>
          <w:rFonts w:hint="eastAsia" w:ascii="仿宋" w:hAnsi="仿宋" w:eastAsia="仿宋" w:cs="仿宋"/>
        </w:rPr>
        <w:t>产业支持政策补贴对服务业实施产生的影响，2023年园区新增规模以上工业企业4家，新增规模以上企业共计15家。同年，共有6家企业申报年度营收增长。产业支持政策补贴政策对制造业实施以来，2023年共有4家企业新获得能源管理体系认证，1家企业荣获省级绿色工厂（绿色供应链）认定，另1家企业获得国家级绿色工厂（绿色供应链）认定。双创企业在产业支持政策补贴政策推动下，2023年新增高新技术企业16家，科技型中小企业86家。此外，2023年共举办服务企业活动19场，服务企业累计229家次，培训企业人员总数达到394人。本项得</w:t>
      </w:r>
      <w:r>
        <w:rPr>
          <w:rFonts w:hint="eastAsia" w:ascii="仿宋" w:hAnsi="仿宋" w:eastAsia="仿宋" w:cs="仿宋"/>
          <w:lang w:val="en-US" w:eastAsia="zh-CN"/>
        </w:rPr>
        <w:t>10</w:t>
      </w:r>
      <w:r>
        <w:rPr>
          <w:rFonts w:hint="eastAsia" w:ascii="仿宋" w:hAnsi="仿宋" w:eastAsia="仿宋" w:cs="仿宋"/>
        </w:rPr>
        <w:t>.00分。</w:t>
      </w:r>
    </w:p>
    <w:p>
      <w:pPr>
        <w:pStyle w:val="4"/>
        <w:bidi w:val="0"/>
        <w:rPr>
          <w:rFonts w:hint="eastAsia" w:ascii="楷体" w:hAnsi="楷体" w:eastAsia="楷体" w:cs="楷体"/>
          <w:lang w:val="en-US" w:eastAsia="zh-CN"/>
        </w:rPr>
      </w:pPr>
      <w:r>
        <w:rPr>
          <w:rFonts w:hint="eastAsia" w:ascii="楷体" w:hAnsi="楷体" w:eastAsia="楷体" w:cs="楷体"/>
          <w:lang w:val="en-US" w:eastAsia="zh-CN"/>
        </w:rPr>
        <w:t>2</w:t>
      </w:r>
      <w:r>
        <w:rPr>
          <w:rFonts w:hint="eastAsia" w:ascii="楷体" w:hAnsi="楷体" w:eastAsia="楷体" w:cs="楷体"/>
          <w:b/>
          <w:bCs/>
          <w:kern w:val="2"/>
          <w:sz w:val="32"/>
          <w:szCs w:val="32"/>
          <w:lang w:val="en-US" w:eastAsia="zh-CN" w:bidi="ar-SA"/>
        </w:rPr>
        <w:t>.</w:t>
      </w:r>
      <w:r>
        <w:rPr>
          <w:rFonts w:hint="eastAsia" w:ascii="楷体" w:hAnsi="楷体" w:eastAsia="楷体" w:cs="楷体"/>
          <w:lang w:val="en-US" w:eastAsia="zh-CN"/>
        </w:rPr>
        <w:t>产出质量（满分10.00分，评价得分10.00分）</w:t>
      </w:r>
    </w:p>
    <w:p>
      <w:pPr>
        <w:bidi w:val="0"/>
        <w:rPr>
          <w:rFonts w:hint="eastAsia" w:ascii="仿宋" w:hAnsi="仿宋" w:eastAsia="仿宋" w:cs="仿宋"/>
        </w:rPr>
      </w:pPr>
      <w:r>
        <w:rPr>
          <w:rFonts w:hint="eastAsia" w:ascii="仿宋" w:hAnsi="仿宋" w:eastAsia="仿宋" w:cs="仿宋"/>
        </w:rPr>
        <w:t>2023年，高新区科经商务局完成了园区设定的工作目标。一是促进园区内大众创业、万众创新的政策举措，有效提升了企业的创新能力和创业水平，增长率达到1</w:t>
      </w:r>
      <w:r>
        <w:rPr>
          <w:rFonts w:hint="eastAsia" w:ascii="仿宋" w:hAnsi="仿宋" w:eastAsia="仿宋" w:cs="仿宋"/>
          <w:lang w:val="en-US" w:eastAsia="zh-CN"/>
        </w:rPr>
        <w:t>5.00</w:t>
      </w:r>
      <w:r>
        <w:rPr>
          <w:rFonts w:hint="eastAsia" w:ascii="仿宋" w:hAnsi="仿宋" w:eastAsia="仿宋" w:cs="仿宋"/>
        </w:rPr>
        <w:t>%。促进了经济增长，增幅达到10</w:t>
      </w:r>
      <w:r>
        <w:rPr>
          <w:rFonts w:hint="eastAsia" w:ascii="仿宋" w:hAnsi="仿宋" w:eastAsia="仿宋" w:cs="仿宋"/>
          <w:lang w:val="en-US" w:eastAsia="zh-CN"/>
        </w:rPr>
        <w:t>.00</w:t>
      </w:r>
      <w:r>
        <w:rPr>
          <w:rFonts w:hint="eastAsia" w:ascii="仿宋" w:hAnsi="仿宋" w:eastAsia="仿宋" w:cs="仿宋"/>
        </w:rPr>
        <w:t>%。二是在支持园区内工业、商贸、服务业以及创新型企业的发展，完成政策的奖补效应达到设定的60</w:t>
      </w:r>
      <w:r>
        <w:rPr>
          <w:rFonts w:hint="eastAsia" w:ascii="仿宋" w:hAnsi="仿宋" w:eastAsia="仿宋" w:cs="仿宋"/>
          <w:lang w:val="en-US" w:eastAsia="zh-CN"/>
        </w:rPr>
        <w:t>.00</w:t>
      </w:r>
      <w:r>
        <w:rPr>
          <w:rFonts w:hint="eastAsia" w:ascii="仿宋" w:hAnsi="仿宋" w:eastAsia="仿宋" w:cs="仿宋"/>
        </w:rPr>
        <w:t>%的目标任务，提高园区内工业、商贸、科技创新企业的占比达到70</w:t>
      </w:r>
      <w:r>
        <w:rPr>
          <w:rFonts w:hint="eastAsia" w:ascii="仿宋" w:hAnsi="仿宋" w:eastAsia="仿宋" w:cs="仿宋"/>
          <w:lang w:val="en-US" w:eastAsia="zh-CN"/>
        </w:rPr>
        <w:t>.00</w:t>
      </w:r>
      <w:r>
        <w:rPr>
          <w:rFonts w:hint="eastAsia" w:ascii="仿宋" w:hAnsi="仿宋" w:eastAsia="仿宋" w:cs="仿宋"/>
        </w:rPr>
        <w:t>%，同时带动当地就业率增长达80</w:t>
      </w:r>
      <w:r>
        <w:rPr>
          <w:rFonts w:hint="eastAsia" w:ascii="仿宋" w:hAnsi="仿宋" w:eastAsia="仿宋" w:cs="仿宋"/>
          <w:lang w:val="en-US" w:eastAsia="zh-CN"/>
        </w:rPr>
        <w:t>.00</w:t>
      </w:r>
      <w:r>
        <w:rPr>
          <w:rFonts w:hint="eastAsia" w:ascii="仿宋" w:hAnsi="仿宋" w:eastAsia="仿宋" w:cs="仿宋"/>
        </w:rPr>
        <w:t>%。本项得</w:t>
      </w:r>
      <w:r>
        <w:rPr>
          <w:rFonts w:hint="eastAsia" w:ascii="仿宋" w:hAnsi="仿宋" w:eastAsia="仿宋" w:cs="仿宋"/>
          <w:lang w:val="en-US" w:eastAsia="zh-CN"/>
        </w:rPr>
        <w:t>10</w:t>
      </w:r>
      <w:r>
        <w:rPr>
          <w:rFonts w:hint="eastAsia" w:ascii="仿宋" w:hAnsi="仿宋" w:eastAsia="仿宋" w:cs="仿宋"/>
        </w:rPr>
        <w:t>.00分。</w:t>
      </w:r>
    </w:p>
    <w:p>
      <w:pPr>
        <w:pStyle w:val="4"/>
        <w:bidi w:val="0"/>
        <w:rPr>
          <w:rFonts w:hint="eastAsia" w:ascii="楷体" w:hAnsi="楷体" w:eastAsia="楷体" w:cs="楷体"/>
          <w:lang w:val="en-US" w:eastAsia="zh-CN"/>
        </w:rPr>
      </w:pPr>
      <w:r>
        <w:rPr>
          <w:rFonts w:hint="eastAsia" w:ascii="楷体" w:hAnsi="楷体" w:eastAsia="楷体" w:cs="楷体"/>
          <w:lang w:val="en-US" w:eastAsia="zh-CN"/>
        </w:rPr>
        <w:t>3</w:t>
      </w:r>
      <w:r>
        <w:rPr>
          <w:rFonts w:hint="eastAsia" w:ascii="楷体" w:hAnsi="楷体" w:eastAsia="楷体" w:cs="楷体"/>
          <w:b/>
          <w:bCs/>
          <w:kern w:val="2"/>
          <w:sz w:val="32"/>
          <w:szCs w:val="32"/>
          <w:lang w:val="en-US" w:eastAsia="zh-CN" w:bidi="ar-SA"/>
        </w:rPr>
        <w:t>.</w:t>
      </w:r>
      <w:r>
        <w:rPr>
          <w:rFonts w:hint="eastAsia" w:ascii="楷体" w:hAnsi="楷体" w:eastAsia="楷体" w:cs="楷体"/>
          <w:lang w:val="en-US" w:eastAsia="zh-CN"/>
        </w:rPr>
        <w:t>产出时效（满分10分，评价得分10.00分）</w:t>
      </w:r>
    </w:p>
    <w:p>
      <w:pPr>
        <w:bidi w:val="0"/>
        <w:rPr>
          <w:rFonts w:hint="eastAsia" w:ascii="仿宋" w:hAnsi="仿宋" w:eastAsia="仿宋" w:cs="仿宋"/>
        </w:rPr>
      </w:pPr>
      <w:r>
        <w:rPr>
          <w:rFonts w:hint="eastAsia" w:ascii="仿宋" w:hAnsi="仿宋" w:eastAsia="仿宋" w:cs="仿宋"/>
        </w:rPr>
        <w:t>为了更好地贯彻落实政策补贴科经商务每年都举办1次大力推进园区大众创业万众创新活动；支持园区工业、商贸服务业企业以及创新创业企业发展申报时间为1年。本项得</w:t>
      </w:r>
      <w:r>
        <w:rPr>
          <w:rFonts w:hint="eastAsia" w:ascii="仿宋" w:hAnsi="仿宋" w:eastAsia="仿宋" w:cs="仿宋"/>
          <w:lang w:val="en-US" w:eastAsia="zh-CN"/>
        </w:rPr>
        <w:t>10</w:t>
      </w:r>
      <w:r>
        <w:rPr>
          <w:rFonts w:hint="eastAsia" w:ascii="仿宋" w:hAnsi="仿宋" w:eastAsia="仿宋" w:cs="仿宋"/>
        </w:rPr>
        <w:t>.00分。</w:t>
      </w:r>
    </w:p>
    <w:p>
      <w:pPr>
        <w:pStyle w:val="4"/>
        <w:bidi w:val="0"/>
        <w:rPr>
          <w:rFonts w:hint="eastAsia" w:ascii="楷体" w:hAnsi="楷体" w:eastAsia="楷体" w:cs="楷体"/>
          <w:lang w:val="en-US" w:eastAsia="zh-CN"/>
        </w:rPr>
      </w:pPr>
      <w:r>
        <w:rPr>
          <w:rFonts w:hint="eastAsia" w:ascii="楷体" w:hAnsi="楷体" w:eastAsia="楷体" w:cs="楷体"/>
          <w:lang w:val="en-US" w:eastAsia="zh-CN"/>
        </w:rPr>
        <w:t>4.成本指标（满分10.00分，评价得分10.00分）</w:t>
      </w:r>
    </w:p>
    <w:p>
      <w:pPr>
        <w:pStyle w:val="5"/>
        <w:bidi w:val="0"/>
        <w:rPr>
          <w:rFonts w:hint="eastAsia"/>
        </w:rPr>
      </w:pPr>
      <w:r>
        <w:rPr>
          <w:rFonts w:hint="eastAsia" w:ascii="仿宋" w:hAnsi="仿宋" w:eastAsia="仿宋" w:cs="仿宋"/>
          <w:lang w:eastAsia="zh-CN"/>
        </w:rPr>
        <w:t>（</w:t>
      </w:r>
      <w:r>
        <w:rPr>
          <w:rFonts w:hint="eastAsia" w:ascii="仿宋" w:hAnsi="仿宋" w:eastAsia="仿宋" w:cs="仿宋"/>
        </w:rPr>
        <w:t>1）服务</w:t>
      </w:r>
      <w:r>
        <w:rPr>
          <w:rFonts w:hint="eastAsia"/>
        </w:rPr>
        <w:t>业政策实施成效</w:t>
      </w:r>
    </w:p>
    <w:p>
      <w:pPr>
        <w:bidi w:val="0"/>
        <w:rPr>
          <w:rFonts w:hint="eastAsia" w:ascii="仿宋" w:hAnsi="仿宋" w:eastAsia="仿宋" w:cs="仿宋"/>
        </w:rPr>
      </w:pPr>
      <w:r>
        <w:rPr>
          <w:rFonts w:hint="eastAsia" w:ascii="仿宋" w:hAnsi="仿宋" w:eastAsia="仿宋" w:cs="仿宋"/>
        </w:rPr>
        <w:t>政策通过奖励与补贴措施，鼓励了新增规模以上服务业企业和限额以上商贸企业的发展，增强了企业信心。2023年，园区新增规模以上工业企业4家，新增“两上”企业15家，提升了园区经济活力。同时，政策支持电子商务平台发展，蜀道通平台吸引8家年营收超2000万元企业，年交易额达70.97亿元，占全市GDP的30%，成为经济增长引擎。政策还降低了企业参展成本，助力企业拓展市场，提升品牌影响力和竞争力。</w:t>
      </w:r>
    </w:p>
    <w:p>
      <w:pPr>
        <w:pStyle w:val="5"/>
        <w:bidi w:val="0"/>
        <w:rPr>
          <w:rFonts w:hint="eastAsia"/>
        </w:rPr>
      </w:pPr>
      <w:r>
        <w:rPr>
          <w:rFonts w:hint="eastAsia" w:ascii="仿宋" w:hAnsi="仿宋" w:eastAsia="仿宋" w:cs="仿宋"/>
          <w:lang w:eastAsia="zh-CN"/>
        </w:rPr>
        <w:t>（</w:t>
      </w:r>
      <w:r>
        <w:rPr>
          <w:rFonts w:hint="eastAsia" w:ascii="仿宋" w:hAnsi="仿宋" w:eastAsia="仿宋" w:cs="仿宋"/>
        </w:rPr>
        <w:t>2）</w:t>
      </w:r>
      <w:r>
        <w:rPr>
          <w:rFonts w:hint="eastAsia"/>
        </w:rPr>
        <w:t>制造业政策实施成效</w:t>
      </w:r>
    </w:p>
    <w:p>
      <w:pPr>
        <w:bidi w:val="0"/>
        <w:rPr>
          <w:rFonts w:hint="eastAsia" w:ascii="仿宋" w:hAnsi="仿宋" w:eastAsia="仿宋" w:cs="仿宋"/>
        </w:rPr>
      </w:pPr>
      <w:r>
        <w:rPr>
          <w:rFonts w:hint="eastAsia" w:ascii="仿宋" w:hAnsi="仿宋" w:eastAsia="仿宋" w:cs="仿宋"/>
        </w:rPr>
        <w:t>2023年，园区内四家企业获得能源管理体系认证，一家企业获省级绿色工厂认定，一家获国家级绿色工厂认定。园区公共服务机构和平台开展服务活动，提升企业运营效率和竞争力。</w:t>
      </w:r>
    </w:p>
    <w:p>
      <w:pPr>
        <w:pStyle w:val="5"/>
        <w:bidi w:val="0"/>
        <w:rPr>
          <w:rFonts w:hint="eastAsia"/>
          <w:lang w:eastAsia="zh-CN"/>
        </w:rPr>
      </w:pPr>
      <w:r>
        <w:rPr>
          <w:rFonts w:hint="eastAsia" w:ascii="仿宋" w:hAnsi="仿宋" w:eastAsia="仿宋" w:cs="仿宋"/>
          <w:lang w:eastAsia="zh-CN"/>
        </w:rPr>
        <w:t>（3）</w:t>
      </w:r>
      <w:r>
        <w:rPr>
          <w:rFonts w:hint="eastAsia"/>
          <w:lang w:eastAsia="zh-CN"/>
        </w:rPr>
        <w:t>大众创业万众创新</w:t>
      </w:r>
    </w:p>
    <w:p>
      <w:pPr>
        <w:bidi w:val="0"/>
        <w:rPr>
          <w:rFonts w:hint="eastAsia" w:ascii="仿宋" w:hAnsi="仿宋" w:eastAsia="仿宋" w:cs="仿宋"/>
        </w:rPr>
      </w:pPr>
      <w:r>
        <w:rPr>
          <w:rFonts w:hint="eastAsia" w:ascii="仿宋" w:hAnsi="仿宋" w:eastAsia="仿宋" w:cs="仿宋"/>
        </w:rPr>
        <w:t>有效推动了园区科技创新与成果转化，其经济效益和社会效益远超成本，为园区发展提供动力。本项得</w:t>
      </w:r>
      <w:r>
        <w:rPr>
          <w:rFonts w:hint="eastAsia" w:ascii="仿宋" w:hAnsi="仿宋" w:eastAsia="仿宋" w:cs="仿宋"/>
          <w:lang w:val="en-US" w:eastAsia="zh-CN"/>
        </w:rPr>
        <w:t>10</w:t>
      </w:r>
      <w:r>
        <w:rPr>
          <w:rFonts w:hint="eastAsia" w:ascii="仿宋" w:hAnsi="仿宋" w:eastAsia="仿宋" w:cs="仿宋"/>
        </w:rPr>
        <w:t>.00分。</w:t>
      </w:r>
    </w:p>
    <w:p>
      <w:pPr>
        <w:bidi w:val="0"/>
        <w:rPr>
          <w:rFonts w:hint="eastAsia" w:ascii="仿宋" w:hAnsi="仿宋" w:eastAsia="仿宋" w:cs="仿宋"/>
        </w:rPr>
      </w:pPr>
      <w:r>
        <w:rPr>
          <w:rFonts w:hint="eastAsia" w:ascii="仿宋" w:hAnsi="仿宋" w:eastAsia="仿宋" w:cs="仿宋"/>
        </w:rPr>
        <w:t>综上所述，政策产出部分满分</w:t>
      </w:r>
      <w:r>
        <w:rPr>
          <w:rFonts w:hint="eastAsia" w:ascii="仿宋" w:hAnsi="仿宋" w:eastAsia="仿宋" w:cs="仿宋"/>
          <w:lang w:val="en-US" w:eastAsia="zh-CN"/>
        </w:rPr>
        <w:t>40.00</w:t>
      </w:r>
      <w:r>
        <w:rPr>
          <w:rFonts w:hint="eastAsia" w:ascii="仿宋" w:hAnsi="仿宋" w:eastAsia="仿宋" w:cs="仿宋"/>
        </w:rPr>
        <w:t>分，评价得分</w:t>
      </w:r>
      <w:r>
        <w:rPr>
          <w:rFonts w:hint="eastAsia" w:ascii="仿宋" w:hAnsi="仿宋" w:eastAsia="仿宋" w:cs="仿宋"/>
          <w:lang w:val="en-US" w:eastAsia="zh-CN"/>
        </w:rPr>
        <w:t>40.00</w:t>
      </w:r>
      <w:r>
        <w:rPr>
          <w:rFonts w:hint="eastAsia" w:ascii="仿宋" w:hAnsi="仿宋" w:eastAsia="仿宋" w:cs="仿宋"/>
        </w:rPr>
        <w:t>分。</w:t>
      </w:r>
      <w:bookmarkEnd w:id="347"/>
    </w:p>
    <w:p>
      <w:pPr>
        <w:pStyle w:val="3"/>
        <w:bidi w:val="0"/>
        <w:rPr>
          <w:rFonts w:hint="eastAsia"/>
        </w:rPr>
      </w:pPr>
      <w:bookmarkStart w:id="348" w:name="_Toc28113"/>
      <w:bookmarkStart w:id="349" w:name="_Toc4281"/>
      <w:bookmarkStart w:id="350" w:name="_Toc19237"/>
      <w:bookmarkStart w:id="351" w:name="_Toc6345"/>
      <w:bookmarkStart w:id="352" w:name="_Toc16347"/>
      <w:bookmarkStart w:id="353" w:name="_Toc27598"/>
      <w:r>
        <w:rPr>
          <w:rFonts w:hint="eastAsia"/>
          <w:lang w:eastAsia="zh-CN"/>
        </w:rPr>
        <w:t>（四）</w:t>
      </w:r>
      <w:r>
        <w:rPr>
          <w:rFonts w:hint="eastAsia"/>
        </w:rPr>
        <w:t>项目效</w:t>
      </w:r>
      <w:r>
        <w:rPr>
          <w:rFonts w:hint="eastAsia"/>
          <w:lang w:eastAsia="zh-CN"/>
        </w:rPr>
        <w:t>果</w:t>
      </w:r>
      <w:r>
        <w:rPr>
          <w:rFonts w:hint="eastAsia"/>
        </w:rPr>
        <w:t>情况</w:t>
      </w:r>
      <w:bookmarkEnd w:id="348"/>
      <w:bookmarkEnd w:id="349"/>
      <w:bookmarkEnd w:id="350"/>
      <w:bookmarkEnd w:id="351"/>
      <w:bookmarkEnd w:id="352"/>
      <w:bookmarkEnd w:id="353"/>
    </w:p>
    <w:p>
      <w:pPr>
        <w:pStyle w:val="4"/>
        <w:bidi w:val="0"/>
        <w:rPr>
          <w:rFonts w:hint="eastAsia" w:ascii="楷体" w:hAnsi="楷体" w:eastAsia="楷体" w:cs="楷体"/>
        </w:rPr>
      </w:pPr>
      <w:bookmarkStart w:id="354" w:name="_Toc4254"/>
      <w:bookmarkStart w:id="355" w:name="_Toc3092"/>
      <w:bookmarkStart w:id="356" w:name="_Toc25241"/>
      <w:bookmarkStart w:id="357" w:name="_Toc3668"/>
      <w:r>
        <w:rPr>
          <w:rFonts w:hint="eastAsia" w:ascii="楷体" w:hAnsi="楷体" w:eastAsia="楷体" w:cs="楷体"/>
          <w:lang w:val="en-US" w:eastAsia="zh-CN"/>
        </w:rPr>
        <w:t>1.</w:t>
      </w:r>
      <w:r>
        <w:rPr>
          <w:rFonts w:hint="eastAsia" w:ascii="楷体" w:hAnsi="楷体" w:eastAsia="楷体" w:cs="楷体"/>
        </w:rPr>
        <w:t>经济效益</w:t>
      </w:r>
      <w:bookmarkEnd w:id="354"/>
      <w:bookmarkEnd w:id="355"/>
      <w:bookmarkEnd w:id="356"/>
      <w:bookmarkEnd w:id="357"/>
      <w:r>
        <w:rPr>
          <w:rFonts w:hint="eastAsia" w:ascii="楷体" w:hAnsi="楷体" w:eastAsia="楷体" w:cs="楷体"/>
        </w:rPr>
        <w:t>（满分5分，评价得分5分）</w:t>
      </w:r>
    </w:p>
    <w:p>
      <w:pPr>
        <w:keepLines w:val="0"/>
        <w:pageBreakBefore w:val="0"/>
        <w:widowControl w:val="0"/>
        <w:kinsoku/>
        <w:wordWrap/>
        <w:overflowPunct w:val="0"/>
        <w:topLinePunct w:val="0"/>
        <w:autoSpaceDE w:val="0"/>
        <w:autoSpaceDN w:val="0"/>
        <w:bidi w:val="0"/>
        <w:adjustRightInd/>
        <w:snapToGrid w:val="0"/>
        <w:spacing w:line="560" w:lineRule="exact"/>
        <w:ind w:left="0" w:leftChars="0" w:firstLine="640" w:firstLineChars="200"/>
        <w:jc w:val="both"/>
        <w:textAlignment w:val="auto"/>
        <w:rPr>
          <w:rFonts w:hint="eastAsia" w:ascii="仿宋" w:hAnsi="仿宋" w:eastAsia="仿宋" w:cs="仿宋"/>
          <w:sz w:val="32"/>
          <w:szCs w:val="32"/>
        </w:rPr>
      </w:pPr>
      <w:r>
        <w:rPr>
          <w:rFonts w:hint="eastAsia" w:ascii="仿宋" w:hAnsi="仿宋" w:eastAsia="仿宋" w:cs="仿宋"/>
          <w:kern w:val="0"/>
          <w:sz w:val="32"/>
          <w:szCs w:val="32"/>
        </w:rPr>
        <w:t>服务业政策激发企业积极性，助力发展。包括：推动企业规模扩大，2023年新增规模以上工业企业4家，规模以上和限额以上企业15家；助力企业及平台发展，蜀道通电子商务平台吸引年营收2000万以上企业8家，年交易额占全市GDP的3</w:t>
      </w:r>
      <w:r>
        <w:rPr>
          <w:rFonts w:hint="eastAsia" w:ascii="仿宋" w:hAnsi="仿宋" w:eastAsia="仿宋" w:cs="仿宋"/>
          <w:kern w:val="0"/>
          <w:sz w:val="32"/>
          <w:szCs w:val="32"/>
          <w:lang w:val="en-US" w:eastAsia="zh-CN"/>
        </w:rPr>
        <w:t>0.00</w:t>
      </w:r>
      <w:r>
        <w:rPr>
          <w:rFonts w:hint="eastAsia" w:ascii="仿宋" w:hAnsi="仿宋" w:eastAsia="仿宋" w:cs="仿宋"/>
          <w:kern w:val="0"/>
          <w:sz w:val="32"/>
          <w:szCs w:val="32"/>
        </w:rPr>
        <w:t>%；鼓励企业参展办展，降低参展成本。制造业政策调动民营企业信心，推动企业绿色发展，加快公共服务体系建设，2023年新增绿色认证企业4家；公共服务机构和平台开展服务活动19场，服务企业229家（次），培训人员394人。双创政策促进科技创新和成果转化，鼓励创新创业，推动企业高质量发展，新增高新技术企业16家，科技型中小企业86家；推动双创平台升级。</w:t>
      </w:r>
      <w:r>
        <w:rPr>
          <w:rFonts w:hint="eastAsia" w:ascii="仿宋" w:hAnsi="仿宋" w:eastAsia="仿宋" w:cs="仿宋"/>
          <w:sz w:val="32"/>
          <w:szCs w:val="32"/>
        </w:rPr>
        <w:t>本项得5.00分</w:t>
      </w:r>
      <w:bookmarkStart w:id="358" w:name="_Toc25293"/>
      <w:bookmarkStart w:id="359" w:name="_Toc1301"/>
      <w:bookmarkStart w:id="360" w:name="_Toc17519"/>
      <w:bookmarkStart w:id="361" w:name="_Toc28713"/>
      <w:r>
        <w:rPr>
          <w:rFonts w:hint="eastAsia" w:ascii="仿宋" w:hAnsi="仿宋" w:eastAsia="仿宋" w:cs="仿宋"/>
          <w:sz w:val="32"/>
          <w:szCs w:val="32"/>
        </w:rPr>
        <w:t>。</w:t>
      </w:r>
    </w:p>
    <w:p>
      <w:pPr>
        <w:pStyle w:val="4"/>
        <w:bidi w:val="0"/>
        <w:rPr>
          <w:rFonts w:hint="eastAsia" w:ascii="楷体" w:hAnsi="楷体" w:eastAsia="楷体" w:cs="楷体"/>
          <w:szCs w:val="32"/>
        </w:rPr>
      </w:pPr>
      <w:r>
        <w:rPr>
          <w:rFonts w:hint="eastAsia" w:ascii="楷体" w:hAnsi="楷体" w:eastAsia="楷体" w:cs="楷体"/>
          <w:lang w:val="en-US" w:eastAsia="zh-CN"/>
        </w:rPr>
        <w:t>2.</w:t>
      </w:r>
      <w:r>
        <w:rPr>
          <w:rFonts w:hint="eastAsia" w:ascii="楷体" w:hAnsi="楷体" w:eastAsia="楷体" w:cs="楷体"/>
        </w:rPr>
        <w:t>社会效益</w:t>
      </w:r>
      <w:bookmarkEnd w:id="358"/>
      <w:bookmarkEnd w:id="359"/>
      <w:bookmarkEnd w:id="360"/>
      <w:bookmarkEnd w:id="361"/>
      <w:r>
        <w:rPr>
          <w:rFonts w:hint="eastAsia" w:ascii="楷体" w:hAnsi="楷体" w:eastAsia="楷体" w:cs="楷体"/>
        </w:rPr>
        <w:t>（满分5分，评价得分5分）</w:t>
      </w:r>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shd w:val="clear" w:color="auto" w:fill="FFFFFF"/>
        </w:rPr>
        <w:t>政策的实施极大地提振了园区企业的信心，营造了积极向上的营商环境，促进了企业间的良性竞争与合作。鼓励企业参展办展，不仅展示了企业文化和产品，还增强了企业的品牌影响力和市场认知度，有利于企业拓展市场。</w:t>
      </w:r>
      <w:r>
        <w:rPr>
          <w:rFonts w:hint="eastAsia" w:ascii="仿宋" w:hAnsi="仿宋" w:eastAsia="仿宋" w:cs="仿宋"/>
          <w:sz w:val="32"/>
          <w:szCs w:val="32"/>
          <w:shd w:val="clear" w:color="auto" w:fill="FDFDFE"/>
        </w:rPr>
        <w:t>政策的扶持促进了企业技术进步和产业升级，为区域经济的高质量发展奠定了坚实基础；通过支持环保技术和绿色生产方式的推广，政策对改善区域生态环境起到了积极作用。</w:t>
      </w:r>
      <w:r>
        <w:rPr>
          <w:rFonts w:hint="eastAsia" w:ascii="仿宋" w:hAnsi="仿宋" w:eastAsia="仿宋" w:cs="仿宋"/>
          <w:sz w:val="32"/>
          <w:szCs w:val="32"/>
          <w:shd w:val="clear" w:color="auto" w:fill="FFFFFF"/>
        </w:rPr>
        <w:t>助于提升园区整体环保水平，减</w:t>
      </w:r>
      <w:r>
        <w:rPr>
          <w:rFonts w:hint="eastAsia" w:ascii="仿宋" w:hAnsi="仿宋" w:eastAsia="仿宋" w:cs="仿宋"/>
          <w:sz w:val="32"/>
          <w:szCs w:val="32"/>
        </w:rPr>
        <w:t>少污染排放，改善区域环境质量，增强公众对园区发展的认同感和满意度；</w:t>
      </w:r>
      <w:r>
        <w:rPr>
          <w:rFonts w:hint="eastAsia" w:ascii="仿宋" w:hAnsi="仿宋" w:eastAsia="仿宋" w:cs="仿宋"/>
          <w:sz w:val="32"/>
          <w:szCs w:val="32"/>
          <w:shd w:val="clear" w:color="auto" w:fill="FDFDFE"/>
        </w:rPr>
        <w:t>政策实施有效带动了区域就业增长，提高了居民收入水平 。</w:t>
      </w:r>
      <w:r>
        <w:rPr>
          <w:rFonts w:hint="eastAsia" w:ascii="仿宋" w:hAnsi="仿宋" w:eastAsia="仿宋" w:cs="仿宋"/>
          <w:sz w:val="32"/>
          <w:szCs w:val="32"/>
        </w:rPr>
        <w:t>本项得5.00分。</w:t>
      </w:r>
    </w:p>
    <w:p>
      <w:pPr>
        <w:pStyle w:val="4"/>
        <w:bidi w:val="0"/>
        <w:rPr>
          <w:rFonts w:hint="eastAsia" w:ascii="楷体" w:hAnsi="楷体" w:eastAsia="楷体" w:cs="楷体"/>
        </w:rPr>
      </w:pPr>
      <w:bookmarkStart w:id="362" w:name="_Toc569"/>
      <w:bookmarkStart w:id="363" w:name="_Toc25568"/>
      <w:bookmarkStart w:id="364" w:name="_Toc16907"/>
      <w:bookmarkStart w:id="365" w:name="_Toc2633"/>
      <w:r>
        <w:rPr>
          <w:rFonts w:hint="eastAsia" w:ascii="楷体" w:hAnsi="楷体" w:eastAsia="楷体" w:cs="楷体"/>
          <w:lang w:val="en-US" w:eastAsia="zh-CN"/>
        </w:rPr>
        <w:t>3.</w:t>
      </w:r>
      <w:r>
        <w:rPr>
          <w:rFonts w:hint="eastAsia" w:ascii="楷体" w:hAnsi="楷体" w:eastAsia="楷体" w:cs="楷体"/>
        </w:rPr>
        <w:t>可持续性影响</w:t>
      </w:r>
      <w:bookmarkEnd w:id="362"/>
      <w:bookmarkEnd w:id="363"/>
      <w:bookmarkEnd w:id="364"/>
      <w:bookmarkEnd w:id="365"/>
      <w:r>
        <w:rPr>
          <w:rFonts w:hint="eastAsia" w:ascii="楷体" w:hAnsi="楷体" w:eastAsia="楷体" w:cs="楷体"/>
        </w:rPr>
        <w:t>（满分5分，评价得分5分）</w:t>
      </w:r>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通过持续的政策支持和激励，园区内企业将形成更加稳定和可持续的发展模式，有利于园区的长期繁荣。</w:t>
      </w:r>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电子商务平台的快速发展和壮大，将带动相关产业链上下游企业的协同发展，形成更加完善的产业生态体系。绿色发展政策的实施，将引导园区内企业向更加环保、低碳的生产方式转变，为园区的可持续发展奠定坚实基础。</w:t>
      </w:r>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公共服务体系的建设和完善，将持续提升园区内企业的竞争力和创新能力，为园区的长期繁荣提供有力支撑。创新创业政策的持续实施，将不断激发园区内的创新活力，推动新技术、新产品、新业态的不断涌现，为园区的转型升级和高质量发展提供源源不断的动力。</w:t>
      </w:r>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双创平台的升级和发展，将为园区内的创新企业和创业者提供更加优质、高效的服务和支持，促进科技成果的转化和产业化应用，推动园区经济社会的可持续发展。本项得5.00分。</w:t>
      </w:r>
    </w:p>
    <w:p>
      <w:pPr>
        <w:pStyle w:val="4"/>
        <w:bidi w:val="0"/>
        <w:rPr>
          <w:rFonts w:hint="eastAsia" w:ascii="楷体" w:hAnsi="楷体" w:eastAsia="楷体" w:cs="楷体"/>
        </w:rPr>
      </w:pPr>
      <w:r>
        <w:rPr>
          <w:rFonts w:hint="eastAsia" w:ascii="楷体" w:hAnsi="楷体" w:eastAsia="楷体" w:cs="楷体"/>
          <w:lang w:val="en-US" w:eastAsia="zh-CN"/>
        </w:rPr>
        <w:t>4.</w:t>
      </w:r>
      <w:r>
        <w:rPr>
          <w:rFonts w:hint="eastAsia" w:ascii="楷体" w:hAnsi="楷体" w:eastAsia="楷体" w:cs="楷体"/>
        </w:rPr>
        <w:t>满意度（满分5.00分，评价得分3.00分）</w:t>
      </w:r>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本次绩效评价针对满意度指标，设计了满意度指标调查问卷。调查问卷采用无记名的形式，共设计10个调查问题，问卷内容涵盖了政策宣传、动态调整方面、评价抽样选点、政策执行质量，科学规范，及时高效、对象覆盖全面性、政策设计的科学性合理性实施对象协调衔接，精准性、带动本园区就业及意见反馈等方面。本次调查主要针对项目服务对象、社会群众和部门工作人员为保障调查的全面性和客观性，附近群众占比80.00%，服务对象占比10.00%、部门工作人员10.00%。发放问卷30份，收回问卷30份，经</w:t>
      </w:r>
      <w:r>
        <w:rPr>
          <w:rFonts w:hint="eastAsia" w:ascii="仿宋" w:hAnsi="仿宋" w:eastAsia="仿宋" w:cs="仿宋"/>
          <w:sz w:val="32"/>
          <w:szCs w:val="32"/>
          <w:shd w:val="clear" w:color="auto" w:fill="FFFFFF"/>
        </w:rPr>
        <w:t>过统计，综合满意度为83.70%。根据受访问卷反馈，</w:t>
      </w:r>
      <w:r>
        <w:rPr>
          <w:rFonts w:hint="eastAsia" w:ascii="仿宋" w:hAnsi="仿宋" w:eastAsia="仿宋" w:cs="仿宋"/>
          <w:sz w:val="32"/>
          <w:szCs w:val="32"/>
        </w:rPr>
        <w:t>受访群体对高新区科经商务局在产业支持政策补贴项目管理过程中的公开透明度给予了正面评价。他们对产业支持政策补贴的相关议题有所了解，并表现出认可与支持。本项得3.00分。</w:t>
      </w:r>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bCs/>
          <w:sz w:val="32"/>
          <w:szCs w:val="32"/>
        </w:rPr>
        <w:t>综上所述，政策效果部分满分20.00分，评价得分18.00分。</w:t>
      </w:r>
    </w:p>
    <w:p>
      <w:pPr>
        <w:pStyle w:val="2"/>
        <w:bidi w:val="0"/>
        <w:rPr>
          <w:rFonts w:hint="eastAsia"/>
        </w:rPr>
      </w:pPr>
      <w:bookmarkStart w:id="366" w:name="_Toc31156"/>
      <w:bookmarkStart w:id="367" w:name="_Toc21170"/>
      <w:bookmarkStart w:id="368" w:name="_Toc26900"/>
      <w:bookmarkStart w:id="369" w:name="_Toc8603"/>
      <w:bookmarkStart w:id="370" w:name="_Toc20158"/>
      <w:bookmarkStart w:id="371" w:name="_Toc27375"/>
      <w:bookmarkStart w:id="372" w:name="_Toc3736"/>
      <w:bookmarkStart w:id="373" w:name="_Toc27365"/>
      <w:bookmarkStart w:id="374" w:name="_Toc11566"/>
      <w:bookmarkStart w:id="375" w:name="_Toc1135"/>
      <w:bookmarkStart w:id="376" w:name="_Toc17472"/>
      <w:bookmarkStart w:id="377" w:name="_Toc31957"/>
      <w:bookmarkStart w:id="378" w:name="_Toc23521"/>
      <w:bookmarkStart w:id="379" w:name="_Toc21097"/>
      <w:bookmarkStart w:id="380" w:name="_Toc61"/>
      <w:bookmarkStart w:id="381" w:name="_Toc19504"/>
      <w:bookmarkStart w:id="382" w:name="_Toc12181"/>
      <w:bookmarkStart w:id="383" w:name="_Toc26"/>
      <w:r>
        <w:rPr>
          <w:rFonts w:hint="eastAsia"/>
        </w:rPr>
        <w:t>五、</w:t>
      </w:r>
      <w:bookmarkEnd w:id="366"/>
      <w:bookmarkEnd w:id="367"/>
      <w:r>
        <w:rPr>
          <w:rFonts w:hint="eastAsia"/>
        </w:rPr>
        <w:t>存在的问题及相关建议</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p>
    <w:p>
      <w:pPr>
        <w:pStyle w:val="3"/>
        <w:keepLines w:val="0"/>
        <w:pageBreakBefore w:val="0"/>
        <w:widowControl w:val="0"/>
        <w:numPr>
          <w:ilvl w:val="0"/>
          <w:numId w:val="0"/>
        </w:numPr>
        <w:kinsoku/>
        <w:wordWrap/>
        <w:overflowPunct w:val="0"/>
        <w:topLinePunct w:val="0"/>
        <w:autoSpaceDE w:val="0"/>
        <w:autoSpaceDN w:val="0"/>
        <w:bidi w:val="0"/>
        <w:spacing w:line="560" w:lineRule="exact"/>
        <w:ind w:left="0" w:leftChars="0" w:firstLine="643" w:firstLineChars="200"/>
        <w:jc w:val="both"/>
        <w:rPr>
          <w:rFonts w:hint="eastAsia" w:ascii="仿宋_GB2312" w:hAnsi="仿宋_GB2312" w:eastAsia="仿宋_GB2312" w:cs="仿宋_GB2312"/>
          <w:sz w:val="32"/>
          <w:szCs w:val="32"/>
        </w:rPr>
      </w:pPr>
      <w:bookmarkStart w:id="384" w:name="_Toc24168"/>
      <w:bookmarkStart w:id="385" w:name="_Toc15272"/>
      <w:bookmarkStart w:id="386" w:name="_Toc3900"/>
      <w:bookmarkStart w:id="387" w:name="_Toc15473"/>
      <w:bookmarkStart w:id="388" w:name="_Toc9107"/>
      <w:bookmarkStart w:id="389" w:name="_Toc15231"/>
      <w:bookmarkStart w:id="390" w:name="_Toc13093"/>
      <w:bookmarkStart w:id="391" w:name="_Toc27221"/>
      <w:bookmarkStart w:id="392" w:name="_Toc26233"/>
      <w:bookmarkStart w:id="393" w:name="_Toc26506"/>
      <w:bookmarkStart w:id="394" w:name="_Toc21513"/>
      <w:bookmarkStart w:id="395" w:name="_Toc23504"/>
      <w:bookmarkStart w:id="396" w:name="_Toc18214"/>
      <w:bookmarkStart w:id="397" w:name="_Toc14451"/>
      <w:bookmarkStart w:id="398" w:name="_Toc15148"/>
      <w:bookmarkStart w:id="399" w:name="_Toc22070"/>
      <w:bookmarkStart w:id="400" w:name="_Toc22615"/>
      <w:bookmarkStart w:id="401" w:name="_Toc15808"/>
      <w:r>
        <w:rPr>
          <w:rFonts w:hint="eastAsia" w:ascii="仿宋_GB2312" w:hAnsi="仿宋_GB2312" w:eastAsia="仿宋_GB2312" w:cs="仿宋_GB2312"/>
          <w:b/>
          <w:bCs/>
          <w:kern w:val="2"/>
          <w:sz w:val="32"/>
          <w:szCs w:val="32"/>
          <w:lang w:val="en-US" w:eastAsia="zh-CN" w:bidi="ar-SA"/>
        </w:rPr>
        <w:t>（一）</w:t>
      </w:r>
      <w:r>
        <w:rPr>
          <w:rFonts w:hint="eastAsia" w:ascii="仿宋_GB2312" w:hAnsi="仿宋_GB2312" w:eastAsia="仿宋_GB2312" w:cs="仿宋_GB2312"/>
          <w:sz w:val="32"/>
          <w:szCs w:val="32"/>
        </w:rPr>
        <w:t>存在问题</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pPr>
        <w:bidi w:val="0"/>
        <w:rPr>
          <w:rFonts w:hint="eastAsia"/>
          <w:lang w:val="zh-CN"/>
        </w:rPr>
      </w:pPr>
      <w:r>
        <w:rPr>
          <w:rFonts w:hint="eastAsia"/>
          <w:lang w:val="zh-CN"/>
        </w:rPr>
        <w:t>从评价情况看，</w:t>
      </w:r>
      <w:r>
        <w:rPr>
          <w:rFonts w:hint="eastAsia"/>
        </w:rPr>
        <w:t>产业支持补贴政策项目</w:t>
      </w:r>
      <w:r>
        <w:rPr>
          <w:rFonts w:hint="eastAsia"/>
          <w:lang w:val="zh-CN"/>
        </w:rPr>
        <w:t>能够在规定时间内完成，基本达到预期目标，取得一定成效。但从评价过程中，</w:t>
      </w:r>
      <w:r>
        <w:rPr>
          <w:rFonts w:hint="eastAsia"/>
        </w:rPr>
        <w:t>评价组在查看产业支持政策补贴相关资料时发现存在以下几</w:t>
      </w:r>
      <w:r>
        <w:rPr>
          <w:rFonts w:hint="eastAsia"/>
          <w:lang w:val="zh-CN"/>
        </w:rPr>
        <w:t>个问题。</w:t>
      </w:r>
    </w:p>
    <w:p>
      <w:pPr>
        <w:pStyle w:val="4"/>
        <w:bidi w:val="0"/>
        <w:rPr>
          <w:rFonts w:hint="eastAsia" w:ascii="楷体" w:hAnsi="楷体" w:eastAsia="楷体" w:cs="楷体"/>
          <w:lang w:val="zh-CN"/>
        </w:rPr>
      </w:pPr>
      <w:r>
        <w:rPr>
          <w:rFonts w:hint="eastAsia" w:ascii="楷体" w:hAnsi="楷体" w:eastAsia="楷体" w:cs="楷体"/>
          <w:lang w:val="zh-CN"/>
        </w:rPr>
        <w:t>1.资料归档管理问题</w:t>
      </w:r>
    </w:p>
    <w:p>
      <w:pPr>
        <w:bidi w:val="0"/>
        <w:rPr>
          <w:rFonts w:hint="eastAsia"/>
          <w:lang w:val="zh-CN"/>
        </w:rPr>
      </w:pPr>
      <w:r>
        <w:rPr>
          <w:rFonts w:hint="eastAsia"/>
          <w:lang w:val="zh-CN"/>
        </w:rPr>
        <w:t>主要表现是归档资料不齐全、不及时。发现收集的实地调研结果的资料存在不够完整的情况，相关档案资料收集保管管理工作不到位，影响了对政策执行环境及效果的全面评估。项目库管理方面的相关成果物及证明材料也未达到完备标准，给项目资料归档和事后查阅带来了不便。在政策执行流程、实施方案以及访谈等动态跟踪机制的执行力方面存在不足，相关资料收集不完整。政策执行中的公开材料，如照片、公示文件等，存在不完善的情况。</w:t>
      </w:r>
    </w:p>
    <w:p>
      <w:pPr>
        <w:pStyle w:val="4"/>
        <w:bidi w:val="0"/>
        <w:rPr>
          <w:rFonts w:hint="eastAsia" w:ascii="楷体" w:hAnsi="楷体" w:eastAsia="楷体" w:cs="楷体"/>
          <w:lang w:val="zh-CN"/>
        </w:rPr>
      </w:pPr>
      <w:r>
        <w:rPr>
          <w:rFonts w:hint="eastAsia" w:ascii="楷体" w:hAnsi="楷体" w:eastAsia="楷体" w:cs="楷体"/>
          <w:lang w:val="zh-CN"/>
        </w:rPr>
        <w:t>2.预算调整问题</w:t>
      </w:r>
    </w:p>
    <w:p>
      <w:pPr>
        <w:bidi w:val="0"/>
        <w:rPr>
          <w:rFonts w:hint="eastAsia" w:ascii="仿宋" w:hAnsi="仿宋" w:eastAsia="仿宋" w:cs="仿宋"/>
          <w:lang w:val="zh-CN"/>
        </w:rPr>
      </w:pPr>
      <w:r>
        <w:rPr>
          <w:rFonts w:hint="eastAsia" w:ascii="仿宋" w:hAnsi="仿宋" w:eastAsia="仿宋" w:cs="仿宋"/>
          <w:lang w:val="zh-CN"/>
        </w:rPr>
        <w:t>预算调整缺乏必要的程序和资料。如</w:t>
      </w:r>
      <w:r>
        <w:rPr>
          <w:rFonts w:hint="eastAsia" w:ascii="仿宋" w:hAnsi="仿宋" w:eastAsia="仿宋" w:cs="仿宋"/>
          <w:lang w:val="en-US" w:eastAsia="zh-CN"/>
        </w:rPr>
        <w:t>2023年11月</w:t>
      </w:r>
      <w:r>
        <w:rPr>
          <w:rFonts w:hint="eastAsia" w:ascii="仿宋" w:hAnsi="仿宋" w:eastAsia="仿宋" w:cs="仿宋"/>
          <w:lang w:val="zh-CN"/>
        </w:rPr>
        <w:t>追加项目预算156.00万元的事项，分别用于大力发展对外贸易服务业政策资金</w:t>
      </w:r>
      <w:r>
        <w:rPr>
          <w:rFonts w:hint="eastAsia" w:ascii="仿宋" w:hAnsi="仿宋" w:eastAsia="仿宋" w:cs="仿宋"/>
          <w:lang w:val="en-US" w:eastAsia="zh-CN"/>
        </w:rPr>
        <w:t>150.00万元；2022年服务业政策奖补6.00万元。</w:t>
      </w:r>
      <w:r>
        <w:rPr>
          <w:rFonts w:hint="eastAsia" w:ascii="仿宋" w:hAnsi="仿宋" w:eastAsia="仿宋" w:cs="仿宋"/>
          <w:lang w:val="zh-CN"/>
        </w:rPr>
        <w:t>缺少相关预算调整事项的申请和相关批复文件，缺少追加事项预算的事前绩效评估程序，总体上预算调整程序和评估流程缺失。</w:t>
      </w:r>
    </w:p>
    <w:p>
      <w:pPr>
        <w:pStyle w:val="4"/>
        <w:bidi w:val="0"/>
        <w:rPr>
          <w:rFonts w:hint="eastAsia" w:ascii="楷体" w:hAnsi="楷体" w:eastAsia="楷体" w:cs="楷体"/>
          <w:lang w:val="zh-CN"/>
        </w:rPr>
      </w:pPr>
      <w:r>
        <w:rPr>
          <w:rFonts w:hint="eastAsia" w:ascii="楷体" w:hAnsi="楷体" w:eastAsia="楷体" w:cs="楷体"/>
          <w:lang w:val="zh-CN"/>
        </w:rPr>
        <w:t>3.财务凭证附件资料不齐全，报账审核与管理不严格</w:t>
      </w:r>
    </w:p>
    <w:p>
      <w:pPr>
        <w:bidi w:val="0"/>
        <w:rPr>
          <w:rFonts w:hint="eastAsia" w:ascii="仿宋" w:hAnsi="仿宋" w:eastAsia="仿宋" w:cs="仿宋"/>
          <w:lang w:val="zh-CN"/>
        </w:rPr>
      </w:pPr>
      <w:r>
        <w:rPr>
          <w:rFonts w:hint="eastAsia" w:ascii="仿宋" w:hAnsi="仿宋" w:eastAsia="仿宋" w:cs="仿宋"/>
          <w:lang w:val="zh-CN"/>
        </w:rPr>
        <w:t>在对财务凭证进行细致的抽查过程中，</w:t>
      </w:r>
      <w:r>
        <w:rPr>
          <w:rFonts w:hint="eastAsia" w:ascii="仿宋" w:hAnsi="仿宋" w:eastAsia="仿宋" w:cs="仿宋"/>
          <w:lang w:val="en-US" w:eastAsia="zh-CN"/>
        </w:rPr>
        <w:t>发现</w:t>
      </w:r>
      <w:r>
        <w:rPr>
          <w:rFonts w:hint="eastAsia" w:ascii="仿宋" w:hAnsi="仿宋" w:eastAsia="仿宋" w:cs="仿宋"/>
          <w:lang w:val="zh-CN"/>
        </w:rPr>
        <w:t>2023年9月5日</w:t>
      </w:r>
      <w:r>
        <w:rPr>
          <w:rFonts w:hint="eastAsia" w:ascii="仿宋" w:hAnsi="仿宋" w:cs="仿宋"/>
          <w:lang w:val="zh-CN" w:eastAsia="zh-CN"/>
        </w:rPr>
        <w:t>记账</w:t>
      </w:r>
      <w:r>
        <w:rPr>
          <w:rFonts w:hint="eastAsia" w:ascii="仿宋" w:hAnsi="仿宋" w:cs="仿宋"/>
          <w:lang w:val="en-US" w:eastAsia="zh-CN"/>
        </w:rPr>
        <w:t>3号凭证</w:t>
      </w:r>
      <w:r>
        <w:rPr>
          <w:rFonts w:hint="eastAsia" w:ascii="仿宋" w:hAnsi="仿宋" w:eastAsia="仿宋" w:cs="仿宋"/>
          <w:lang w:val="zh-CN"/>
        </w:rPr>
        <w:t>支付25.00万元第二届中国（四川）国际熊猫消费节</w:t>
      </w:r>
      <w:r>
        <w:rPr>
          <w:rFonts w:hint="eastAsia" w:ascii="仿宋" w:hAnsi="仿宋" w:cs="仿宋"/>
          <w:lang w:val="zh-CN"/>
        </w:rPr>
        <w:t>的</w:t>
      </w:r>
      <w:r>
        <w:rPr>
          <w:rFonts w:hint="eastAsia" w:ascii="仿宋" w:hAnsi="仿宋" w:eastAsia="仿宋" w:cs="仿宋"/>
          <w:lang w:val="zh-CN"/>
        </w:rPr>
        <w:t>专项资金</w:t>
      </w:r>
      <w:r>
        <w:rPr>
          <w:rFonts w:hint="eastAsia" w:ascii="仿宋" w:hAnsi="仿宋" w:cs="仿宋"/>
          <w:lang w:val="zh-CN" w:eastAsia="zh-CN"/>
        </w:rPr>
        <w:t>凭证</w:t>
      </w:r>
      <w:r>
        <w:rPr>
          <w:rFonts w:hint="eastAsia" w:ascii="仿宋" w:hAnsi="仿宋" w:eastAsia="仿宋" w:cs="仿宋"/>
          <w:lang w:val="zh-CN"/>
        </w:rPr>
        <w:t>附件</w:t>
      </w:r>
      <w:r>
        <w:rPr>
          <w:rFonts w:hint="eastAsia" w:ascii="仿宋" w:hAnsi="仿宋" w:cs="仿宋"/>
          <w:lang w:val="zh-CN"/>
        </w:rPr>
        <w:t>中无预算执行证明</w:t>
      </w:r>
      <w:r>
        <w:rPr>
          <w:rFonts w:hint="eastAsia" w:ascii="仿宋" w:hAnsi="仿宋" w:eastAsia="仿宋" w:cs="仿宋"/>
          <w:lang w:val="zh-CN"/>
        </w:rPr>
        <w:t>，缺失</w:t>
      </w:r>
      <w:r>
        <w:rPr>
          <w:rFonts w:hint="eastAsia" w:ascii="仿宋" w:hAnsi="仿宋" w:cs="仿宋"/>
          <w:lang w:val="zh-CN"/>
        </w:rPr>
        <w:t>收款单位</w:t>
      </w:r>
      <w:r>
        <w:rPr>
          <w:rFonts w:hint="eastAsia" w:ascii="仿宋" w:hAnsi="仿宋" w:cs="仿宋"/>
          <w:lang w:val="zh-CN" w:eastAsia="zh-CN"/>
        </w:rPr>
        <w:t>收据或发票</w:t>
      </w:r>
      <w:r>
        <w:rPr>
          <w:rFonts w:hint="eastAsia" w:ascii="仿宋" w:hAnsi="仿宋" w:eastAsia="仿宋" w:cs="仿宋"/>
          <w:lang w:val="zh-CN"/>
        </w:rPr>
        <w:t>。因为完整的凭证附件对于确保财务记录的准确性和透明度至关重要，财务记录本身也存在不规范之处，这不仅影响了数据的完整性，也对财务报告的可靠性构成了潜在风险。</w:t>
      </w:r>
    </w:p>
    <w:p>
      <w:pPr>
        <w:pStyle w:val="3"/>
        <w:keepLines w:val="0"/>
        <w:pageBreakBefore w:val="0"/>
        <w:widowControl w:val="0"/>
        <w:kinsoku/>
        <w:wordWrap/>
        <w:overflowPunct w:val="0"/>
        <w:topLinePunct w:val="0"/>
        <w:autoSpaceDE w:val="0"/>
        <w:autoSpaceDN w:val="0"/>
        <w:bidi w:val="0"/>
        <w:spacing w:line="560" w:lineRule="exact"/>
        <w:ind w:left="0" w:leftChars="0" w:firstLine="643" w:firstLineChars="200"/>
        <w:jc w:val="both"/>
        <w:rPr>
          <w:rFonts w:hint="eastAsia" w:ascii="仿宋_GB2312" w:hAnsi="仿宋_GB2312" w:eastAsia="仿宋_GB2312" w:cs="仿宋_GB2312"/>
          <w:sz w:val="32"/>
          <w:szCs w:val="32"/>
        </w:rPr>
      </w:pPr>
      <w:bookmarkStart w:id="402" w:name="_Toc21860"/>
      <w:bookmarkStart w:id="403" w:name="_Toc19747"/>
      <w:bookmarkStart w:id="404" w:name="_Toc8707"/>
      <w:bookmarkStart w:id="405" w:name="_Toc4795"/>
      <w:bookmarkStart w:id="406" w:name="_Toc13029"/>
      <w:bookmarkStart w:id="407" w:name="_Toc2974"/>
      <w:bookmarkStart w:id="408" w:name="_Toc17483"/>
      <w:bookmarkStart w:id="409" w:name="_Toc6500"/>
      <w:bookmarkStart w:id="410" w:name="_Toc7216"/>
      <w:bookmarkStart w:id="411" w:name="_Toc23152"/>
      <w:bookmarkStart w:id="412" w:name="_Toc30167"/>
      <w:bookmarkStart w:id="413" w:name="_Toc22912"/>
      <w:bookmarkStart w:id="414" w:name="_Toc778"/>
      <w:bookmarkStart w:id="415" w:name="_Toc12064"/>
      <w:bookmarkStart w:id="416" w:name="_Toc20108"/>
      <w:bookmarkStart w:id="417" w:name="_Toc17735"/>
      <w:bookmarkStart w:id="418" w:name="_Toc20411"/>
      <w:bookmarkStart w:id="419" w:name="_Toc32194"/>
      <w:bookmarkStart w:id="420" w:name="_Toc17928"/>
      <w:bookmarkStart w:id="421" w:name="_Toc6168"/>
      <w:r>
        <w:rPr>
          <w:rFonts w:hint="eastAsia" w:ascii="仿宋_GB2312" w:hAnsi="仿宋_GB2312" w:eastAsia="仿宋_GB2312" w:cs="仿宋_GB2312"/>
          <w:sz w:val="32"/>
          <w:szCs w:val="32"/>
        </w:rPr>
        <w:t>（二）相关建议</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p>
    <w:p>
      <w:pPr>
        <w:keepNext w:val="0"/>
        <w:keepLines w:val="0"/>
        <w:pageBreakBefore w:val="0"/>
        <w:widowControl w:val="0"/>
        <w:kinsoku/>
        <w:wordWrap/>
        <w:overflowPunct w:val="0"/>
        <w:topLinePunct w:val="0"/>
        <w:autoSpaceDE w:val="0"/>
        <w:autoSpaceDN w:val="0"/>
        <w:bidi w:val="0"/>
        <w:adjustRightInd/>
        <w:snapToGrid/>
        <w:spacing w:line="560" w:lineRule="exact"/>
        <w:ind w:left="0" w:leftChars="0" w:firstLine="640" w:firstLineChars="200"/>
        <w:jc w:val="both"/>
        <w:textAlignment w:val="auto"/>
        <w:rPr>
          <w:rFonts w:hint="eastAsia" w:ascii="仿宋" w:hAnsi="仿宋" w:eastAsia="仿宋" w:cs="仿宋"/>
          <w:i w:val="0"/>
          <w:iCs w:val="0"/>
          <w:caps w:val="0"/>
          <w:color w:val="000000" w:themeColor="text1"/>
          <w:spacing w:val="0"/>
          <w:sz w:val="32"/>
          <w:szCs w:val="32"/>
          <w:shd w:val="clear" w:fill="FDFDFE"/>
          <w:lang w:val="zh-CN"/>
          <w14:textFill>
            <w14:solidFill>
              <w14:schemeClr w14:val="tx1"/>
            </w14:solidFill>
          </w14:textFill>
        </w:rPr>
      </w:pPr>
      <w:r>
        <w:rPr>
          <w:rFonts w:hint="eastAsia" w:ascii="仿宋" w:hAnsi="仿宋" w:eastAsia="仿宋" w:cs="仿宋"/>
          <w:i w:val="0"/>
          <w:iCs w:val="0"/>
          <w:caps w:val="0"/>
          <w:color w:val="000000" w:themeColor="text1"/>
          <w:spacing w:val="0"/>
          <w:sz w:val="32"/>
          <w:szCs w:val="32"/>
          <w:shd w:val="clear" w:fill="FDFDFE"/>
          <w:lang w:val="zh-CN"/>
          <w14:textFill>
            <w14:solidFill>
              <w14:schemeClr w14:val="tx1"/>
            </w14:solidFill>
          </w14:textFill>
        </w:rPr>
        <w:t>建议构建完善的资料收集与归档制度，增强实地调研和项目资料收集的规范性，优化项目库管理和证明材料的完整性，加强政策执行流程中的动态监控和资料收集。建议完善预算调整程序，强化事前绩效评估，加强监督与反馈机制，以及提升预算管理的科学性和规范性。建议完善管理制度，强化审核流程，加强培训，建立监督与反馈机制，以及优化财务报告编制，全面提升财务管理水平。</w:t>
      </w:r>
    </w:p>
    <w:p>
      <w:pPr>
        <w:pStyle w:val="2"/>
        <w:keepNext/>
        <w:keepLines w:val="0"/>
        <w:pageBreakBefore w:val="0"/>
        <w:widowControl w:val="0"/>
        <w:kinsoku/>
        <w:wordWrap/>
        <w:overflowPunct w:val="0"/>
        <w:topLinePunct w:val="0"/>
        <w:autoSpaceDE w:val="0"/>
        <w:autoSpaceDN w:val="0"/>
        <w:bidi w:val="0"/>
        <w:adjustRightInd/>
        <w:snapToGrid/>
        <w:spacing w:before="0" w:after="0" w:line="560" w:lineRule="exact"/>
        <w:textAlignment w:val="auto"/>
        <w:rPr>
          <w:rFonts w:hint="eastAsia"/>
        </w:rPr>
      </w:pPr>
      <w:bookmarkStart w:id="422" w:name="_Toc17420"/>
      <w:bookmarkStart w:id="423" w:name="_Toc20770"/>
      <w:bookmarkStart w:id="424" w:name="_Toc571"/>
      <w:bookmarkStart w:id="425" w:name="_Toc27564"/>
      <w:bookmarkStart w:id="426" w:name="_Toc16314"/>
      <w:bookmarkStart w:id="427" w:name="_Toc3022"/>
      <w:bookmarkStart w:id="428" w:name="_Toc12611"/>
      <w:bookmarkStart w:id="429" w:name="_Toc10356"/>
      <w:bookmarkStart w:id="430" w:name="_Toc14346"/>
      <w:bookmarkStart w:id="431" w:name="_Toc19182"/>
      <w:bookmarkStart w:id="432" w:name="_Toc23772"/>
      <w:bookmarkStart w:id="433" w:name="_Toc19935"/>
      <w:bookmarkStart w:id="434" w:name="_Toc21277"/>
      <w:bookmarkStart w:id="435" w:name="_Toc32057"/>
      <w:bookmarkStart w:id="436" w:name="_Toc28290"/>
      <w:bookmarkStart w:id="437" w:name="_Toc17849"/>
      <w:bookmarkStart w:id="438" w:name="_Toc21993"/>
      <w:bookmarkStart w:id="439" w:name="_Toc5474"/>
      <w:bookmarkStart w:id="440" w:name="_Toc21886"/>
      <w:bookmarkStart w:id="441" w:name="_Toc10517"/>
      <w:r>
        <w:rPr>
          <w:rFonts w:hint="eastAsia"/>
        </w:rPr>
        <w:t>六、其他需要说明的问题</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pPr>
        <w:keepLines w:val="0"/>
        <w:pageBreakBefore w:val="0"/>
        <w:widowControl w:val="0"/>
        <w:kinsoku/>
        <w:wordWrap/>
        <w:overflowPunct w:val="0"/>
        <w:topLinePunct w:val="0"/>
        <w:autoSpaceDE w:val="0"/>
        <w:autoSpaceDN w:val="0"/>
        <w:bidi w:val="0"/>
        <w:adjustRightInd w:val="0"/>
        <w:snapToGrid w:val="0"/>
        <w:spacing w:line="560" w:lineRule="exact"/>
        <w:ind w:left="0" w:leftChars="0" w:firstLine="640" w:firstLineChars="200"/>
        <w:jc w:val="both"/>
        <w:rPr>
          <w:rFonts w:hint="eastAsia" w:ascii="仿宋" w:hAnsi="仿宋" w:eastAsia="仿宋" w:cs="仿宋"/>
          <w:sz w:val="32"/>
          <w:szCs w:val="32"/>
        </w:rPr>
      </w:pPr>
      <w:r>
        <w:rPr>
          <w:rFonts w:hint="eastAsia" w:ascii="仿宋" w:hAnsi="仿宋" w:eastAsia="仿宋" w:cs="仿宋"/>
          <w:sz w:val="32"/>
          <w:szCs w:val="32"/>
        </w:rPr>
        <w:t>本次绩效评价工作基于被评价项目单位提供的资料及沟通情况开展，项目资料的准确性、完整性和真实性由被评价单位和项目单位负责。评价报告在综合了解相关政策文件、项目实施内容与预算编制等的基础上，结合项目单位提供的项目资料，从</w:t>
      </w:r>
      <w:r>
        <w:rPr>
          <w:rFonts w:hint="eastAsia" w:ascii="仿宋" w:hAnsi="仿宋" w:eastAsia="仿宋" w:cs="仿宋"/>
          <w:sz w:val="32"/>
          <w:szCs w:val="32"/>
          <w:lang w:eastAsia="zh-CN"/>
        </w:rPr>
        <w:t>政策制定</w:t>
      </w:r>
      <w:r>
        <w:rPr>
          <w:rFonts w:hint="eastAsia" w:ascii="仿宋" w:hAnsi="仿宋" w:eastAsia="仿宋" w:cs="仿宋"/>
          <w:sz w:val="32"/>
          <w:szCs w:val="32"/>
        </w:rPr>
        <w:t>、</w:t>
      </w:r>
      <w:r>
        <w:rPr>
          <w:rFonts w:hint="eastAsia" w:ascii="仿宋" w:hAnsi="仿宋" w:eastAsia="仿宋" w:cs="仿宋"/>
          <w:sz w:val="32"/>
          <w:szCs w:val="32"/>
          <w:lang w:eastAsia="zh-CN"/>
        </w:rPr>
        <w:t>政策执行</w:t>
      </w:r>
      <w:r>
        <w:rPr>
          <w:rFonts w:hint="eastAsia" w:ascii="仿宋" w:hAnsi="仿宋" w:eastAsia="仿宋" w:cs="仿宋"/>
          <w:sz w:val="32"/>
          <w:szCs w:val="32"/>
        </w:rPr>
        <w:t>、</w:t>
      </w:r>
      <w:r>
        <w:rPr>
          <w:rFonts w:hint="eastAsia" w:ascii="仿宋" w:hAnsi="仿宋" w:eastAsia="仿宋" w:cs="仿宋"/>
          <w:sz w:val="32"/>
          <w:szCs w:val="32"/>
          <w:lang w:eastAsia="zh-CN"/>
        </w:rPr>
        <w:t>政策</w:t>
      </w:r>
      <w:r>
        <w:rPr>
          <w:rFonts w:hint="eastAsia" w:ascii="仿宋" w:hAnsi="仿宋" w:eastAsia="仿宋" w:cs="仿宋"/>
          <w:sz w:val="32"/>
          <w:szCs w:val="32"/>
        </w:rPr>
        <w:t>产出、</w:t>
      </w:r>
      <w:r>
        <w:rPr>
          <w:rFonts w:hint="eastAsia" w:ascii="仿宋" w:hAnsi="仿宋" w:eastAsia="仿宋" w:cs="仿宋"/>
          <w:sz w:val="32"/>
          <w:szCs w:val="32"/>
          <w:lang w:eastAsia="zh-CN"/>
        </w:rPr>
        <w:t>政策</w:t>
      </w:r>
      <w:r>
        <w:rPr>
          <w:rFonts w:hint="eastAsia" w:ascii="仿宋" w:hAnsi="仿宋" w:eastAsia="仿宋" w:cs="仿宋"/>
          <w:sz w:val="32"/>
          <w:szCs w:val="32"/>
        </w:rPr>
        <w:t>效益等四方面进行逐一评价。评价范围涉及高新区科经商务局产业支持政策补贴的政策制定、政策执行、资金使用效率、政策效果等方面超过上述内容不是本次评价的范围，评价结果仅作为高新区财务金融局对高新区科经商务局2023年度产业支持政策补贴绩效评价及结果应用方面使用，未经许可其他单位和个人不得用作其他用途。</w:t>
      </w:r>
    </w:p>
    <w:p>
      <w:pPr>
        <w:pStyle w:val="3"/>
        <w:spacing w:before="312" w:beforeLines="100" w:after="0"/>
        <w:ind w:firstLine="0" w:firstLineChars="0"/>
        <w:jc w:val="center"/>
        <w:rPr>
          <w:rFonts w:hint="eastAsia" w:ascii="宋体" w:hAnsi="宋体" w:eastAsia="宋体" w:cs="宋体"/>
          <w:sz w:val="44"/>
          <w:szCs w:val="44"/>
        </w:rPr>
      </w:pPr>
      <w:bookmarkStart w:id="442" w:name="_Toc15528"/>
      <w:bookmarkStart w:id="443" w:name="_Toc24962"/>
      <w:bookmarkStart w:id="444" w:name="_Toc22398"/>
      <w:r>
        <w:rPr>
          <w:rFonts w:hint="eastAsia" w:ascii="宋体" w:hAnsi="宋体" w:eastAsia="宋体" w:cs="宋体"/>
          <w:sz w:val="44"/>
          <w:szCs w:val="44"/>
        </w:rPr>
        <w:t>遂宁高新区印刷科技产业园及基础设施</w:t>
      </w:r>
      <w:bookmarkEnd w:id="442"/>
    </w:p>
    <w:p>
      <w:pPr>
        <w:pStyle w:val="3"/>
        <w:spacing w:before="0" w:after="0"/>
        <w:ind w:firstLine="0" w:firstLineChars="0"/>
        <w:jc w:val="center"/>
        <w:rPr>
          <w:rFonts w:hint="eastAsia" w:ascii="宋体" w:hAnsi="宋体" w:eastAsia="宋体" w:cs="宋体"/>
          <w:sz w:val="44"/>
          <w:szCs w:val="44"/>
        </w:rPr>
      </w:pPr>
      <w:bookmarkStart w:id="445" w:name="_Toc24596"/>
      <w:r>
        <w:rPr>
          <w:rFonts w:hint="eastAsia" w:ascii="宋体" w:hAnsi="宋体" w:eastAsia="宋体" w:cs="宋体"/>
          <w:sz w:val="44"/>
          <w:szCs w:val="44"/>
        </w:rPr>
        <w:t>国有资本经营预算项目支出</w:t>
      </w:r>
      <w:bookmarkEnd w:id="445"/>
    </w:p>
    <w:p>
      <w:pPr>
        <w:pStyle w:val="3"/>
        <w:spacing w:before="0" w:after="312" w:afterLines="100"/>
        <w:ind w:firstLine="0" w:firstLineChars="0"/>
        <w:jc w:val="center"/>
        <w:rPr>
          <w:rFonts w:hint="eastAsia" w:ascii="宋体" w:hAnsi="宋体" w:eastAsia="宋体" w:cs="宋体"/>
          <w:sz w:val="44"/>
          <w:szCs w:val="44"/>
        </w:rPr>
      </w:pPr>
      <w:bookmarkStart w:id="446" w:name="_Toc15003"/>
      <w:r>
        <w:rPr>
          <w:rFonts w:hint="eastAsia" w:ascii="宋体" w:hAnsi="宋体" w:eastAsia="宋体" w:cs="宋体"/>
          <w:sz w:val="44"/>
          <w:szCs w:val="44"/>
        </w:rPr>
        <w:t>绩效评价报告</w:t>
      </w:r>
      <w:bookmarkEnd w:id="446"/>
    </w:p>
    <w:p>
      <w:pPr>
        <w:ind w:firstLine="640"/>
      </w:pPr>
      <w:r>
        <w:rPr>
          <w:rFonts w:hint="eastAsia"/>
        </w:rPr>
        <w:t>为贯彻落实《中华人民共和国预算法》《中共四川省委 四川省人民政府关于全面实施预算绩效管理的实施意见》（川委发〔</w:t>
      </w:r>
      <w:r>
        <w:rPr>
          <w:rFonts w:hint="eastAsia" w:ascii="仿宋" w:hAnsi="仿宋" w:eastAsia="仿宋" w:cs="仿宋"/>
          <w:sz w:val="32"/>
          <w:szCs w:val="32"/>
        </w:rPr>
        <w:t>2019〕8</w:t>
      </w:r>
      <w:r>
        <w:rPr>
          <w:rFonts w:hint="eastAsia"/>
        </w:rPr>
        <w:t>号）《中共四川省委办公厅 四川省人民政府办公厅关于深入实施预算绩效管理的通知》《四川省人民政府〈关于进一步深化预算管理制度改革的实施意见〉》（川府发〔</w:t>
      </w:r>
      <w:r>
        <w:rPr>
          <w:rFonts w:hint="eastAsia" w:ascii="仿宋" w:hAnsi="仿宋" w:eastAsia="仿宋" w:cs="仿宋"/>
        </w:rPr>
        <w:t>2022</w:t>
      </w:r>
      <w:r>
        <w:rPr>
          <w:rFonts w:hint="eastAsia"/>
        </w:rPr>
        <w:t>〕</w:t>
      </w:r>
      <w:r>
        <w:rPr>
          <w:rFonts w:hint="eastAsia" w:ascii="仿宋" w:hAnsi="仿宋" w:eastAsia="仿宋" w:cs="仿宋"/>
        </w:rPr>
        <w:t>4</w:t>
      </w:r>
      <w:r>
        <w:rPr>
          <w:rFonts w:hint="eastAsia"/>
        </w:rPr>
        <w:t>号）（川委厅〔</w:t>
      </w:r>
      <w:r>
        <w:rPr>
          <w:rFonts w:hint="eastAsia" w:ascii="仿宋" w:hAnsi="仿宋" w:eastAsia="仿宋" w:cs="仿宋"/>
          <w:sz w:val="32"/>
          <w:szCs w:val="32"/>
        </w:rPr>
        <w:t>2022</w:t>
      </w:r>
      <w:r>
        <w:rPr>
          <w:rFonts w:hint="eastAsia"/>
        </w:rPr>
        <w:t>〕</w:t>
      </w:r>
      <w:r>
        <w:rPr>
          <w:rFonts w:hint="eastAsia" w:ascii="仿宋" w:hAnsi="仿宋" w:eastAsia="仿宋" w:cs="仿宋"/>
        </w:rPr>
        <w:t>5</w:t>
      </w:r>
      <w:r>
        <w:rPr>
          <w:rFonts w:hint="eastAsia"/>
        </w:rPr>
        <w:t>号）文件精神，加快建成全方位、全过程、全覆盖的预算绩效管理体系，提高财政资金配置效率和使用效益。根据《财政部关于印发〈项目支出绩效评价管理办法〉的通知》（财预〔</w:t>
      </w:r>
      <w:r>
        <w:rPr>
          <w:rFonts w:hint="eastAsia" w:ascii="仿宋" w:hAnsi="仿宋" w:eastAsia="仿宋" w:cs="仿宋"/>
        </w:rPr>
        <w:t>2020</w:t>
      </w:r>
      <w:r>
        <w:rPr>
          <w:rFonts w:hint="eastAsia"/>
        </w:rPr>
        <w:t>〕</w:t>
      </w:r>
      <w:r>
        <w:rPr>
          <w:rFonts w:hint="eastAsia" w:ascii="仿宋" w:hAnsi="仿宋" w:eastAsia="仿宋" w:cs="仿宋"/>
        </w:rPr>
        <w:t>10</w:t>
      </w:r>
      <w:r>
        <w:rPr>
          <w:rFonts w:hint="eastAsia"/>
        </w:rPr>
        <w:t>）、《中共遂宁市委遂宁市政府办公室关于深入实施预算绩效管理的工作方案》（遂委办〔</w:t>
      </w:r>
      <w:r>
        <w:rPr>
          <w:rFonts w:hint="eastAsia" w:ascii="仿宋" w:hAnsi="仿宋" w:eastAsia="仿宋" w:cs="仿宋"/>
        </w:rPr>
        <w:t>2022</w:t>
      </w:r>
      <w:r>
        <w:rPr>
          <w:rFonts w:hint="eastAsia"/>
        </w:rPr>
        <w:t>〕</w:t>
      </w:r>
      <w:r>
        <w:rPr>
          <w:rFonts w:hint="eastAsia" w:ascii="仿宋" w:hAnsi="仿宋" w:eastAsia="仿宋" w:cs="仿宋"/>
        </w:rPr>
        <w:t>41</w:t>
      </w:r>
      <w:r>
        <w:rPr>
          <w:rFonts w:hint="eastAsia"/>
        </w:rPr>
        <w:t>号）、《遂宁市政府投资管理办法》（遂府发〔</w:t>
      </w:r>
      <w:r>
        <w:rPr>
          <w:rFonts w:hint="eastAsia" w:ascii="仿宋" w:hAnsi="仿宋" w:eastAsia="仿宋" w:cs="仿宋"/>
        </w:rPr>
        <w:t>2019〕9</w:t>
      </w:r>
      <w:r>
        <w:rPr>
          <w:rFonts w:hint="eastAsia"/>
        </w:rPr>
        <w:t>号）等文件有关规定，按照遂宁市高新区绩效评价工作安排，由遂宁高新区财政金融局组织领导，成都金财企服企业管理有限公司接受委托并成立绩效评价工作组，对遂宁高新区印刷科技产业园及基础设施国有资本经营预算项目进行绩效评价。经过资料评审和综合分析评价，形成本次绩效评价报告，现将有关情况报告如下。</w:t>
      </w:r>
    </w:p>
    <w:p>
      <w:pPr>
        <w:pStyle w:val="2"/>
        <w:spacing w:before="0" w:after="0"/>
        <w:ind w:firstLine="640"/>
      </w:pPr>
      <w:bookmarkStart w:id="447" w:name="_Toc16948"/>
      <w:bookmarkStart w:id="448" w:name="_Toc3864"/>
      <w:bookmarkStart w:id="449" w:name="_Toc28505"/>
      <w:bookmarkStart w:id="450" w:name="_Toc7147"/>
      <w:r>
        <w:rPr>
          <w:rFonts w:hint="eastAsia" w:ascii="黑体" w:hAnsi="黑体" w:cs="黑体"/>
        </w:rPr>
        <w:t>一、基本情况</w:t>
      </w:r>
      <w:bookmarkEnd w:id="447"/>
      <w:bookmarkEnd w:id="448"/>
    </w:p>
    <w:p>
      <w:pPr>
        <w:pStyle w:val="3"/>
        <w:spacing w:before="0" w:after="0"/>
        <w:ind w:firstLine="643"/>
      </w:pPr>
      <w:bookmarkStart w:id="451" w:name="_Toc3610"/>
      <w:r>
        <w:rPr>
          <w:rFonts w:hint="eastAsia" w:ascii="仿宋_GB2312" w:hAnsi="仿宋_GB2312" w:cs="仿宋_GB2312"/>
        </w:rPr>
        <w:t>（一）项目概况</w:t>
      </w:r>
      <w:bookmarkEnd w:id="449"/>
      <w:bookmarkEnd w:id="450"/>
      <w:bookmarkEnd w:id="451"/>
    </w:p>
    <w:p>
      <w:pPr>
        <w:pStyle w:val="4"/>
        <w:ind w:firstLine="643"/>
        <w:rPr>
          <w:rFonts w:hint="eastAsia"/>
        </w:rPr>
      </w:pPr>
      <w:r>
        <w:rPr>
          <w:rFonts w:hint="eastAsia"/>
        </w:rPr>
        <w:t>1.项目背景</w:t>
      </w:r>
    </w:p>
    <w:p>
      <w:pPr>
        <w:keepNext w:val="0"/>
        <w:keepLines w:val="0"/>
        <w:pageBreakBefore w:val="0"/>
        <w:widowControl/>
        <w:suppressLineNumbers w:val="0"/>
        <w:kinsoku/>
        <w:wordWrap/>
        <w:overflowPunct/>
        <w:topLinePunct w:val="0"/>
        <w:autoSpaceDE/>
        <w:autoSpaceDN/>
        <w:bidi w:val="0"/>
        <w:adjustRightInd/>
        <w:snapToGrid/>
        <w:jc w:val="both"/>
        <w:textAlignment w:val="auto"/>
        <w:rPr>
          <w:sz w:val="32"/>
          <w:szCs w:val="32"/>
        </w:rPr>
      </w:pPr>
      <w:r>
        <w:rPr>
          <w:rFonts w:ascii="仿宋" w:hAnsi="仿宋" w:eastAsia="仿宋" w:cs="仿宋"/>
          <w:color w:val="000000"/>
          <w:kern w:val="0"/>
          <w:sz w:val="32"/>
          <w:szCs w:val="32"/>
          <w:lang w:val="en-US" w:eastAsia="zh-CN" w:bidi="ar"/>
        </w:rPr>
        <w:t>“十三五”确立了文化产业“到2020年，文化产业成</w:t>
      </w:r>
      <w:r>
        <w:rPr>
          <w:rFonts w:hint="eastAsia" w:ascii="仿宋" w:hAnsi="仿宋" w:eastAsia="仿宋" w:cs="仿宋"/>
          <w:color w:val="000000"/>
          <w:kern w:val="0"/>
          <w:sz w:val="32"/>
          <w:szCs w:val="32"/>
          <w:lang w:val="en-US" w:eastAsia="zh-CN" w:bidi="ar"/>
        </w:rPr>
        <w:t>为国民经济支柱性产业”的发展目标：城市与文化产业是共生的，在文化大发展的今天，每个城市都在寻求转型全力以赴发展文化产业。一方面文化产业作为发展主体要以当地文化资源、文化资本、人力资源、科技实力等方面作为出发点，最大限度地与城市定位和城市形象等其他“基因”要素相匹配；另一方面，文化产业要主动与其他产业要形成良好的互动与融合，城市发展离不开良性的产业布局</w:t>
      </w:r>
      <w:r>
        <w:rPr>
          <w:rFonts w:hint="eastAsia" w:ascii="仿宋" w:hAnsi="仿宋" w:cs="仿宋"/>
          <w:color w:val="000000"/>
          <w:kern w:val="0"/>
          <w:sz w:val="32"/>
          <w:szCs w:val="32"/>
          <w:lang w:val="en-US" w:eastAsia="zh-CN" w:bidi="ar"/>
        </w:rPr>
        <w:t>。</w:t>
      </w:r>
    </w:p>
    <w:p>
      <w:pPr>
        <w:ind w:firstLine="640"/>
        <w:rPr>
          <w:rFonts w:hint="eastAsia" w:ascii="仿宋" w:hAnsi="仿宋" w:cs="仿宋"/>
        </w:rPr>
      </w:pPr>
      <w:r>
        <w:rPr>
          <w:rFonts w:hint="eastAsia" w:ascii="仿宋" w:hAnsi="仿宋" w:cs="仿宋"/>
        </w:rPr>
        <w:t>2021年3月发布的《中华人民共和国国民经济和社会发展第十四个五年规划和2035年远景目标纲要》中更是明确指出实施文化产业数字化战略，加快发展新型文化企业、文化业态、文化消费模式，壮大数字创意、网络视听、数字出版、数字娱乐、线上演播等产业。</w:t>
      </w:r>
    </w:p>
    <w:p>
      <w:pPr>
        <w:ind w:firstLine="640"/>
        <w:rPr>
          <w:rFonts w:hint="eastAsia" w:ascii="仿宋" w:hAnsi="仿宋" w:cs="仿宋"/>
        </w:rPr>
      </w:pPr>
      <w:r>
        <w:rPr>
          <w:rFonts w:hint="eastAsia" w:ascii="仿宋" w:hAnsi="仿宋" w:cs="仿宋"/>
        </w:rPr>
        <w:t>随着印刷科技行业的快速发展，遂宁市高新区为了提升区域内印刷科技产业的竞争力，各部门领导决定建设遂宁高新区印刷科技产业园，吸引更多的印刷科技企业入驻，培育骨干文化企业，形成产业集聚效应，推动产业链上下游的协同发展。</w:t>
      </w:r>
    </w:p>
    <w:p>
      <w:pPr>
        <w:pStyle w:val="4"/>
        <w:ind w:firstLine="643"/>
        <w:rPr>
          <w:rFonts w:hint="eastAsia"/>
        </w:rPr>
      </w:pPr>
      <w:r>
        <w:rPr>
          <w:rFonts w:hint="eastAsia"/>
        </w:rPr>
        <w:t>2.主要内容及实施情况</w:t>
      </w:r>
    </w:p>
    <w:p>
      <w:pPr>
        <w:ind w:firstLine="640"/>
        <w:rPr>
          <w:rFonts w:hint="eastAsia" w:ascii="仿宋" w:hAnsi="仿宋" w:cs="仿宋"/>
        </w:rPr>
      </w:pPr>
      <w:r>
        <w:rPr>
          <w:rFonts w:hint="eastAsia" w:ascii="仿宋" w:hAnsi="仿宋" w:cs="仿宋"/>
        </w:rPr>
        <w:t>遂宁高新区印刷科技产业园及基础设施建设项目由遂宁天一投资集团有限公司负责建设，建设智慧化标准厂房65000.00平方米、配套研发房3000.00平方米、配套建设园区道路、停车位、安防、综合管网等附属设施。该项目于2023年3月16日开工建设，建设工期300天，预计2023年12月26日竣工。截至评价日，项目工程已接近完工，其中厂房、研发房、货运通道等主体结构施工完成，正在进行室内外装饰装修及附属设施施工。</w:t>
      </w:r>
    </w:p>
    <w:p>
      <w:pPr>
        <w:pStyle w:val="4"/>
        <w:ind w:firstLine="643"/>
        <w:rPr>
          <w:rFonts w:hint="eastAsia"/>
        </w:rPr>
      </w:pPr>
      <w:r>
        <w:rPr>
          <w:rFonts w:hint="eastAsia"/>
        </w:rPr>
        <w:t>3.资金投入</w:t>
      </w:r>
    </w:p>
    <w:p>
      <w:pPr>
        <w:ind w:firstLine="640"/>
        <w:rPr>
          <w:rFonts w:hint="eastAsia" w:ascii="仿宋" w:hAnsi="仿宋" w:cs="仿宋"/>
        </w:rPr>
      </w:pPr>
      <w:r>
        <w:rPr>
          <w:rFonts w:hint="eastAsia" w:ascii="仿宋" w:hAnsi="仿宋" w:cs="仿宋"/>
        </w:rPr>
        <w:t>遂宁高新区印刷科技产业园及基础设施建设项目建设单位遂宁天一投资集团有限公司2023年12月4日提交请示，反映其建设大批基础设施项目，因资金调度存在困难，为缓解资金压力，建设单位向遂宁高新区财政金融局申请拨付基础设施建设资金420.00万元。</w:t>
      </w:r>
    </w:p>
    <w:p>
      <w:pPr>
        <w:pStyle w:val="4"/>
        <w:ind w:firstLine="643"/>
        <w:rPr>
          <w:rFonts w:hint="eastAsia"/>
        </w:rPr>
      </w:pPr>
      <w:r>
        <w:rPr>
          <w:rFonts w:hint="eastAsia"/>
        </w:rPr>
        <w:t>4.资金使用情况</w:t>
      </w:r>
    </w:p>
    <w:p>
      <w:pPr>
        <w:ind w:firstLine="640"/>
        <w:rPr>
          <w:rFonts w:hint="eastAsia" w:ascii="仿宋" w:hAnsi="仿宋" w:cs="仿宋"/>
        </w:rPr>
      </w:pPr>
      <w:r>
        <w:rPr>
          <w:rFonts w:hint="eastAsia" w:ascii="仿宋" w:hAnsi="仿宋" w:cs="仿宋"/>
        </w:rPr>
        <w:t>建设单位遂宁天一投资集团有限公司2023年12月22日取得基础设施建设资金420.00万元，于2024年1月3日用于支付遂宁高新区印刷科技产业园及基础设施建设项目工程款3,610.00万元。国有资本经营预算支出420.00万元全部用于支付项目工程款。</w:t>
      </w:r>
    </w:p>
    <w:p>
      <w:pPr>
        <w:pStyle w:val="3"/>
        <w:spacing w:before="0" w:after="0"/>
        <w:ind w:firstLine="643"/>
      </w:pPr>
      <w:bookmarkStart w:id="452" w:name="_Toc9728"/>
      <w:bookmarkStart w:id="453" w:name="_Toc24986"/>
      <w:r>
        <w:rPr>
          <w:rFonts w:hint="eastAsia"/>
        </w:rPr>
        <w:t>（二）项目绩效目标</w:t>
      </w:r>
      <w:bookmarkEnd w:id="452"/>
      <w:bookmarkEnd w:id="453"/>
    </w:p>
    <w:bookmarkEnd w:id="443"/>
    <w:bookmarkEnd w:id="444"/>
    <w:p>
      <w:pPr>
        <w:keepNext w:val="0"/>
        <w:keepLines w:val="0"/>
        <w:pageBreakBefore w:val="0"/>
        <w:widowControl/>
        <w:suppressLineNumbers w:val="0"/>
        <w:kinsoku/>
        <w:wordWrap/>
        <w:overflowPunct/>
        <w:topLinePunct w:val="0"/>
        <w:autoSpaceDE/>
        <w:autoSpaceDN/>
        <w:bidi w:val="0"/>
        <w:adjustRightInd/>
        <w:snapToGrid/>
        <w:jc w:val="both"/>
        <w:textAlignment w:val="auto"/>
        <w:rPr>
          <w:sz w:val="32"/>
          <w:szCs w:val="32"/>
        </w:rPr>
      </w:pPr>
      <w:bookmarkStart w:id="454" w:name="_Toc23792"/>
      <w:r>
        <w:rPr>
          <w:rFonts w:ascii="仿宋" w:hAnsi="仿宋" w:eastAsia="仿宋" w:cs="仿宋"/>
          <w:color w:val="000000"/>
          <w:kern w:val="0"/>
          <w:sz w:val="32"/>
          <w:szCs w:val="32"/>
          <w:lang w:val="en-US" w:eastAsia="zh-CN" w:bidi="ar"/>
        </w:rPr>
        <w:t>遂宁高新区印刷科技产业园及基础设施建设项目依据</w:t>
      </w:r>
      <w:r>
        <w:rPr>
          <w:rFonts w:hint="eastAsia" w:ascii="仿宋" w:hAnsi="仿宋" w:eastAsia="仿宋" w:cs="仿宋"/>
          <w:color w:val="000000"/>
          <w:kern w:val="0"/>
          <w:sz w:val="32"/>
          <w:szCs w:val="32"/>
          <w:lang w:val="en-US" w:eastAsia="zh-CN" w:bidi="ar"/>
        </w:rPr>
        <w:t>立项资料，可行性研究报告，财评报告，设立了具体科学、合理，量化细化的绩效目标：设立的目标为：建设智慧化标准厂房65000.00平方米、配套研发房3000.00平方米、配套建设园区道路、停车位、安防、综合管网等附属设施等数量指标。质量指标:质量达标率100%。效果指标：符合产业现代化需要、安防合规、适用、形象美观。产出时效指标：竣工日期2023年12月26日。</w:t>
      </w:r>
    </w:p>
    <w:p>
      <w:pPr>
        <w:pStyle w:val="2"/>
        <w:spacing w:before="0" w:after="0"/>
        <w:ind w:firstLine="640"/>
      </w:pPr>
      <w:r>
        <w:rPr>
          <w:rFonts w:hint="eastAsia"/>
        </w:rPr>
        <w:t>二、绩效工作开展情况</w:t>
      </w:r>
      <w:bookmarkEnd w:id="454"/>
    </w:p>
    <w:p>
      <w:pPr>
        <w:pStyle w:val="3"/>
        <w:spacing w:before="0" w:after="0"/>
        <w:ind w:firstLine="643"/>
      </w:pPr>
      <w:bookmarkStart w:id="455" w:name="_Toc21051"/>
      <w:r>
        <w:rPr>
          <w:rFonts w:hint="eastAsia"/>
        </w:rPr>
        <w:t>（一）绩效评价目的、对象和范围</w:t>
      </w:r>
      <w:bookmarkEnd w:id="455"/>
    </w:p>
    <w:p>
      <w:pPr>
        <w:pStyle w:val="4"/>
        <w:ind w:firstLine="643"/>
        <w:rPr>
          <w:rFonts w:hint="eastAsia"/>
        </w:rPr>
      </w:pPr>
      <w:bookmarkStart w:id="456" w:name="_Toc129683085"/>
      <w:bookmarkStart w:id="457" w:name="_Toc129682474"/>
      <w:r>
        <w:rPr>
          <w:rFonts w:hint="eastAsia"/>
        </w:rPr>
        <w:t>1.绩效评价目的</w:t>
      </w:r>
      <w:bookmarkEnd w:id="456"/>
      <w:bookmarkEnd w:id="457"/>
    </w:p>
    <w:p>
      <w:pPr>
        <w:keepNext w:val="0"/>
        <w:keepLines w:val="0"/>
        <w:pageBreakBefore w:val="0"/>
        <w:widowControl/>
        <w:suppressLineNumbers w:val="0"/>
        <w:kinsoku/>
        <w:wordWrap/>
        <w:overflowPunct/>
        <w:topLinePunct w:val="0"/>
        <w:autoSpaceDE/>
        <w:autoSpaceDN/>
        <w:bidi w:val="0"/>
        <w:adjustRightInd/>
        <w:snapToGrid/>
        <w:jc w:val="both"/>
        <w:textAlignment w:val="auto"/>
        <w:rPr>
          <w:sz w:val="32"/>
          <w:szCs w:val="32"/>
        </w:rPr>
      </w:pPr>
      <w:r>
        <w:rPr>
          <w:rFonts w:ascii="仿宋" w:hAnsi="仿宋" w:eastAsia="仿宋" w:cs="仿宋"/>
          <w:color w:val="000000"/>
          <w:kern w:val="0"/>
          <w:sz w:val="32"/>
          <w:szCs w:val="32"/>
          <w:lang w:val="en-US" w:eastAsia="zh-CN" w:bidi="ar"/>
        </w:rPr>
        <w:t>根据项目绩效目标，运用科学合理的绩效评价指标、评价标</w:t>
      </w:r>
      <w:r>
        <w:rPr>
          <w:rFonts w:hint="eastAsia" w:ascii="仿宋" w:hAnsi="仿宋" w:eastAsia="仿宋" w:cs="仿宋"/>
          <w:color w:val="000000"/>
          <w:kern w:val="0"/>
          <w:sz w:val="32"/>
          <w:szCs w:val="32"/>
          <w:lang w:val="en-US" w:eastAsia="zh-CN" w:bidi="ar"/>
        </w:rPr>
        <w:t>准和评价方法，对遂宁高新区印刷科技产业园及基础设施建设项目2023年度使用国有资本经营预算项目支出的经济性、效率性和效益性的情况进行客观、公正的评价。全面了解国有资本经营预算收支项目的运营情况包括收入来源、支出用途、使用情况等。通过评价，揭示项目的建设运营情况、资金利用效率和风险控制能力，为决策者提供科学依据，推动国有资本经营的持续发展。为国有资本经营提供科学依据，优化资源配置，提高经济效益。</w:t>
      </w:r>
    </w:p>
    <w:p>
      <w:pPr>
        <w:pStyle w:val="4"/>
        <w:ind w:firstLine="643"/>
        <w:rPr>
          <w:rFonts w:hint="eastAsia"/>
        </w:rPr>
      </w:pPr>
      <w:r>
        <w:rPr>
          <w:rFonts w:hint="eastAsia"/>
        </w:rPr>
        <w:t>2.绩效评价对象</w:t>
      </w:r>
    </w:p>
    <w:p>
      <w:pPr>
        <w:ind w:firstLine="640"/>
        <w:rPr>
          <w:rFonts w:hint="eastAsia" w:ascii="仿宋" w:hAnsi="仿宋" w:cs="仿宋"/>
        </w:rPr>
      </w:pPr>
      <w:r>
        <w:rPr>
          <w:rFonts w:hint="eastAsia" w:ascii="仿宋" w:hAnsi="仿宋" w:cs="仿宋"/>
        </w:rPr>
        <w:t>绩效评价对象：遂宁高新区印刷科技产业园及基础设施建设项目2023年度使用国有资本经营预算项目支出420.00万元。</w:t>
      </w:r>
    </w:p>
    <w:p>
      <w:pPr>
        <w:pStyle w:val="4"/>
        <w:ind w:firstLine="643"/>
        <w:rPr>
          <w:rFonts w:hint="eastAsia"/>
        </w:rPr>
      </w:pPr>
      <w:bookmarkStart w:id="458" w:name="_Toc129683087"/>
      <w:bookmarkStart w:id="459" w:name="_Toc129682476"/>
      <w:r>
        <w:rPr>
          <w:rFonts w:hint="eastAsia"/>
        </w:rPr>
        <w:t>3.绩效评价范围</w:t>
      </w:r>
      <w:bookmarkEnd w:id="458"/>
      <w:bookmarkEnd w:id="459"/>
    </w:p>
    <w:p>
      <w:pPr>
        <w:ind w:firstLine="640"/>
      </w:pPr>
      <w:r>
        <w:rPr>
          <w:rFonts w:hint="eastAsia"/>
        </w:rPr>
        <w:t>本次绩效评价范围包括：一是项目决策和立项情况；二是项目实施管理，包括资金管理和组织实施情况；三是项目绩效目标实现情况，包括项目实际产出和效益情况，群众满意度情况。</w:t>
      </w:r>
    </w:p>
    <w:p>
      <w:pPr>
        <w:pStyle w:val="3"/>
        <w:spacing w:before="0" w:after="0"/>
        <w:ind w:firstLine="643"/>
      </w:pPr>
      <w:bookmarkStart w:id="460" w:name="_Toc28785"/>
      <w:bookmarkStart w:id="461" w:name="_Toc14"/>
      <w:r>
        <w:rPr>
          <w:rFonts w:hint="eastAsia"/>
        </w:rPr>
        <w:t>（二）绩效评价依据、原则、评价方法和指标体系</w:t>
      </w:r>
      <w:bookmarkEnd w:id="460"/>
      <w:bookmarkEnd w:id="461"/>
    </w:p>
    <w:p>
      <w:pPr>
        <w:pStyle w:val="4"/>
        <w:ind w:firstLine="643"/>
        <w:rPr>
          <w:rFonts w:hint="eastAsia"/>
        </w:rPr>
      </w:pPr>
      <w:bookmarkStart w:id="462" w:name="_Toc129683089"/>
      <w:bookmarkStart w:id="463" w:name="_Toc129682478"/>
      <w:r>
        <w:rPr>
          <w:rFonts w:hint="eastAsia"/>
        </w:rPr>
        <w:t>1.绩效评价依据</w:t>
      </w:r>
      <w:bookmarkEnd w:id="462"/>
      <w:bookmarkEnd w:id="463"/>
    </w:p>
    <w:p>
      <w:pPr>
        <w:ind w:firstLine="640"/>
        <w:rPr>
          <w:rFonts w:hint="eastAsia" w:ascii="仿宋" w:hAnsi="仿宋" w:cs="仿宋"/>
        </w:rPr>
      </w:pPr>
      <w:r>
        <w:rPr>
          <w:rFonts w:hint="eastAsia" w:ascii="仿宋" w:hAnsi="仿宋" w:cs="仿宋"/>
        </w:rPr>
        <w:t>《中华人民共和国预算法》；</w:t>
      </w:r>
    </w:p>
    <w:p>
      <w:pPr>
        <w:ind w:firstLine="640"/>
        <w:rPr>
          <w:rFonts w:hint="eastAsia" w:ascii="仿宋" w:hAnsi="仿宋" w:cs="仿宋"/>
        </w:rPr>
      </w:pPr>
      <w:r>
        <w:rPr>
          <w:rFonts w:hint="eastAsia" w:ascii="仿宋" w:hAnsi="仿宋" w:cs="仿宋"/>
        </w:rPr>
        <w:t>《中共中央国务院关于全面实施预算绩效管理的意见》（中发〔2018〕34号）；</w:t>
      </w:r>
    </w:p>
    <w:p>
      <w:pPr>
        <w:ind w:firstLine="640"/>
        <w:rPr>
          <w:rFonts w:hint="eastAsia" w:ascii="仿宋" w:hAnsi="仿宋" w:cs="仿宋"/>
        </w:rPr>
      </w:pPr>
      <w:r>
        <w:rPr>
          <w:rFonts w:hint="eastAsia" w:ascii="仿宋" w:hAnsi="仿宋" w:cs="仿宋"/>
        </w:rPr>
        <w:t>《财政部关于印发〈项目支出绩效评价管理办法〉的通知》（财预〔2020〕10号）；</w:t>
      </w:r>
    </w:p>
    <w:p>
      <w:pPr>
        <w:ind w:firstLine="640"/>
        <w:rPr>
          <w:rFonts w:hint="eastAsia" w:ascii="仿宋" w:hAnsi="仿宋" w:cs="仿宋"/>
        </w:rPr>
      </w:pPr>
      <w:r>
        <w:rPr>
          <w:rFonts w:hint="eastAsia" w:ascii="仿宋" w:hAnsi="仿宋" w:cs="仿宋"/>
        </w:rPr>
        <w:t>《预算法实施条例》中华人民共和国国务院令第729号；</w:t>
      </w:r>
    </w:p>
    <w:p>
      <w:pPr>
        <w:ind w:firstLine="640"/>
        <w:rPr>
          <w:rFonts w:hint="eastAsia" w:ascii="仿宋" w:hAnsi="仿宋" w:cs="仿宋"/>
        </w:rPr>
      </w:pPr>
      <w:r>
        <w:rPr>
          <w:rFonts w:hint="eastAsia" w:ascii="仿宋" w:hAnsi="仿宋" w:cs="仿宋"/>
        </w:rPr>
        <w:t>《国务院关于进一步完善国有资本经营预算制度的意见》（国发〔2024〕2号）；</w:t>
      </w:r>
    </w:p>
    <w:p>
      <w:pPr>
        <w:ind w:firstLine="640"/>
        <w:rPr>
          <w:rFonts w:hint="eastAsia" w:ascii="仿宋" w:hAnsi="仿宋" w:cs="仿宋"/>
        </w:rPr>
      </w:pPr>
      <w:r>
        <w:rPr>
          <w:rFonts w:hint="eastAsia" w:ascii="仿宋" w:hAnsi="仿宋" w:cs="仿宋"/>
        </w:rPr>
        <w:t>《遂宁市人民政府印发〈关于进一步深化预算管理制度改革的贯彻意见〉的通知》（遂府函〔2022〕119号）；</w:t>
      </w:r>
    </w:p>
    <w:p>
      <w:pPr>
        <w:ind w:firstLine="640"/>
        <w:rPr>
          <w:rFonts w:hint="eastAsia" w:ascii="仿宋" w:hAnsi="仿宋" w:cs="仿宋"/>
        </w:rPr>
      </w:pPr>
      <w:r>
        <w:rPr>
          <w:rFonts w:hint="eastAsia" w:ascii="仿宋" w:hAnsi="仿宋" w:cs="仿宋"/>
        </w:rPr>
        <w:t>《遂宁市政府投资管理办法》（遂府发〔2019〕9号）；</w:t>
      </w:r>
    </w:p>
    <w:p>
      <w:pPr>
        <w:ind w:firstLine="640"/>
        <w:rPr>
          <w:rFonts w:hint="eastAsia" w:ascii="仿宋" w:hAnsi="仿宋" w:cs="仿宋"/>
        </w:rPr>
      </w:pPr>
      <w:r>
        <w:rPr>
          <w:rFonts w:hint="eastAsia" w:ascii="仿宋" w:hAnsi="仿宋" w:cs="仿宋"/>
        </w:rPr>
        <w:t>其他有关政策文件。</w:t>
      </w:r>
    </w:p>
    <w:p>
      <w:pPr>
        <w:pStyle w:val="4"/>
        <w:ind w:firstLine="643"/>
        <w:rPr>
          <w:rFonts w:hint="eastAsia"/>
        </w:rPr>
      </w:pPr>
      <w:r>
        <w:rPr>
          <w:rFonts w:hint="eastAsia"/>
        </w:rPr>
        <w:t>2.绩效评价原则</w:t>
      </w:r>
    </w:p>
    <w:p>
      <w:pPr>
        <w:ind w:firstLine="640"/>
      </w:pPr>
      <w:r>
        <w:rPr>
          <w:rFonts w:hint="eastAsia"/>
        </w:rPr>
        <w:t>本次绩效评价本着客观公正、科学规范、绩效相关、公开透明的原则，采用全面评价和重点评价相结合，现场评价与非现场评价相补充的方法，对项目进行综合评价。在评价过程中，结合被评价单位的实际情况，通过听取情况介绍、收集和核实相关材料、检查财务凭证实地走访调查、综合分析等一系列工作程序，在充分发挥社会调查的基础上，形成评价结论。</w:t>
      </w:r>
    </w:p>
    <w:p>
      <w:pPr>
        <w:pStyle w:val="4"/>
        <w:ind w:firstLine="643"/>
        <w:rPr>
          <w:rFonts w:hint="eastAsia"/>
        </w:rPr>
      </w:pPr>
      <w:r>
        <w:rPr>
          <w:rFonts w:hint="eastAsia"/>
        </w:rPr>
        <w:t>3.评价方法</w:t>
      </w:r>
    </w:p>
    <w:p>
      <w:pPr>
        <w:ind w:firstLine="640"/>
      </w:pPr>
      <w:r>
        <w:t>为客观、全面反映评价结果，根据项目特点，本次绩效评价工作拟采用（但不限于）以下评价方法：</w:t>
      </w:r>
    </w:p>
    <w:p>
      <w:pPr>
        <w:ind w:firstLine="640"/>
        <w:rPr>
          <w:rFonts w:hint="eastAsia" w:ascii="仿宋" w:hAnsi="仿宋" w:cs="仿宋"/>
        </w:rPr>
      </w:pPr>
      <w:r>
        <w:rPr>
          <w:rFonts w:hint="eastAsia" w:ascii="仿宋" w:hAnsi="仿宋" w:cs="仿宋"/>
        </w:rPr>
        <w:t>（1）成本效益分析法</w:t>
      </w:r>
    </w:p>
    <w:p>
      <w:pPr>
        <w:ind w:firstLine="640"/>
        <w:rPr>
          <w:rFonts w:hint="eastAsia" w:ascii="仿宋" w:hAnsi="仿宋" w:cs="仿宋"/>
        </w:rPr>
      </w:pPr>
      <w:r>
        <w:rPr>
          <w:rFonts w:hint="eastAsia" w:ascii="仿宋" w:hAnsi="仿宋" w:cs="仿宋"/>
        </w:rPr>
        <w:t>是指将一定时期内的支出与效益进行对比分析，以评价绩效目标实现程度。</w:t>
      </w:r>
    </w:p>
    <w:p>
      <w:pPr>
        <w:ind w:firstLine="640"/>
        <w:rPr>
          <w:rFonts w:hint="eastAsia" w:ascii="仿宋" w:hAnsi="仿宋" w:cs="仿宋"/>
        </w:rPr>
      </w:pPr>
      <w:r>
        <w:rPr>
          <w:rFonts w:hint="eastAsia" w:ascii="仿宋" w:hAnsi="仿宋" w:cs="仿宋"/>
        </w:rPr>
        <w:t>（2）比较法</w:t>
      </w:r>
    </w:p>
    <w:p>
      <w:pPr>
        <w:ind w:firstLine="640"/>
        <w:rPr>
          <w:rFonts w:hint="eastAsia" w:ascii="仿宋" w:hAnsi="仿宋" w:cs="仿宋"/>
        </w:rPr>
      </w:pPr>
      <w:r>
        <w:rPr>
          <w:rFonts w:hint="eastAsia" w:ascii="仿宋" w:hAnsi="仿宋" w:cs="仿宋"/>
        </w:rPr>
        <w:t>是指通过对绩效目标与实施效果、历史与当期情况、不同部门和地区同类支出的比较，综合分析绩效目标实现程度。</w:t>
      </w:r>
    </w:p>
    <w:p>
      <w:pPr>
        <w:ind w:firstLine="640"/>
        <w:rPr>
          <w:rFonts w:hint="eastAsia" w:ascii="仿宋" w:hAnsi="仿宋" w:cs="仿宋"/>
        </w:rPr>
      </w:pPr>
      <w:r>
        <w:rPr>
          <w:rFonts w:hint="eastAsia" w:ascii="仿宋" w:hAnsi="仿宋" w:cs="仿宋"/>
        </w:rPr>
        <w:t>（3）因素分析法</w:t>
      </w:r>
    </w:p>
    <w:p>
      <w:pPr>
        <w:ind w:firstLine="640"/>
        <w:rPr>
          <w:rFonts w:hint="eastAsia" w:ascii="仿宋" w:hAnsi="仿宋" w:cs="仿宋"/>
        </w:rPr>
      </w:pPr>
      <w:r>
        <w:rPr>
          <w:rFonts w:hint="eastAsia" w:ascii="仿宋" w:hAnsi="仿宋" w:cs="仿宋"/>
        </w:rPr>
        <w:t>是指通过综合分析影响绩效目标实现、实施效果的内外因素，评价绩效目标实现程度。</w:t>
      </w:r>
    </w:p>
    <w:p>
      <w:pPr>
        <w:ind w:firstLine="640"/>
        <w:rPr>
          <w:rFonts w:hint="eastAsia" w:ascii="仿宋" w:hAnsi="仿宋" w:cs="仿宋"/>
        </w:rPr>
      </w:pPr>
      <w:r>
        <w:rPr>
          <w:rFonts w:hint="eastAsia" w:ascii="仿宋" w:hAnsi="仿宋" w:cs="仿宋"/>
        </w:rPr>
        <w:t>（4）公众评判法</w:t>
      </w:r>
    </w:p>
    <w:p>
      <w:pPr>
        <w:ind w:firstLine="640"/>
        <w:rPr>
          <w:rFonts w:hint="eastAsia" w:ascii="仿宋" w:hAnsi="仿宋" w:cs="仿宋"/>
        </w:rPr>
      </w:pPr>
      <w:r>
        <w:rPr>
          <w:rFonts w:hint="eastAsia" w:ascii="仿宋" w:hAnsi="仿宋" w:cs="仿宋"/>
        </w:rPr>
        <w:t>是指通过专家评估、公众问卷及抽样调查等对财政支出效果进行评判，评价绩效目标实现程度。</w:t>
      </w:r>
    </w:p>
    <w:p>
      <w:pPr>
        <w:pStyle w:val="4"/>
        <w:ind w:firstLine="643"/>
        <w:rPr>
          <w:rFonts w:hint="eastAsia"/>
        </w:rPr>
      </w:pPr>
      <w:r>
        <w:rPr>
          <w:rFonts w:hint="eastAsia"/>
        </w:rPr>
        <w:t>4.评价指标体系</w:t>
      </w:r>
    </w:p>
    <w:p>
      <w:pPr>
        <w:ind w:firstLine="640"/>
      </w:pPr>
      <w:r>
        <w:rPr>
          <w:rFonts w:hint="eastAsia"/>
        </w:rPr>
        <w:t>（1）本次评价指标的构建思路</w:t>
      </w:r>
    </w:p>
    <w:p>
      <w:pPr>
        <w:ind w:firstLine="640"/>
        <w:rPr>
          <w:rFonts w:hint="eastAsia" w:ascii="仿宋" w:hAnsi="仿宋" w:cs="仿宋"/>
        </w:rPr>
      </w:pPr>
      <w:r>
        <w:rPr>
          <w:rFonts w:hint="eastAsia"/>
        </w:rPr>
        <w:t>本次绩效评价对象为遂宁高新区印刷科技</w:t>
      </w:r>
      <w:r>
        <w:rPr>
          <w:rFonts w:hint="eastAsia" w:ascii="仿宋" w:hAnsi="仿宋" w:cs="仿宋"/>
        </w:rPr>
        <w:t>产业园及基础设施建设项目2023年度使用国有资本经营预算，针对绩效指标体系建立是本次绩效评价的一个关键部分，在确定绩效评价指标方面，我们主要考虑到两个重点：一是设置合理的绩效指标，绩效指标要能够准确清晰地反映国有资本资金使用效果，需尽量设置为可衡量、可考核的清晰明确的指标，指标值需具有约束力；二是按照深化预算管理制度改革以及健全管资本为主的国有资产监管体制的要求，依据相关规定，坚持问题导向、目标导向、效果导向，结合项目资金管理和预期收益设置相对应的指标进行评判，并科学评估风险。</w:t>
      </w:r>
    </w:p>
    <w:p>
      <w:pPr>
        <w:ind w:firstLine="640"/>
        <w:rPr>
          <w:rFonts w:hint="eastAsia" w:ascii="仿宋" w:hAnsi="仿宋" w:cs="仿宋"/>
        </w:rPr>
      </w:pPr>
      <w:r>
        <w:rPr>
          <w:rFonts w:hint="eastAsia" w:ascii="仿宋" w:hAnsi="仿宋" w:cs="仿宋"/>
        </w:rPr>
        <w:t>本次绩效评价将基于参照《财政部关于印发〈项目支出绩效评价管理办法〉的通知》（财预〔2020〕10号）、文件中绩效评价要求来设计本次绩效评价指标体系，同时根据我们绩效评价的经验结合项目实际情况，细化了项目立项、组织管理、资金管理、项目产出和效益等方面指标权重，针对性强化产出效果指标考核的权重。</w:t>
      </w:r>
    </w:p>
    <w:p>
      <w:pPr>
        <w:ind w:firstLine="640"/>
        <w:rPr>
          <w:rFonts w:hint="eastAsia" w:ascii="仿宋" w:hAnsi="仿宋" w:cs="仿宋"/>
        </w:rPr>
      </w:pPr>
      <w:r>
        <w:rPr>
          <w:rFonts w:hint="eastAsia" w:ascii="仿宋" w:hAnsi="仿宋" w:cs="仿宋"/>
        </w:rPr>
        <w:t>（2）指标体系</w:t>
      </w:r>
    </w:p>
    <w:p>
      <w:pPr>
        <w:ind w:firstLine="640"/>
        <w:rPr>
          <w:rFonts w:hint="eastAsia" w:ascii="仿宋" w:hAnsi="仿宋" w:cs="仿宋"/>
        </w:rPr>
      </w:pPr>
      <w:r>
        <w:rPr>
          <w:rFonts w:hint="eastAsia" w:ascii="仿宋" w:hAnsi="仿宋" w:cs="仿宋"/>
        </w:rPr>
        <w:t>根据《四川省财政支出绩效评价管理办法》《遂宁市财政局关于印发2024年市本级预算绩效管理工作要点》要求，结合项目内容和资金特点，绩效评价组在与专家组充分沟通的基础上，拟定本次绩效评价指标体系。本绩效评价指标体系设决策、过程、产出和效益4个一级指标、10个二级指标、21个三级指标，下设69个子评价项目。指标体如下：</w:t>
      </w:r>
    </w:p>
    <w:tbl>
      <w:tblPr>
        <w:tblStyle w:val="17"/>
        <w:tblW w:w="8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50"/>
        <w:gridCol w:w="1289"/>
        <w:gridCol w:w="1321"/>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5" w:hRule="atLeast"/>
          <w:jc w:val="center"/>
        </w:trPr>
        <w:tc>
          <w:tcPr>
            <w:tcW w:w="8000" w:type="dxa"/>
            <w:gridSpan w:val="4"/>
            <w:shd w:val="clear" w:color="auto" w:fill="auto"/>
            <w:vAlign w:val="center"/>
          </w:tcPr>
          <w:p>
            <w:pPr>
              <w:widowControl/>
              <w:spacing w:line="240" w:lineRule="auto"/>
              <w:ind w:firstLine="402"/>
              <w:jc w:val="center"/>
              <w:textAlignment w:val="bottom"/>
              <w:rPr>
                <w:rFonts w:hint="eastAsia" w:ascii="宋体" w:hAnsi="宋体" w:eastAsia="宋体" w:cs="宋体"/>
                <w:b/>
                <w:bCs/>
                <w:color w:val="000000"/>
                <w:kern w:val="0"/>
                <w:sz w:val="20"/>
                <w:szCs w:val="20"/>
                <w:lang w:bidi="ar"/>
              </w:rPr>
            </w:pPr>
            <w:r>
              <w:rPr>
                <w:rFonts w:hint="eastAsia" w:ascii="宋体" w:hAnsi="宋体" w:eastAsia="宋体" w:cs="宋体"/>
                <w:b/>
                <w:bCs/>
                <w:color w:val="000000"/>
                <w:kern w:val="0"/>
                <w:sz w:val="20"/>
                <w:szCs w:val="20"/>
                <w:lang w:bidi="ar"/>
              </w:rPr>
              <w:t>遂宁高新区印刷科技产业园及基础设施</w:t>
            </w:r>
          </w:p>
          <w:p>
            <w:pPr>
              <w:widowControl/>
              <w:spacing w:line="240" w:lineRule="auto"/>
              <w:ind w:firstLine="402"/>
              <w:jc w:val="center"/>
              <w:textAlignment w:val="bottom"/>
              <w:rPr>
                <w:rFonts w:hint="eastAsia" w:ascii="宋体" w:hAnsi="宋体" w:eastAsia="宋体" w:cs="宋体"/>
                <w:color w:val="000000"/>
                <w:sz w:val="20"/>
                <w:szCs w:val="20"/>
              </w:rPr>
            </w:pPr>
            <w:r>
              <w:rPr>
                <w:rFonts w:hint="eastAsia" w:ascii="宋体" w:hAnsi="宋体" w:eastAsia="宋体" w:cs="宋体"/>
                <w:b/>
                <w:bCs/>
                <w:color w:val="000000"/>
                <w:kern w:val="0"/>
                <w:sz w:val="20"/>
                <w:szCs w:val="20"/>
                <w:lang w:bidi="ar"/>
              </w:rPr>
              <w:t>国有资本经营预算项目绩效评价评分表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5" w:hRule="atLeast"/>
          <w:jc w:val="center"/>
        </w:trPr>
        <w:tc>
          <w:tcPr>
            <w:tcW w:w="1250" w:type="dxa"/>
            <w:shd w:val="clear" w:color="auto" w:fill="auto"/>
            <w:vAlign w:val="center"/>
          </w:tcPr>
          <w:p>
            <w:pPr>
              <w:widowControl/>
              <w:spacing w:line="240" w:lineRule="auto"/>
              <w:ind w:firstLine="0" w:firstLineChars="0"/>
              <w:jc w:val="center"/>
              <w:textAlignment w:val="bottom"/>
              <w:rPr>
                <w:rFonts w:hint="eastAsia" w:ascii="宋体" w:hAnsi="宋体" w:eastAsia="宋体" w:cs="宋体"/>
                <w:b/>
                <w:bCs/>
                <w:color w:val="000000"/>
                <w:kern w:val="0"/>
                <w:sz w:val="20"/>
                <w:szCs w:val="20"/>
                <w:lang w:bidi="ar"/>
              </w:rPr>
            </w:pPr>
            <w:r>
              <w:rPr>
                <w:rFonts w:hint="eastAsia" w:ascii="宋体" w:hAnsi="宋体" w:eastAsia="宋体" w:cs="宋体"/>
                <w:b/>
                <w:bCs/>
                <w:color w:val="000000"/>
                <w:kern w:val="0"/>
                <w:sz w:val="20"/>
                <w:szCs w:val="20"/>
                <w:lang w:bidi="ar"/>
              </w:rPr>
              <w:t>一级指标</w:t>
            </w:r>
          </w:p>
        </w:tc>
        <w:tc>
          <w:tcPr>
            <w:tcW w:w="1289" w:type="dxa"/>
            <w:shd w:val="clear" w:color="auto" w:fill="auto"/>
            <w:vAlign w:val="center"/>
          </w:tcPr>
          <w:p>
            <w:pPr>
              <w:widowControl/>
              <w:spacing w:line="240" w:lineRule="auto"/>
              <w:ind w:firstLine="0" w:firstLineChars="0"/>
              <w:jc w:val="center"/>
              <w:textAlignment w:val="bottom"/>
              <w:rPr>
                <w:rFonts w:hint="eastAsia" w:ascii="宋体" w:hAnsi="宋体" w:eastAsia="宋体" w:cs="宋体"/>
                <w:b/>
                <w:bCs/>
                <w:color w:val="000000"/>
                <w:kern w:val="0"/>
                <w:sz w:val="20"/>
                <w:szCs w:val="20"/>
                <w:lang w:bidi="ar"/>
              </w:rPr>
            </w:pPr>
            <w:r>
              <w:rPr>
                <w:rFonts w:hint="eastAsia" w:ascii="宋体" w:hAnsi="宋体" w:eastAsia="宋体" w:cs="宋体"/>
                <w:b/>
                <w:bCs/>
                <w:color w:val="000000"/>
                <w:kern w:val="0"/>
                <w:sz w:val="20"/>
                <w:szCs w:val="20"/>
                <w:lang w:bidi="ar"/>
              </w:rPr>
              <w:t>二级指标</w:t>
            </w:r>
          </w:p>
        </w:tc>
        <w:tc>
          <w:tcPr>
            <w:tcW w:w="1321" w:type="dxa"/>
            <w:shd w:val="clear" w:color="auto" w:fill="auto"/>
            <w:vAlign w:val="center"/>
          </w:tcPr>
          <w:p>
            <w:pPr>
              <w:widowControl/>
              <w:spacing w:line="240" w:lineRule="auto"/>
              <w:ind w:firstLine="0" w:firstLineChars="0"/>
              <w:jc w:val="center"/>
              <w:textAlignment w:val="bottom"/>
              <w:rPr>
                <w:rFonts w:hint="eastAsia" w:ascii="宋体" w:hAnsi="宋体" w:eastAsia="宋体" w:cs="宋体"/>
                <w:b/>
                <w:bCs/>
                <w:color w:val="000000"/>
                <w:kern w:val="0"/>
                <w:sz w:val="20"/>
                <w:szCs w:val="20"/>
                <w:lang w:bidi="ar"/>
              </w:rPr>
            </w:pPr>
            <w:r>
              <w:rPr>
                <w:rFonts w:hint="eastAsia" w:ascii="宋体" w:hAnsi="宋体" w:eastAsia="宋体" w:cs="宋体"/>
                <w:b/>
                <w:bCs/>
                <w:color w:val="000000"/>
                <w:kern w:val="0"/>
                <w:sz w:val="20"/>
                <w:szCs w:val="20"/>
                <w:lang w:bidi="ar"/>
              </w:rPr>
              <w:t>三级指标</w:t>
            </w:r>
          </w:p>
        </w:tc>
        <w:tc>
          <w:tcPr>
            <w:tcW w:w="4140" w:type="dxa"/>
            <w:shd w:val="clear" w:color="auto" w:fill="auto"/>
            <w:noWrap/>
            <w:vAlign w:val="center"/>
          </w:tcPr>
          <w:p>
            <w:pPr>
              <w:widowControl/>
              <w:spacing w:line="240" w:lineRule="auto"/>
              <w:ind w:firstLine="402"/>
              <w:jc w:val="center"/>
              <w:textAlignment w:val="bottom"/>
              <w:rPr>
                <w:rFonts w:hint="eastAsia" w:ascii="宋体" w:hAnsi="宋体" w:eastAsia="宋体" w:cs="宋体"/>
                <w:b/>
                <w:bCs/>
                <w:color w:val="000000"/>
                <w:kern w:val="0"/>
                <w:sz w:val="20"/>
                <w:szCs w:val="20"/>
                <w:lang w:bidi="ar"/>
              </w:rPr>
            </w:pPr>
            <w:r>
              <w:rPr>
                <w:rFonts w:hint="eastAsia" w:ascii="宋体" w:hAnsi="宋体" w:eastAsia="宋体" w:cs="宋体"/>
                <w:b/>
                <w:bCs/>
                <w:color w:val="000000"/>
                <w:kern w:val="0"/>
                <w:sz w:val="20"/>
                <w:szCs w:val="20"/>
                <w:lang w:bidi="ar"/>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92" w:hRule="atLeast"/>
          <w:jc w:val="center"/>
        </w:trPr>
        <w:tc>
          <w:tcPr>
            <w:tcW w:w="1250"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决策</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（20.00分）</w:t>
            </w:r>
          </w:p>
        </w:tc>
        <w:tc>
          <w:tcPr>
            <w:tcW w:w="1289"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项目立项</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立项依据充分性（4.00分）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①项目立项不符合国家法律法规、国民经济发展规划和相关政策，扣1分；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②项目立项是否符合行业发展规划和政策要求扣1分；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③项目立项与部门职责范围不相符，不属于部门履职所需扣0.5分；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④项目不属于公共财政支持范围，不符合中央、地方事权支出责任划分原则扣1分；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⑤项目与相关部门同类项目或部门内部相关项目重复扣0.5分。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3" w:hRule="atLeast"/>
          <w:jc w:val="center"/>
        </w:trPr>
        <w:tc>
          <w:tcPr>
            <w:tcW w:w="1250" w:type="dxa"/>
            <w:vMerge w:val="continue"/>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p>
        </w:tc>
        <w:tc>
          <w:tcPr>
            <w:tcW w:w="1289" w:type="dxa"/>
            <w:vMerge w:val="continue"/>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立项程序规范性（3.00分）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①项目未按照规定的程序申请设立扣1分；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②审批文件、材料是不符合相关要求扣1分；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③事前未已经过必要的可行性研究、专家论证、风险评估、绩效评估、集体决策扣1分。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7" w:hRule="atLeast"/>
          <w:jc w:val="center"/>
        </w:trPr>
        <w:tc>
          <w:tcPr>
            <w:tcW w:w="1250" w:type="dxa"/>
            <w:vMerge w:val="continue"/>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p>
        </w:tc>
        <w:tc>
          <w:tcPr>
            <w:tcW w:w="1289"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绩效目标</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绩效目标合理性（4.00分）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①项目无绩效目标扣4分；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②项目绩效目标与实际工作内容相关性不强扣1分；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③项目预期产出效益和效果不符合正常的业绩水平扣1分；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④与预算确定的项目投资额或资金量不匹配扣1分。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1"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绩效指标明确性（3.00分）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①未将项目绩效目标细化分解为具体的绩效指标的扣1分；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②未通过清晰、可衡量的指标值予以体现扣1分；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③与项目目标任务数或计划数不相对应扣1分。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9"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资金投入</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（6.00分）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预算编制科学性（4.00分）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①预算编制未经过科学论证扣1分；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②预算内容与项目内容不匹配扣1分；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③预算额度测算依据不充分，未按照标准编制扣1分；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④预算确定的项目投资额或资金量与工作任务不相匹配扣1分。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5"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资金分配合理性（2.00分）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①预算资金分配依据不充分扣1分；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②资金分配额度不合理，与项目单位或地方实际不相适应扣1分。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0" w:hRule="atLeast"/>
          <w:jc w:val="center"/>
        </w:trPr>
        <w:tc>
          <w:tcPr>
            <w:tcW w:w="1250"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过程</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（20.00分）</w:t>
            </w:r>
          </w:p>
        </w:tc>
        <w:tc>
          <w:tcPr>
            <w:tcW w:w="1289"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资金管理（12.00分）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资金到位率（4.00分）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100%≥资金到位率＞90%，得4分；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90%≥资金到位率＞80%，得3分；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80%≥资金到位率＞70%，得2分；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70%≥资金到位率，得0分。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5"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预算执行率（4分）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100%≥预算执行率＞95%，得4分；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90%≥预算执行率＞80%，得3分；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80%≥预算执行率＞70%，得2分；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70%≥预算执行率＞60%，得1分；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预算执行率＜60%，0分。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0"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资金使用合规性（4.00分）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资金使用出现不合规处，每发现1处扣1分。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1"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组织实施</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（8.00分）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管理制度健全性（2.00分）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①未制定或具有相应的财务制度扣0.5分，未制定或具有相应的业务管理制度扣0.5分；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②财务管理制度是否出现不合法、不合规、不完整的扣0.5分，业务管理制度出现不合法、不合规、不完整的扣0.5分。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9"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制度执行有效性（4.00分）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①未遵守相关法律法规和相关管理规定扣1分；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②项目调整及支出调整手续不完备扣1分；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③项目合同书、验收报告、技术鉴定等资料不齐全并未及时归档扣1分；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④项目实施的人员条件、场地设备、信息支撑等未落实到位扣1分。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9"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绩效管理（2.00分）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①完成项目自评得1分；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②完成工作总结和调整应用得1分</w:t>
            </w:r>
            <w:r>
              <w:rPr>
                <w:rStyle w:val="29"/>
                <w:rFonts w:hint="default"/>
                <w:sz w:val="20"/>
                <w:szCs w:val="20"/>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3" w:hRule="atLeast"/>
          <w:jc w:val="center"/>
        </w:trPr>
        <w:tc>
          <w:tcPr>
            <w:tcW w:w="1250"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产出</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（30.00分）</w:t>
            </w:r>
          </w:p>
        </w:tc>
        <w:tc>
          <w:tcPr>
            <w:tcW w:w="1289"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产出数量</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（8.00分）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实际完成率（8.00分）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100%≥实际完成率＞90%，得8分；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90%≥实际完成率＞80%，得6分；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80%≥实际完成率，得4分。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0"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产出质量</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（8.00分）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质量达标率（8.00分）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100%≥质量达标率＞95%，得8分；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95%≥质量达标率＞90%，得6分；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90%≥质量达标率＞85%，得4分；</w:t>
            </w:r>
          </w:p>
          <w:p>
            <w:pPr>
              <w:widowControl/>
              <w:spacing w:line="240" w:lineRule="auto"/>
              <w:ind w:firstLine="0" w:firstLineChars="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85%≥质量达标率，得1分。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8"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产出时效</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完成及时性（7.00分）</w:t>
            </w:r>
          </w:p>
        </w:tc>
        <w:tc>
          <w:tcPr>
            <w:tcW w:w="4140" w:type="dxa"/>
            <w:shd w:val="clear" w:color="auto" w:fill="auto"/>
            <w:vAlign w:val="center"/>
          </w:tcPr>
          <w:p>
            <w:pPr>
              <w:widowControl/>
              <w:spacing w:line="240" w:lineRule="auto"/>
              <w:ind w:firstLine="0" w:firstLineChars="0"/>
              <w:jc w:val="left"/>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在计划范围内完工的，得7分；</w:t>
            </w:r>
          </w:p>
          <w:p>
            <w:pPr>
              <w:widowControl/>
              <w:spacing w:line="240" w:lineRule="auto"/>
              <w:ind w:firstLine="0" w:firstLineChars="0"/>
              <w:jc w:val="left"/>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超过计划工期在20%范围内的，得5分；</w:t>
            </w:r>
          </w:p>
          <w:p>
            <w:pPr>
              <w:widowControl/>
              <w:spacing w:line="240" w:lineRule="auto"/>
              <w:ind w:firstLine="0" w:firstLineChars="0"/>
              <w:jc w:val="left"/>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超过计划工期20%的，得3分。</w:t>
            </w:r>
          </w:p>
          <w:p>
            <w:pPr>
              <w:widowControl/>
              <w:spacing w:line="240" w:lineRule="auto"/>
              <w:ind w:firstLine="0" w:firstLineChars="0"/>
              <w:jc w:val="left"/>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（不可抗力因素除外）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产出效果</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产出效果</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（7.00分）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1、与规划设计一致，得2分；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2、符合产业现代化需要，得2分；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3、安防合规、适用、形象美观，得3分。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5" w:hRule="atLeast"/>
          <w:jc w:val="center"/>
        </w:trPr>
        <w:tc>
          <w:tcPr>
            <w:tcW w:w="1250"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效益</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（30.00分）</w:t>
            </w:r>
          </w:p>
        </w:tc>
        <w:tc>
          <w:tcPr>
            <w:tcW w:w="1289" w:type="dxa"/>
            <w:vMerge w:val="restart"/>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项目效益（30.00分）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社会效益</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（5.00分）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社会效益显著，达到预期目标，得5分；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社会效益良好，基本达到预期目标，得3分；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社会效益较差，未达到预期目标，得0分。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0"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经济效益</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（5.00分）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经济效益显著，达到预期目标，得5分；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经济效益良好，基本达到预期目标，得3分；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经济效益较差，未达到预期目标，得0分。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生态效益</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（5.00分）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生态效益显著，达到预期目标，得5分；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生态效益良好，基本达到预期目标，得3分；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生态效益较差，未达到预期目标，得0分。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可持续性</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（5.00分）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可持续性较强，达到预期目标，得5分；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可持续性一般，基本达到预期目标，得3分；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可持续性较差，未达到预期目标，得0分。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7" w:hRule="atLeast"/>
          <w:jc w:val="center"/>
        </w:trPr>
        <w:tc>
          <w:tcPr>
            <w:tcW w:w="1250"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289" w:type="dxa"/>
            <w:vMerge w:val="continue"/>
            <w:shd w:val="clear" w:color="auto" w:fill="auto"/>
            <w:vAlign w:val="center"/>
          </w:tcPr>
          <w:p>
            <w:pPr>
              <w:spacing w:line="240" w:lineRule="auto"/>
              <w:ind w:firstLine="0" w:firstLineChars="0"/>
              <w:jc w:val="center"/>
              <w:rPr>
                <w:rFonts w:hint="eastAsia" w:ascii="宋体" w:hAnsi="宋体" w:eastAsia="宋体" w:cs="宋体"/>
                <w:color w:val="000000"/>
                <w:sz w:val="20"/>
                <w:szCs w:val="20"/>
              </w:rPr>
            </w:pP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满意度</w:t>
            </w:r>
          </w:p>
          <w:p>
            <w:pPr>
              <w:widowControl/>
              <w:spacing w:line="240" w:lineRule="auto"/>
              <w:ind w:firstLine="0" w:firstLineChars="0"/>
              <w:jc w:val="center"/>
              <w:textAlignment w:val="center"/>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（10.00分）</w:t>
            </w:r>
          </w:p>
        </w:tc>
        <w:tc>
          <w:tcPr>
            <w:tcW w:w="4140" w:type="dxa"/>
            <w:shd w:val="clear" w:color="auto" w:fill="auto"/>
            <w:vAlign w:val="center"/>
          </w:tcPr>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满意度调查评分：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满意度调查评分≥95分，得10分；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95分＞满意度调查评分≥80分，得9分；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80分＞满意度调查评分≥70分，得6分；</w:t>
            </w:r>
          </w:p>
          <w:p>
            <w:pPr>
              <w:widowControl/>
              <w:spacing w:line="240" w:lineRule="auto"/>
              <w:ind w:firstLine="0" w:firstLineChars="0"/>
              <w:jc w:val="left"/>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70分＞满意度调查评分≥60分，得4分；</w:t>
            </w:r>
          </w:p>
          <w:p>
            <w:pPr>
              <w:widowControl/>
              <w:spacing w:line="240" w:lineRule="auto"/>
              <w:ind w:firstLine="0" w:firstLineChars="0"/>
              <w:jc w:val="left"/>
              <w:textAlignment w:val="bottom"/>
              <w:rPr>
                <w:rFonts w:hint="eastAsia" w:ascii="宋体" w:hAnsi="宋体" w:eastAsia="宋体" w:cs="宋体"/>
                <w:color w:val="000000"/>
                <w:sz w:val="20"/>
                <w:szCs w:val="20"/>
              </w:rPr>
            </w:pPr>
            <w:r>
              <w:rPr>
                <w:rFonts w:hint="eastAsia" w:ascii="宋体" w:hAnsi="宋体" w:eastAsia="宋体" w:cs="宋体"/>
                <w:color w:val="000000"/>
                <w:kern w:val="0"/>
                <w:sz w:val="20"/>
                <w:szCs w:val="20"/>
                <w:lang w:bidi="ar"/>
              </w:rPr>
              <w:t>60分＞满意度调查评分，得2分。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1" w:hRule="atLeast"/>
          <w:jc w:val="center"/>
        </w:trPr>
        <w:tc>
          <w:tcPr>
            <w:tcW w:w="1250" w:type="dxa"/>
            <w:shd w:val="clear" w:color="auto" w:fill="auto"/>
            <w:vAlign w:val="center"/>
          </w:tcPr>
          <w:p>
            <w:pPr>
              <w:widowControl/>
              <w:spacing w:line="240" w:lineRule="auto"/>
              <w:ind w:firstLine="0" w:firstLineChars="0"/>
              <w:jc w:val="center"/>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总分</w:t>
            </w:r>
          </w:p>
        </w:tc>
        <w:tc>
          <w:tcPr>
            <w:tcW w:w="1289" w:type="dxa"/>
            <w:shd w:val="clear" w:color="auto" w:fill="auto"/>
            <w:vAlign w:val="center"/>
          </w:tcPr>
          <w:p>
            <w:pPr>
              <w:widowControl/>
              <w:spacing w:line="240" w:lineRule="auto"/>
              <w:ind w:firstLine="0" w:firstLineChars="0"/>
              <w:jc w:val="center"/>
              <w:textAlignment w:val="bottom"/>
              <w:rPr>
                <w:rFonts w:hint="eastAsia" w:ascii="宋体" w:hAnsi="宋体" w:eastAsia="宋体" w:cs="宋体"/>
                <w:color w:val="000000"/>
                <w:kern w:val="0"/>
                <w:sz w:val="20"/>
                <w:szCs w:val="20"/>
                <w:lang w:bidi="ar"/>
              </w:rPr>
            </w:pPr>
            <w:r>
              <w:rPr>
                <w:rFonts w:hint="eastAsia" w:ascii="宋体" w:hAnsi="宋体" w:eastAsia="宋体" w:cs="宋体"/>
                <w:color w:val="000000"/>
                <w:kern w:val="0"/>
                <w:sz w:val="20"/>
                <w:szCs w:val="20"/>
                <w:lang w:bidi="ar"/>
              </w:rPr>
              <w:t>100.00分</w:t>
            </w:r>
          </w:p>
        </w:tc>
        <w:tc>
          <w:tcPr>
            <w:tcW w:w="1321" w:type="dxa"/>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kern w:val="0"/>
                <w:sz w:val="20"/>
                <w:szCs w:val="20"/>
                <w:lang w:bidi="ar"/>
              </w:rPr>
            </w:pPr>
          </w:p>
        </w:tc>
        <w:tc>
          <w:tcPr>
            <w:tcW w:w="4140" w:type="dxa"/>
            <w:shd w:val="clear" w:color="auto" w:fill="auto"/>
            <w:vAlign w:val="center"/>
          </w:tcPr>
          <w:p>
            <w:pPr>
              <w:widowControl/>
              <w:spacing w:line="240" w:lineRule="auto"/>
              <w:ind w:firstLine="400"/>
              <w:jc w:val="center"/>
              <w:textAlignment w:val="center"/>
              <w:rPr>
                <w:rFonts w:hint="eastAsia" w:ascii="宋体" w:hAnsi="宋体" w:eastAsia="宋体" w:cs="宋体"/>
                <w:color w:val="000000"/>
                <w:kern w:val="0"/>
                <w:sz w:val="20"/>
                <w:szCs w:val="20"/>
                <w:lang w:bidi="ar"/>
              </w:rPr>
            </w:pPr>
          </w:p>
        </w:tc>
      </w:tr>
    </w:tbl>
    <w:p>
      <w:pPr>
        <w:pStyle w:val="5"/>
        <w:ind w:firstLine="640"/>
        <w:rPr>
          <w:rFonts w:hint="eastAsia" w:ascii="仿宋" w:hAnsi="仿宋" w:cs="仿宋"/>
          <w:b w:val="0"/>
          <w:bCs w:val="0"/>
        </w:rPr>
      </w:pPr>
      <w:r>
        <w:rPr>
          <w:rFonts w:hint="eastAsia" w:ascii="仿宋" w:hAnsi="仿宋" w:cs="仿宋"/>
          <w:b w:val="0"/>
          <w:bCs w:val="0"/>
        </w:rPr>
        <w:t>（3）评价等级</w:t>
      </w:r>
    </w:p>
    <w:p>
      <w:pPr>
        <w:ind w:firstLine="640"/>
        <w:rPr>
          <w:rFonts w:hint="eastAsia" w:ascii="仿宋" w:hAnsi="仿宋" w:cs="仿宋"/>
        </w:rPr>
      </w:pPr>
      <w:r>
        <w:rPr>
          <w:rFonts w:hint="eastAsia" w:ascii="仿宋" w:hAnsi="仿宋" w:cs="仿宋"/>
        </w:rPr>
        <w:t>绩效评价结果量化为百分制综合评分，并按照综合评分进行分级。综合评分为90.00分（含）以上的为“优”，80.00分（含）至90.00分的为“良”，60.00分（含）至80.00分的为“中”，60.00分以下的为“差”。</w:t>
      </w:r>
      <w:bookmarkStart w:id="464" w:name="_Toc23017"/>
    </w:p>
    <w:p>
      <w:pPr>
        <w:pStyle w:val="3"/>
        <w:ind w:firstLine="643"/>
      </w:pPr>
      <w:bookmarkStart w:id="465" w:name="_Toc30911"/>
      <w:r>
        <w:rPr>
          <w:rFonts w:hint="eastAsia"/>
        </w:rPr>
        <w:t>（三）本次绩效评价的程序</w:t>
      </w:r>
      <w:bookmarkEnd w:id="464"/>
      <w:bookmarkEnd w:id="465"/>
    </w:p>
    <w:p>
      <w:pPr>
        <w:pStyle w:val="4"/>
        <w:ind w:firstLine="643"/>
        <w:rPr>
          <w:rFonts w:hint="eastAsia"/>
        </w:rPr>
      </w:pPr>
      <w:r>
        <w:rPr>
          <w:rFonts w:hint="eastAsia"/>
        </w:rPr>
        <w:t>1.进驻单位，初步沟通</w:t>
      </w:r>
    </w:p>
    <w:p>
      <w:pPr>
        <w:ind w:firstLine="640"/>
        <w:rPr>
          <w:rFonts w:hint="eastAsia" w:ascii="仿宋" w:hAnsi="仿宋" w:cs="仿宋"/>
        </w:rPr>
      </w:pPr>
      <w:r>
        <w:rPr>
          <w:rFonts w:hint="eastAsia" w:ascii="仿宋" w:hAnsi="仿宋" w:cs="仿宋"/>
        </w:rPr>
        <w:t>2024年6月15日，绩效评价工作组按委托方要求进驻被评价单位，参与现场评价工作会议，听取被评价单位遂宁天一投资集团有限公司对本次评价对象的情况介绍，包括目标设定及完成程度，组织管理制度建立健全及落实情况，预算支出执行情况，财务管理状况，资产管理情况和预算支出执行产生的效益效果等。初步了解项目整体进展情况并制定本次绩效评价工作实施方案。</w:t>
      </w:r>
    </w:p>
    <w:p>
      <w:pPr>
        <w:pStyle w:val="4"/>
        <w:ind w:firstLine="643"/>
        <w:rPr>
          <w:rFonts w:hint="eastAsia"/>
        </w:rPr>
      </w:pPr>
      <w:r>
        <w:rPr>
          <w:rFonts w:hint="eastAsia"/>
        </w:rPr>
        <w:t>2.收集资料，复核分析</w:t>
      </w:r>
    </w:p>
    <w:p>
      <w:pPr>
        <w:ind w:firstLine="640"/>
      </w:pPr>
      <w:r>
        <w:rPr>
          <w:rFonts w:hint="eastAsia"/>
        </w:rPr>
        <w:t>对被评价单位提供的有关财务资料进行查阅，核实其真实性。包括：明细账和记账凭证核对，记账凭证和后附附件的核对，检查账务处理的合规性；检查专项资金收支数据，与财务资料比对复核，核实资金下达与资金拨付手续，核实项目公示信息；检查产业项目各项管理制度设置的完善性和合理性，落实制度的实际运行状况；查阅项目招投标文件，审核项目招投标程序是否合法合规，应通过政府采购的项目是否遵照执行；检查各项收支审批程序、核实资金是否按来源和预算用途规范管理和运用；检查过程项目进度和完工资料，核实项目产出的数量、质量，查看项目质量检验和验收情况。</w:t>
      </w:r>
    </w:p>
    <w:p>
      <w:pPr>
        <w:pStyle w:val="4"/>
        <w:ind w:firstLine="643"/>
        <w:rPr>
          <w:rFonts w:hint="eastAsia"/>
        </w:rPr>
      </w:pPr>
      <w:r>
        <w:rPr>
          <w:rFonts w:hint="eastAsia"/>
        </w:rPr>
        <w:t>3.实地查看，现场评价</w:t>
      </w:r>
    </w:p>
    <w:p>
      <w:pPr>
        <w:ind w:firstLine="640"/>
        <w:rPr>
          <w:rFonts w:hint="eastAsia" w:ascii="仿宋" w:hAnsi="仿宋" w:cs="仿宋"/>
        </w:rPr>
      </w:pPr>
      <w:r>
        <w:rPr>
          <w:rFonts w:hint="eastAsia" w:ascii="仿宋" w:hAnsi="仿宋" w:cs="仿宋"/>
        </w:rPr>
        <w:t>2024年6月24日，评价组结合几日来翻阅的项目资料和财务账目情况，在项目单位带领下到国有资本金支出项目现场，实地查看项目的实际状态和规模及运营现状，核实各个项目实际完成情况，查看各项资产状态和管理维护情况，查验项目实施的真实性和规范性。检验已完成项目的运行效果，通过访谈与实地查看，了解项目运作模式和实际运营情况。</w:t>
      </w:r>
    </w:p>
    <w:p>
      <w:pPr>
        <w:pStyle w:val="4"/>
        <w:ind w:firstLine="643"/>
        <w:rPr>
          <w:rFonts w:hint="eastAsia"/>
        </w:rPr>
      </w:pPr>
      <w:r>
        <w:rPr>
          <w:rFonts w:hint="eastAsia"/>
        </w:rPr>
        <w:t>4.发放调查问卷</w:t>
      </w:r>
    </w:p>
    <w:p>
      <w:pPr>
        <w:ind w:firstLine="640"/>
      </w:pPr>
      <w:r>
        <w:rPr>
          <w:rFonts w:hint="eastAsia"/>
        </w:rPr>
        <w:t>对项目实施情况公众满意度情况进行调查，对具有明确受益对象的评价项目，根据需要收集的评价数据科学设置调查问卷并认真做好调查问卷的发放与回收工作。对回收问卷进行科学统计分析，并通过统计结果分析原因，评价其对项目绩效成果的影响程度。</w:t>
      </w:r>
    </w:p>
    <w:p>
      <w:pPr>
        <w:pStyle w:val="4"/>
        <w:ind w:firstLine="643"/>
        <w:rPr>
          <w:rFonts w:hint="eastAsia"/>
        </w:rPr>
      </w:pPr>
      <w:r>
        <w:rPr>
          <w:rFonts w:hint="eastAsia"/>
        </w:rPr>
        <w:t>5.综合分析，客观评价</w:t>
      </w:r>
    </w:p>
    <w:p>
      <w:pPr>
        <w:ind w:firstLine="640"/>
      </w:pPr>
      <w:bookmarkStart w:id="466" w:name="_Toc129682489"/>
      <w:bookmarkStart w:id="467" w:name="_Toc129683100"/>
      <w:r>
        <w:rPr>
          <w:rFonts w:hint="eastAsia"/>
        </w:rPr>
        <w:t>根据核实的情况，独立、客观、公正地开展现场评价工作，逐项分析评价项目目标设置情况；项目决策情况；资金管理情况；项目申报、评审情况；资金下达情况；资金使用情况；绩效目标产出完成情况；项目资金使用绩效情况。对各项指标对比分析和归纳总结，初步形成项目综合评价。</w:t>
      </w:r>
    </w:p>
    <w:p>
      <w:pPr>
        <w:pStyle w:val="4"/>
        <w:ind w:firstLine="643"/>
        <w:rPr>
          <w:rFonts w:hint="eastAsia"/>
        </w:rPr>
      </w:pPr>
      <w:r>
        <w:rPr>
          <w:rFonts w:hint="eastAsia"/>
        </w:rPr>
        <w:t>6.绩效评价报告</w:t>
      </w:r>
      <w:bookmarkEnd w:id="466"/>
      <w:bookmarkEnd w:id="467"/>
    </w:p>
    <w:p>
      <w:pPr>
        <w:pStyle w:val="5"/>
        <w:ind w:firstLine="640"/>
        <w:rPr>
          <w:rFonts w:hint="eastAsia" w:ascii="仿宋" w:hAnsi="仿宋" w:cs="仿宋"/>
          <w:b w:val="0"/>
          <w:bCs w:val="0"/>
        </w:rPr>
      </w:pPr>
      <w:r>
        <w:rPr>
          <w:rFonts w:hint="eastAsia" w:ascii="仿宋" w:hAnsi="仿宋" w:cs="仿宋"/>
          <w:b w:val="0"/>
          <w:bCs w:val="0"/>
        </w:rPr>
        <w:t>（1）撰写绩效评价报告</w:t>
      </w:r>
    </w:p>
    <w:p>
      <w:pPr>
        <w:ind w:firstLine="640"/>
      </w:pPr>
      <w:r>
        <w:rPr>
          <w:rFonts w:hint="eastAsia"/>
        </w:rPr>
        <w:t>绩效评价报告的具体格式由财政部门统一制定，绩效评价人员按照规定的文本格式和协议要求撰写绩效评价报告，做到依据充分、数据真实、内容完整、客观公正、结论明确、建议可行。</w:t>
      </w:r>
    </w:p>
    <w:p>
      <w:pPr>
        <w:pStyle w:val="5"/>
        <w:ind w:firstLine="640"/>
        <w:rPr>
          <w:rFonts w:hint="eastAsia" w:ascii="仿宋" w:hAnsi="仿宋" w:cs="仿宋"/>
          <w:b w:val="0"/>
          <w:bCs w:val="0"/>
        </w:rPr>
      </w:pPr>
      <w:r>
        <w:rPr>
          <w:rFonts w:hint="eastAsia" w:ascii="仿宋" w:hAnsi="仿宋" w:cs="仿宋"/>
          <w:b w:val="0"/>
          <w:bCs w:val="0"/>
        </w:rPr>
        <w:t>（2）绩效评价报告征求意见</w:t>
      </w:r>
    </w:p>
    <w:p>
      <w:pPr>
        <w:ind w:firstLine="640"/>
      </w:pPr>
      <w:r>
        <w:rPr>
          <w:rFonts w:hint="eastAsia"/>
        </w:rPr>
        <w:t>绩效评价报告初稿完成后，由遂宁高新区财政金融局牵头，与被评价单位交换意见，根据反馈的有效意见对评价报告进行修改。如对评价报告存在意见分歧，经协商仍不能取得一致的，绩效评价组在出具正式绩效评价报告时须同时提交被评价单位的不同意见。</w:t>
      </w:r>
    </w:p>
    <w:p>
      <w:pPr>
        <w:pStyle w:val="5"/>
        <w:ind w:firstLine="640"/>
        <w:rPr>
          <w:rFonts w:hint="eastAsia" w:ascii="仿宋" w:hAnsi="仿宋" w:cs="仿宋"/>
          <w:b w:val="0"/>
          <w:bCs w:val="0"/>
        </w:rPr>
      </w:pPr>
      <w:r>
        <w:rPr>
          <w:rFonts w:hint="eastAsia" w:ascii="仿宋" w:hAnsi="仿宋" w:cs="仿宋"/>
          <w:b w:val="0"/>
          <w:bCs w:val="0"/>
        </w:rPr>
        <w:t>（3）提交绩效评价报告</w:t>
      </w:r>
    </w:p>
    <w:p>
      <w:pPr>
        <w:ind w:firstLine="640"/>
        <w:rPr>
          <w:rFonts w:hint="eastAsia" w:ascii="仿宋" w:hAnsi="仿宋" w:cs="仿宋"/>
        </w:rPr>
      </w:pPr>
      <w:r>
        <w:rPr>
          <w:rFonts w:hint="eastAsia" w:ascii="仿宋" w:hAnsi="仿宋" w:cs="仿宋"/>
        </w:rPr>
        <w:t>出具遂宁高新区印刷科技产业园及基础设施建设项目2023年度使用国有资本经营预算项目支出绩效评价报告。</w:t>
      </w:r>
    </w:p>
    <w:p>
      <w:pPr>
        <w:pStyle w:val="2"/>
        <w:spacing w:before="0" w:after="0"/>
        <w:ind w:firstLine="640"/>
      </w:pPr>
      <w:bookmarkStart w:id="468" w:name="_Toc14310"/>
      <w:bookmarkStart w:id="469" w:name="_Toc24439"/>
      <w:bookmarkStart w:id="470" w:name="_Toc14452"/>
      <w:r>
        <w:rPr>
          <w:rFonts w:hint="eastAsia"/>
        </w:rPr>
        <w:t>三、综合评价情况及评价结论（附相关评分表）</w:t>
      </w:r>
      <w:bookmarkEnd w:id="468"/>
      <w:bookmarkEnd w:id="469"/>
      <w:bookmarkEnd w:id="470"/>
    </w:p>
    <w:p>
      <w:pPr>
        <w:ind w:firstLine="640"/>
        <w:rPr>
          <w:rFonts w:hint="eastAsia" w:ascii="仿宋" w:hAnsi="仿宋" w:cs="仿宋"/>
          <w:sz w:val="30"/>
          <w:szCs w:val="30"/>
        </w:rPr>
      </w:pPr>
      <w:r>
        <w:rPr>
          <w:rFonts w:hint="eastAsia" w:ascii="仿宋" w:hAnsi="仿宋" w:cs="仿宋"/>
        </w:rPr>
        <w:t>为了全面、客观、有效地进行绩效评价，评价工作小组深入遂宁天一投资集团有限公司与工作人员进行沟通座谈并充分了解项目情况，查阅项目档案，收集相关信息资料，采取定性和定量分析方法，通过对4大类21项指标，69个</w:t>
      </w:r>
      <w:r>
        <w:rPr>
          <w:rFonts w:hint="eastAsia" w:ascii="仿宋" w:hAnsi="仿宋" w:cs="仿宋"/>
          <w:sz w:val="30"/>
          <w:szCs w:val="30"/>
        </w:rPr>
        <w:t>子评价项逐一评价，对遂宁高新区印刷科技产业园及基础设施建设2023年使用国有资本支出项目的立项程序、绩效目标、资金落实、组织实施、资金管理、项目产出和项目效益等方面进行综合评价。</w:t>
      </w:r>
    </w:p>
    <w:p>
      <w:pPr>
        <w:ind w:firstLine="640"/>
        <w:rPr>
          <w:rFonts w:hint="eastAsia" w:ascii="仿宋" w:hAnsi="仿宋" w:cs="仿宋"/>
        </w:rPr>
      </w:pPr>
      <w:r>
        <w:rPr>
          <w:rFonts w:hint="eastAsia" w:ascii="仿宋" w:hAnsi="仿宋" w:cs="仿宋"/>
        </w:rPr>
        <w:t>通过查阅、分析和现场调研，经过综合分析，遂宁高新区印刷科技产业园及基础设施建设项目，符合当地经济社会发展需要和政策要求，项目建设内容与项目单位职责相契合，但是项目立项之初目标性不强，没有明确资金使用项目和使用目标，未设定绩效目标表，未能突出结果导向。</w:t>
      </w:r>
    </w:p>
    <w:p>
      <w:pPr>
        <w:ind w:firstLine="640"/>
        <w:rPr>
          <w:rFonts w:hint="eastAsia" w:ascii="仿宋" w:hAnsi="仿宋" w:cs="仿宋"/>
        </w:rPr>
      </w:pPr>
      <w:r>
        <w:rPr>
          <w:rFonts w:hint="eastAsia" w:ascii="仿宋" w:hAnsi="仿宋" w:cs="仿宋"/>
        </w:rPr>
        <w:t>遂宁天一投资集团有限公司作为国有资金420.00万元的实施单位和使用单位，在资金使用完成后，未做绩效自评和相关工作总结，绩效观念不强，绩效管理缺位。</w:t>
      </w:r>
    </w:p>
    <w:p>
      <w:pPr>
        <w:ind w:firstLine="640"/>
        <w:rPr>
          <w:rFonts w:hint="eastAsia" w:ascii="仿宋" w:hAnsi="仿宋" w:cs="仿宋"/>
        </w:rPr>
      </w:pPr>
      <w:r>
        <w:rPr>
          <w:rFonts w:hint="eastAsia" w:ascii="仿宋" w:hAnsi="仿宋" w:cs="仿宋"/>
        </w:rPr>
        <w:t>截至评价日，420.00万元资金指标已经全部下达，相关资金全部完成支出。资金使用合规，专款专用，未发现违规使用的情况。依据项目规划和合同约定，遂宁高新区印刷科技产业园及基础设施建设项目计划竣工日期为2023年12月26日，目前本项目工程大部分已经完成，经绩效组人员项目现场查看及对相关资料及账表凭证的查看，项目工程已接近完工，其中厂房、研发房、货运通道等主体结构施工完成，正在进行室内外装饰装修及附属设施施工。实际工程进度已相对滞后，产出时效不佳。已完成工程质量基本达标。因项目还未完成整体全部建设内容，本项目已经初步具备一定的社会和经济效益，从长久来看，本项目将随着产业园区的建设完成和运营持续发挥效益。</w:t>
      </w:r>
    </w:p>
    <w:p>
      <w:pPr>
        <w:ind w:firstLine="640"/>
        <w:rPr>
          <w:rFonts w:hint="eastAsia" w:ascii="仿宋" w:hAnsi="仿宋" w:cs="仿宋"/>
        </w:rPr>
      </w:pPr>
      <w:r>
        <w:rPr>
          <w:rFonts w:hint="eastAsia" w:ascii="仿宋" w:hAnsi="仿宋" w:cs="仿宋"/>
        </w:rPr>
        <w:t>经绩效评价组从决策指标、管理指标、产出指标、效益指标四方面进行综合评议，本项目绩效评价综合评分为90.00分，综合绩效评定结论为“优”。综合评价得分情况如下：</w:t>
      </w:r>
    </w:p>
    <w:p>
      <w:pPr>
        <w:keepNext w:val="0"/>
        <w:keepLines w:val="0"/>
        <w:pageBreakBefore w:val="0"/>
        <w:widowControl w:val="0"/>
        <w:kinsoku/>
        <w:wordWrap/>
        <w:overflowPunct/>
        <w:topLinePunct w:val="0"/>
        <w:autoSpaceDE/>
        <w:autoSpaceDN/>
        <w:bidi w:val="0"/>
        <w:adjustRightInd/>
        <w:snapToGrid/>
        <w:spacing w:after="156" w:afterLines="50"/>
        <w:ind w:firstLine="0" w:firstLineChars="0"/>
        <w:jc w:val="center"/>
        <w:textAlignment w:val="auto"/>
        <w:rPr>
          <w:rFonts w:hint="eastAsia" w:ascii="宋体" w:hAnsi="宋体" w:eastAsia="宋体" w:cs="宋体"/>
          <w:b/>
          <w:bCs/>
          <w:iCs/>
          <w:sz w:val="24"/>
        </w:rPr>
      </w:pPr>
      <w:r>
        <w:rPr>
          <w:rFonts w:hint="eastAsia" w:ascii="宋体" w:hAnsi="宋体" w:eastAsia="宋体" w:cs="宋体"/>
          <w:b/>
          <w:bCs/>
          <w:iCs/>
          <w:sz w:val="24"/>
        </w:rPr>
        <w:t>综合评价得分情况表</w:t>
      </w:r>
    </w:p>
    <w:tbl>
      <w:tblPr>
        <w:tblStyle w:val="17"/>
        <w:tblW w:w="8300" w:type="dxa"/>
        <w:tblInd w:w="0" w:type="dxa"/>
        <w:tblLayout w:type="autofit"/>
        <w:tblCellMar>
          <w:top w:w="0" w:type="dxa"/>
          <w:left w:w="108" w:type="dxa"/>
          <w:bottom w:w="0" w:type="dxa"/>
          <w:right w:w="108" w:type="dxa"/>
        </w:tblCellMar>
      </w:tblPr>
      <w:tblGrid>
        <w:gridCol w:w="2075"/>
        <w:gridCol w:w="2075"/>
        <w:gridCol w:w="2075"/>
        <w:gridCol w:w="2075"/>
      </w:tblGrid>
      <w:tr>
        <w:tblPrEx>
          <w:tblCellMar>
            <w:top w:w="0" w:type="dxa"/>
            <w:left w:w="108" w:type="dxa"/>
            <w:bottom w:w="0" w:type="dxa"/>
            <w:right w:w="108" w:type="dxa"/>
          </w:tblCellMar>
        </w:tblPrEx>
        <w:trPr>
          <w:trHeight w:val="551" w:hRule="exact"/>
        </w:trPr>
        <w:tc>
          <w:tcPr>
            <w:tcW w:w="207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一级指标</w:t>
            </w:r>
          </w:p>
        </w:tc>
        <w:tc>
          <w:tcPr>
            <w:tcW w:w="207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分值</w:t>
            </w:r>
          </w:p>
        </w:tc>
        <w:tc>
          <w:tcPr>
            <w:tcW w:w="207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得分</w:t>
            </w:r>
          </w:p>
        </w:tc>
        <w:tc>
          <w:tcPr>
            <w:tcW w:w="207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得分率</w:t>
            </w:r>
          </w:p>
        </w:tc>
      </w:tr>
      <w:tr>
        <w:tblPrEx>
          <w:tblCellMar>
            <w:top w:w="0" w:type="dxa"/>
            <w:left w:w="108" w:type="dxa"/>
            <w:bottom w:w="0" w:type="dxa"/>
            <w:right w:w="108" w:type="dxa"/>
          </w:tblCellMar>
        </w:tblPrEx>
        <w:trPr>
          <w:trHeight w:val="551" w:hRule="exact"/>
        </w:trPr>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决策</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20.00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15.00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75.00%</w:t>
            </w:r>
          </w:p>
        </w:tc>
      </w:tr>
      <w:tr>
        <w:tblPrEx>
          <w:tblCellMar>
            <w:top w:w="0" w:type="dxa"/>
            <w:left w:w="108" w:type="dxa"/>
            <w:bottom w:w="0" w:type="dxa"/>
            <w:right w:w="108" w:type="dxa"/>
          </w:tblCellMar>
        </w:tblPrEx>
        <w:trPr>
          <w:trHeight w:val="551" w:hRule="exact"/>
        </w:trPr>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过程</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20.00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18.00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90.00%</w:t>
            </w:r>
          </w:p>
        </w:tc>
      </w:tr>
      <w:tr>
        <w:tblPrEx>
          <w:tblCellMar>
            <w:top w:w="0" w:type="dxa"/>
            <w:left w:w="108" w:type="dxa"/>
            <w:bottom w:w="0" w:type="dxa"/>
            <w:right w:w="108" w:type="dxa"/>
          </w:tblCellMar>
        </w:tblPrEx>
        <w:trPr>
          <w:trHeight w:val="551" w:hRule="exact"/>
        </w:trPr>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产出</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30.00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28.00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93.33%</w:t>
            </w:r>
          </w:p>
        </w:tc>
      </w:tr>
      <w:tr>
        <w:tblPrEx>
          <w:tblCellMar>
            <w:top w:w="0" w:type="dxa"/>
            <w:left w:w="108" w:type="dxa"/>
            <w:bottom w:w="0" w:type="dxa"/>
            <w:right w:w="108" w:type="dxa"/>
          </w:tblCellMar>
        </w:tblPrEx>
        <w:trPr>
          <w:trHeight w:val="551" w:hRule="exact"/>
        </w:trPr>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效益</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30.00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29.00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color w:val="000000"/>
                <w:sz w:val="24"/>
              </w:rPr>
            </w:pPr>
            <w:r>
              <w:rPr>
                <w:rFonts w:hint="eastAsia" w:ascii="宋体" w:hAnsi="宋体" w:eastAsia="宋体" w:cs="宋体"/>
                <w:color w:val="000000"/>
                <w:kern w:val="0"/>
                <w:sz w:val="24"/>
                <w:lang w:bidi="ar"/>
              </w:rPr>
              <w:t>96.67%</w:t>
            </w:r>
          </w:p>
        </w:tc>
      </w:tr>
      <w:tr>
        <w:tblPrEx>
          <w:tblCellMar>
            <w:top w:w="0" w:type="dxa"/>
            <w:left w:w="108" w:type="dxa"/>
            <w:bottom w:w="0" w:type="dxa"/>
            <w:right w:w="108" w:type="dxa"/>
          </w:tblCellMar>
        </w:tblPrEx>
        <w:trPr>
          <w:trHeight w:val="570" w:hRule="exact"/>
        </w:trPr>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合　计</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100.00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90.00</w:t>
            </w:r>
          </w:p>
        </w:tc>
        <w:tc>
          <w:tcPr>
            <w:tcW w:w="207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color w:val="000000"/>
                <w:sz w:val="24"/>
              </w:rPr>
            </w:pPr>
            <w:r>
              <w:rPr>
                <w:rFonts w:hint="eastAsia" w:ascii="宋体" w:hAnsi="宋体" w:eastAsia="宋体" w:cs="宋体"/>
                <w:b/>
                <w:bCs/>
                <w:color w:val="000000"/>
                <w:kern w:val="0"/>
                <w:sz w:val="24"/>
                <w:lang w:bidi="ar"/>
              </w:rPr>
              <w:t>90.00%</w:t>
            </w:r>
          </w:p>
        </w:tc>
      </w:tr>
    </w:tbl>
    <w:p>
      <w:pPr>
        <w:pStyle w:val="2"/>
        <w:spacing w:before="0" w:after="0"/>
        <w:ind w:firstLine="640"/>
      </w:pPr>
      <w:bookmarkStart w:id="471" w:name="_Toc29464"/>
      <w:bookmarkStart w:id="472" w:name="_Toc27948"/>
      <w:bookmarkStart w:id="473" w:name="_Toc120303730"/>
      <w:bookmarkStart w:id="474" w:name="_Toc13974"/>
      <w:r>
        <w:rPr>
          <w:rFonts w:hint="eastAsia"/>
        </w:rPr>
        <w:t>四、绩效指标分析情况</w:t>
      </w:r>
      <w:bookmarkEnd w:id="471"/>
      <w:bookmarkEnd w:id="472"/>
      <w:bookmarkEnd w:id="473"/>
      <w:bookmarkEnd w:id="474"/>
    </w:p>
    <w:p>
      <w:pPr>
        <w:pStyle w:val="3"/>
        <w:spacing w:before="0" w:after="0"/>
        <w:ind w:firstLine="643"/>
      </w:pPr>
      <w:bookmarkStart w:id="475" w:name="_Toc19656"/>
      <w:bookmarkStart w:id="476" w:name="_Toc24555"/>
      <w:r>
        <w:rPr>
          <w:rFonts w:hint="eastAsia"/>
        </w:rPr>
        <w:t>（一）项目决策情况</w:t>
      </w:r>
      <w:bookmarkEnd w:id="475"/>
      <w:bookmarkEnd w:id="476"/>
    </w:p>
    <w:p>
      <w:pPr>
        <w:pStyle w:val="4"/>
        <w:ind w:firstLine="643"/>
        <w:rPr>
          <w:rFonts w:hint="eastAsia"/>
        </w:rPr>
      </w:pPr>
      <w:r>
        <w:rPr>
          <w:rFonts w:hint="eastAsia"/>
        </w:rPr>
        <w:t>1.项目立项（满分7.00分，评价得分6.00分）</w:t>
      </w:r>
    </w:p>
    <w:p>
      <w:pPr>
        <w:widowControl/>
        <w:ind w:firstLine="640"/>
        <w:rPr>
          <w:rFonts w:hint="eastAsia" w:ascii="仿宋" w:hAnsi="仿宋" w:eastAsiaTheme="minorEastAsia"/>
          <w:szCs w:val="32"/>
        </w:rPr>
      </w:pPr>
      <w:r>
        <w:rPr>
          <w:rFonts w:hint="eastAsia" w:ascii="仿宋" w:hAnsi="仿宋" w:cs="仿宋"/>
          <w:szCs w:val="32"/>
        </w:rPr>
        <w:t>遂宁高新区印刷科技产业园及基础设施建设项目</w:t>
      </w:r>
      <w:r>
        <w:rPr>
          <w:rFonts w:hint="eastAsia" w:ascii="仿宋" w:hAnsi="仿宋"/>
          <w:szCs w:val="32"/>
        </w:rPr>
        <w:t>是贯彻</w:t>
      </w:r>
      <w:r>
        <w:rPr>
          <w:rFonts w:ascii="仿宋" w:hAnsi="仿宋" w:cs="仿宋"/>
          <w:color w:val="000000"/>
          <w:kern w:val="0"/>
          <w:szCs w:val="32"/>
          <w:lang w:bidi="ar"/>
        </w:rPr>
        <w:t>《遂宁市国民经济和社会发展第十四个五</w:t>
      </w:r>
      <w:r>
        <w:rPr>
          <w:rFonts w:hint="eastAsia" w:ascii="仿宋" w:hAnsi="仿宋" w:cs="仿宋"/>
          <w:color w:val="000000"/>
          <w:kern w:val="0"/>
          <w:szCs w:val="32"/>
          <w:lang w:bidi="ar"/>
        </w:rPr>
        <w:t>年规划纲要》的文件精神的重要举措，</w:t>
      </w:r>
      <w:r>
        <w:rPr>
          <w:rFonts w:hint="eastAsia" w:ascii="仿宋" w:hAnsi="仿宋"/>
          <w:szCs w:val="32"/>
        </w:rPr>
        <w:t>项目立项内容</w:t>
      </w:r>
      <w:r>
        <w:rPr>
          <w:rFonts w:ascii="仿宋" w:hAnsi="仿宋" w:cs="仿宋"/>
          <w:color w:val="000000"/>
          <w:kern w:val="0"/>
          <w:szCs w:val="32"/>
          <w:lang w:bidi="ar"/>
        </w:rPr>
        <w:t>，</w:t>
      </w:r>
      <w:r>
        <w:rPr>
          <w:rFonts w:hint="eastAsia" w:ascii="仿宋" w:hAnsi="仿宋" w:cs="仿宋"/>
          <w:color w:val="000000"/>
          <w:kern w:val="0"/>
          <w:szCs w:val="32"/>
          <w:lang w:bidi="ar"/>
        </w:rPr>
        <w:t>与遂宁高新区的社会和经济发展水平相适应。</w:t>
      </w:r>
      <w:r>
        <w:rPr>
          <w:rFonts w:hint="eastAsia" w:ascii="仿宋" w:hAnsi="仿宋" w:cs="仿宋"/>
          <w:szCs w:val="32"/>
        </w:rPr>
        <w:t>遂宁高新区印刷科技产业园及基础设施建设项目2023年国有资本支出预算420.00元万，未根据自身的发展战略和市场需求，确定需要申请国有资本金预算支持的项目，</w:t>
      </w:r>
      <w:r>
        <w:rPr>
          <w:rFonts w:hint="eastAsia" w:ascii="仿宋" w:hAnsi="仿宋" w:cs="仿宋"/>
          <w:color w:val="000000"/>
          <w:kern w:val="0"/>
          <w:szCs w:val="32"/>
          <w:lang w:bidi="ar"/>
        </w:rPr>
        <w:t>未编制详细的项目申报材料，包括项目名称、内容、实施目标、立项依据、预算需求等。未编制国有资本经营预算支出项目计划，未经过预算审批与批复，仅有审批流程及申请流程。</w:t>
      </w:r>
      <w:r>
        <w:rPr>
          <w:rFonts w:hint="eastAsia" w:ascii="仿宋" w:hAnsi="仿宋"/>
          <w:szCs w:val="32"/>
        </w:rPr>
        <w:t>本项</w:t>
      </w:r>
      <w:r>
        <w:rPr>
          <w:rFonts w:hint="eastAsia" w:ascii="仿宋" w:hAnsi="仿宋" w:cs="仿宋"/>
          <w:color w:val="000000"/>
          <w:kern w:val="0"/>
          <w:szCs w:val="32"/>
          <w:lang w:bidi="ar"/>
        </w:rPr>
        <w:t>得6.00</w:t>
      </w:r>
      <w:r>
        <w:rPr>
          <w:rFonts w:hint="eastAsia" w:ascii="仿宋" w:hAnsi="仿宋" w:cs="仿宋"/>
          <w:szCs w:val="32"/>
        </w:rPr>
        <w:t>分</w:t>
      </w:r>
      <w:r>
        <w:rPr>
          <w:rStyle w:val="22"/>
          <w:rFonts w:hint="eastAsia" w:ascii="仿宋" w:hAnsi="仿宋" w:cs="仿宋"/>
          <w:sz w:val="32"/>
          <w:szCs w:val="32"/>
        </w:rPr>
        <w:t>。</w:t>
      </w:r>
    </w:p>
    <w:p>
      <w:pPr>
        <w:pStyle w:val="4"/>
        <w:ind w:firstLine="643"/>
        <w:rPr>
          <w:rFonts w:hint="eastAsia"/>
        </w:rPr>
      </w:pPr>
      <w:r>
        <w:rPr>
          <w:rFonts w:hint="eastAsia"/>
        </w:rPr>
        <w:t>2.绩效目标（满分3.00分，评价得分0.00分）</w:t>
      </w:r>
    </w:p>
    <w:p>
      <w:pPr>
        <w:ind w:firstLine="640"/>
        <w:rPr>
          <w:rFonts w:hint="eastAsia" w:ascii="仿宋" w:hAnsi="仿宋" w:cs="仿宋"/>
          <w:szCs w:val="32"/>
        </w:rPr>
      </w:pPr>
      <w:r>
        <w:rPr>
          <w:rFonts w:hint="eastAsia" w:ascii="仿宋" w:hAnsi="仿宋" w:cs="仿宋"/>
          <w:szCs w:val="32"/>
        </w:rPr>
        <w:t>遂宁高新区印刷科技产业园及基础设施建设项目2023年国有资本支出预算420万元，未按照规定设定本项目绩效目标。本项得0分。</w:t>
      </w:r>
    </w:p>
    <w:p>
      <w:pPr>
        <w:pStyle w:val="4"/>
        <w:ind w:firstLine="643"/>
        <w:rPr>
          <w:rFonts w:hint="eastAsia"/>
        </w:rPr>
      </w:pPr>
      <w:r>
        <w:rPr>
          <w:rFonts w:hint="eastAsia"/>
        </w:rPr>
        <w:t>3.资金投入（满分10.00分，评价得分</w:t>
      </w:r>
      <w:r>
        <w:rPr>
          <w:rFonts w:hint="eastAsia"/>
          <w:lang w:val="en-US" w:eastAsia="zh-CN"/>
        </w:rPr>
        <w:t>9</w:t>
      </w:r>
      <w:r>
        <w:rPr>
          <w:rFonts w:hint="eastAsia"/>
        </w:rPr>
        <w:t>.00分）</w:t>
      </w:r>
    </w:p>
    <w:p>
      <w:pPr>
        <w:adjustRightInd w:val="0"/>
        <w:snapToGrid w:val="0"/>
        <w:ind w:firstLine="640"/>
        <w:rPr>
          <w:rFonts w:hint="eastAsia" w:ascii="仿宋" w:hAnsi="仿宋" w:eastAsia="仿宋" w:cs="仿宋"/>
          <w:color w:val="000000"/>
          <w:kern w:val="0"/>
          <w:sz w:val="32"/>
          <w:szCs w:val="32"/>
          <w:lang w:val="en-US" w:eastAsia="zh-CN" w:bidi="ar"/>
        </w:rPr>
      </w:pPr>
      <w:r>
        <w:rPr>
          <w:rFonts w:ascii="仿宋" w:hAnsi="仿宋" w:eastAsia="仿宋" w:cs="仿宋"/>
          <w:color w:val="000000"/>
          <w:kern w:val="0"/>
          <w:sz w:val="32"/>
          <w:szCs w:val="32"/>
          <w:lang w:val="en-US" w:eastAsia="zh-CN" w:bidi="ar"/>
        </w:rPr>
        <w:t>本次预算资金与高新区国有资本参建项目内容具有内容上</w:t>
      </w:r>
      <w:r>
        <w:rPr>
          <w:rFonts w:hint="eastAsia" w:ascii="仿宋" w:hAnsi="仿宋" w:eastAsia="仿宋" w:cs="仿宋"/>
          <w:color w:val="000000"/>
          <w:kern w:val="0"/>
          <w:sz w:val="32"/>
          <w:szCs w:val="32"/>
          <w:lang w:val="en-US" w:eastAsia="zh-CN" w:bidi="ar"/>
        </w:rPr>
        <w:t>的相关性，属于预算资金支出的范畴，预算资金的安排保障了项目能够按计划顺利开展实施。预算资金能够有效利用，未发现资金闲置浪费的情况。预算资金虽然不能完全解决整个项目的资金需求，但是在一定程度上解决了资金困难，支持了国有资本建设运行项目的实施。项目实施单位属于高新区下国有企业，符合申报使用预算资金的主体要求，所实施项目是高新区管委会职责内的园区项目。但预算申请未明确具体用途及具体项目，预算编制未经过科学论证。本项得9.00分。</w:t>
      </w:r>
    </w:p>
    <w:p>
      <w:pPr>
        <w:adjustRightInd w:val="0"/>
        <w:snapToGrid w:val="0"/>
        <w:ind w:firstLine="640"/>
        <w:rPr>
          <w:rFonts w:hint="eastAsia" w:ascii="仿宋" w:hAnsi="仿宋" w:cs="仿宋"/>
          <w:szCs w:val="32"/>
        </w:rPr>
      </w:pPr>
      <w:r>
        <w:rPr>
          <w:rFonts w:hint="eastAsia" w:ascii="仿宋" w:hAnsi="仿宋" w:cs="仿宋"/>
          <w:bCs/>
          <w:szCs w:val="32"/>
        </w:rPr>
        <w:t>综上所述，项目决策部分满分20.00分，评价得分1</w:t>
      </w:r>
      <w:r>
        <w:rPr>
          <w:rFonts w:hint="eastAsia" w:ascii="仿宋" w:hAnsi="仿宋" w:cs="仿宋"/>
          <w:bCs/>
          <w:szCs w:val="32"/>
          <w:lang w:val="en-US" w:eastAsia="zh-CN"/>
        </w:rPr>
        <w:t>5</w:t>
      </w:r>
      <w:r>
        <w:rPr>
          <w:rFonts w:hint="eastAsia" w:ascii="仿宋" w:hAnsi="仿宋" w:cs="仿宋"/>
          <w:bCs/>
          <w:szCs w:val="32"/>
        </w:rPr>
        <w:t>.00分。</w:t>
      </w:r>
    </w:p>
    <w:p>
      <w:pPr>
        <w:pStyle w:val="3"/>
        <w:numPr>
          <w:ilvl w:val="0"/>
          <w:numId w:val="1"/>
        </w:numPr>
        <w:ind w:firstLine="643"/>
      </w:pPr>
      <w:bookmarkStart w:id="477" w:name="_Toc24815"/>
      <w:bookmarkStart w:id="478" w:name="_Toc32308"/>
      <w:bookmarkStart w:id="479" w:name="_Toc3876"/>
      <w:r>
        <w:rPr>
          <w:rFonts w:hint="eastAsia"/>
        </w:rPr>
        <w:t>项目过程</w:t>
      </w:r>
      <w:bookmarkEnd w:id="477"/>
      <w:r>
        <w:rPr>
          <w:rFonts w:hint="eastAsia"/>
        </w:rPr>
        <w:t>情况</w:t>
      </w:r>
      <w:bookmarkEnd w:id="478"/>
      <w:bookmarkEnd w:id="479"/>
    </w:p>
    <w:p>
      <w:pPr>
        <w:pStyle w:val="4"/>
        <w:ind w:firstLine="643"/>
        <w:rPr>
          <w:rFonts w:hint="eastAsia"/>
        </w:rPr>
      </w:pPr>
      <w:bookmarkStart w:id="480" w:name="_Toc170897756"/>
      <w:r>
        <w:rPr>
          <w:rFonts w:hint="eastAsia"/>
        </w:rPr>
        <w:t>1.资金管理（满分12.00分，评价得分12.00分）</w:t>
      </w:r>
      <w:bookmarkEnd w:id="480"/>
    </w:p>
    <w:p>
      <w:pPr>
        <w:ind w:firstLine="640"/>
        <w:rPr>
          <w:rFonts w:hint="eastAsia" w:ascii="仿宋" w:hAnsi="仿宋" w:cs="仿宋"/>
        </w:rPr>
      </w:pPr>
      <w:r>
        <w:rPr>
          <w:rFonts w:hint="eastAsia" w:ascii="仿宋" w:hAnsi="仿宋" w:cs="仿宋"/>
        </w:rPr>
        <w:t>本级财政根据2023年12月4日《遂宁天一投资集团有限公司关于拨付基础设施建设资金的请示》及相关领导的批示：请示申请基本建设资金420.00万元，批示同意420.00万元，于2023年12月22日及时下达了资金420.00万元，全部资金均已下达到位，资金到位率100.00%，以保障项目的实施。2024年1月3日遂宁天一投资集团有限公司根据项目工程进度产值审核报告，支付项目施工单位中经城投建设集团四川有限公司项目工程进度款3610.00万元，此笔款项中包含了遂宁高新区印刷科技产业园及基础设施建设项目2023年国有资本支出预算420万元。预算执行率100.00%，经查阅工程报账资料和会计账目，遂宁高新区印刷科技产业园及基础设施建设项目2023年国有资本支出预算420万元在使用上符合国家财经法规和财务管理制度以及有关专项资金管理办法的规定，符合合同约定的用途，未发现截留、挤占、挪用、虚列支出等情况。本项得分12.00分。</w:t>
      </w:r>
    </w:p>
    <w:p>
      <w:pPr>
        <w:pStyle w:val="4"/>
        <w:ind w:firstLine="643"/>
        <w:rPr>
          <w:rFonts w:hint="eastAsia"/>
        </w:rPr>
      </w:pPr>
      <w:bookmarkStart w:id="481" w:name="_Toc16289"/>
      <w:r>
        <w:rPr>
          <w:rFonts w:hint="eastAsia"/>
        </w:rPr>
        <w:t>2.组织实施（满分8.00分，评价得6.00分）</w:t>
      </w:r>
      <w:bookmarkEnd w:id="481"/>
    </w:p>
    <w:p>
      <w:pPr>
        <w:widowControl/>
        <w:ind w:firstLine="640"/>
        <w:jc w:val="left"/>
        <w:rPr>
          <w:rFonts w:hint="eastAsia" w:ascii="仿宋" w:hAnsi="仿宋" w:cs="仿宋"/>
          <w:szCs w:val="32"/>
        </w:rPr>
      </w:pPr>
      <w:r>
        <w:rPr>
          <w:rFonts w:hint="eastAsia" w:ascii="仿宋" w:hAnsi="仿宋" w:cs="仿宋"/>
          <w:szCs w:val="32"/>
        </w:rPr>
        <w:t>经过评价组现场查阅归档资料，为实现项目管理，建设单位严格执行</w:t>
      </w:r>
      <w:r>
        <w:rPr>
          <w:rFonts w:hint="eastAsia" w:ascii="仿宋" w:hAnsi="仿宋" w:cs="仿宋"/>
          <w:color w:val="000000"/>
          <w:kern w:val="0"/>
          <w:szCs w:val="32"/>
          <w:lang w:bidi="ar"/>
        </w:rPr>
        <w:t>《中华人民共和国建筑法》《四川省人民政府办公厅印发关于加快城镇基础设施建设实施意见的通知》（川办发〔2014〕29号）</w:t>
      </w:r>
      <w:r>
        <w:rPr>
          <w:rFonts w:hint="eastAsia" w:ascii="仿宋" w:hAnsi="仿宋" w:cs="仿宋"/>
          <w:szCs w:val="32"/>
        </w:rPr>
        <w:t>《</w:t>
      </w:r>
      <w:r>
        <w:rPr>
          <w:rFonts w:hint="eastAsia" w:ascii="仿宋" w:hAnsi="仿宋" w:cs="仿宋"/>
          <w:color w:val="000000"/>
          <w:kern w:val="0"/>
          <w:szCs w:val="32"/>
          <w:lang w:bidi="ar"/>
        </w:rPr>
        <w:t>非独立保函&lt;住房和城乡建设部关于印发工程保函示范文本的通知&gt;（建市〔2021〕11号）《遂宁市高新技术产业园区控制性详细规划》《建设工程工程量清单计价规范(GB50500-2013)》《四川省建设工程工程量清单计价定额》</w:t>
      </w:r>
      <w:r>
        <w:rPr>
          <w:rFonts w:hint="eastAsia" w:ascii="仿宋" w:hAnsi="仿宋" w:cs="仿宋"/>
          <w:szCs w:val="32"/>
        </w:rPr>
        <w:t>《遂宁高新区印刷科技产业园及基础设施建设项目（一期）安全生产管理制度》等制度，有效实施，项目单位财务和业务管理制度较为健全，各项制度能够得到有效执行，相关项目调整及支出调整手续完备；项目合同书、质量报告、技术鉴定等资料齐全并及时归档；项目实施的人员条件、场地设备、信息支撑等落实到位。项目实施单位对于项目执行过程中绩效管理工作不到位，未开展项目绩效中期监控，未对国有资本预算支出做绩效自评，未做工作总结。本项得分6.00分。</w:t>
      </w:r>
    </w:p>
    <w:p>
      <w:pPr>
        <w:ind w:firstLine="640"/>
        <w:rPr>
          <w:rFonts w:hint="eastAsia" w:ascii="仿宋" w:hAnsi="仿宋" w:cs="仿宋"/>
        </w:rPr>
      </w:pPr>
      <w:r>
        <w:rPr>
          <w:rFonts w:hint="eastAsia" w:ascii="仿宋" w:hAnsi="仿宋" w:cs="仿宋"/>
        </w:rPr>
        <w:t>综上所述，项目过程部分满分20.00分，评价得分18.00分。</w:t>
      </w:r>
    </w:p>
    <w:p>
      <w:pPr>
        <w:pStyle w:val="3"/>
        <w:spacing w:before="0" w:after="0"/>
        <w:ind w:firstLine="643"/>
      </w:pPr>
      <w:bookmarkStart w:id="482" w:name="_Toc30087656"/>
      <w:bookmarkStart w:id="483" w:name="_Toc29910225"/>
      <w:bookmarkStart w:id="484" w:name="_Toc31210"/>
      <w:bookmarkStart w:id="485" w:name="_Toc31880"/>
      <w:r>
        <w:rPr>
          <w:rFonts w:hint="eastAsia"/>
        </w:rPr>
        <w:t>（三）</w:t>
      </w:r>
      <w:bookmarkEnd w:id="482"/>
      <w:bookmarkEnd w:id="483"/>
      <w:r>
        <w:rPr>
          <w:rFonts w:hint="eastAsia"/>
        </w:rPr>
        <w:t>项目产出情况</w:t>
      </w:r>
      <w:bookmarkEnd w:id="484"/>
      <w:bookmarkEnd w:id="485"/>
    </w:p>
    <w:p>
      <w:pPr>
        <w:pStyle w:val="4"/>
        <w:ind w:firstLine="643"/>
        <w:rPr>
          <w:rFonts w:hint="eastAsia"/>
        </w:rPr>
      </w:pPr>
      <w:bookmarkStart w:id="486" w:name="_Toc11982"/>
      <w:bookmarkStart w:id="487" w:name="_Toc170897762"/>
      <w:r>
        <w:rPr>
          <w:rFonts w:hint="eastAsia"/>
        </w:rPr>
        <w:t>1.产出数量（满分8.00分，评价得分7.00分）</w:t>
      </w:r>
      <w:bookmarkEnd w:id="486"/>
      <w:bookmarkEnd w:id="487"/>
    </w:p>
    <w:p>
      <w:pPr>
        <w:ind w:firstLine="640"/>
        <w:rPr>
          <w:rFonts w:hint="eastAsia" w:ascii="仿宋" w:hAnsi="仿宋" w:cs="仿宋"/>
        </w:rPr>
      </w:pPr>
      <w:r>
        <w:rPr>
          <w:rFonts w:hint="eastAsia" w:ascii="仿宋" w:hAnsi="仿宋" w:cs="仿宋"/>
        </w:rPr>
        <w:t>遂宁高新区印刷科技产业园及基础设施建设项目，主要建设65000.00平方米标准厂房，配套研发房3000.00平方米、配套建设园区道路、停车位、安防、综合管网等附属设施。2023年12年31日工程进度产值审核报告产值比例为81.70%，经现场查看，1-5#楼12#楼13#楼主体工程全部完成，地面地坪、地面地砖、墙砖、给排水完成管道、报警系统、应急照明系统、空调等未全部完成。本项得分7.00分。</w:t>
      </w:r>
    </w:p>
    <w:p>
      <w:pPr>
        <w:pStyle w:val="4"/>
        <w:ind w:firstLine="643"/>
        <w:rPr>
          <w:rFonts w:hint="eastAsia"/>
        </w:rPr>
      </w:pPr>
      <w:bookmarkStart w:id="488" w:name="_Toc170897763"/>
      <w:bookmarkStart w:id="489" w:name="_Toc6509"/>
      <w:r>
        <w:rPr>
          <w:rFonts w:hint="eastAsia"/>
        </w:rPr>
        <w:t>2.产出质量（满分8.00分，评价得分8.00分）</w:t>
      </w:r>
      <w:bookmarkEnd w:id="488"/>
      <w:bookmarkEnd w:id="489"/>
    </w:p>
    <w:p>
      <w:pPr>
        <w:ind w:firstLine="640"/>
        <w:rPr>
          <w:rFonts w:hint="eastAsia" w:ascii="仿宋" w:hAnsi="仿宋" w:cs="仿宋"/>
        </w:rPr>
      </w:pPr>
      <w:r>
        <w:rPr>
          <w:rFonts w:hint="eastAsia" w:ascii="仿宋" w:hAnsi="仿宋" w:cs="仿宋"/>
        </w:rPr>
        <w:t>遂宁高新区印刷科技产业园及基础设施建设项目基本建成，但还未全部完工，故未进入验收程序，已完成工程质量基本达标。本项得8.00分。</w:t>
      </w:r>
    </w:p>
    <w:p>
      <w:pPr>
        <w:pStyle w:val="4"/>
        <w:ind w:firstLine="643"/>
        <w:rPr>
          <w:rFonts w:hint="eastAsia"/>
        </w:rPr>
      </w:pPr>
      <w:r>
        <w:rPr>
          <w:rFonts w:hint="eastAsia"/>
        </w:rPr>
        <w:t>3.产出时效（满分7.00分，评价得分5.00分）</w:t>
      </w:r>
    </w:p>
    <w:p>
      <w:pPr>
        <w:ind w:firstLine="640"/>
        <w:rPr>
          <w:rFonts w:hint="eastAsia" w:ascii="仿宋" w:hAnsi="仿宋" w:cs="仿宋"/>
        </w:rPr>
      </w:pPr>
      <w:r>
        <w:rPr>
          <w:rFonts w:hint="eastAsia" w:ascii="仿宋" w:hAnsi="仿宋" w:cs="仿宋"/>
        </w:rPr>
        <w:t>本项目合同计划竣工日期2023年12月26日，据现场查看项目工程已接近完工，其中厂房、研发房、货运通道等主体结构施工完成，正在进行室内外装饰装修及附属设施施工。项目已经超出规划期限，项目工程进度滞后。此项不达标，本项得分5.00分。</w:t>
      </w:r>
    </w:p>
    <w:p>
      <w:pPr>
        <w:pStyle w:val="4"/>
        <w:ind w:firstLine="643"/>
        <w:rPr>
          <w:rFonts w:hint="eastAsia"/>
        </w:rPr>
      </w:pPr>
      <w:r>
        <w:rPr>
          <w:rFonts w:hint="eastAsia"/>
        </w:rPr>
        <w:t>4.产出效果（满分7.00分，评价得分7.00分）</w:t>
      </w:r>
    </w:p>
    <w:p>
      <w:pPr>
        <w:ind w:firstLine="640"/>
      </w:pPr>
      <w:r>
        <w:rPr>
          <w:rFonts w:hint="eastAsia"/>
        </w:rPr>
        <w:t>遂宁高新区印刷科技产业园及基础设施建设项目基本建成，设施，设备都适用于现代产业需要，促进当地印刷产业链的完善。通过吸引上下游企业的入驻和合作，将形成更加完整的产业链条，提高整个产业的竞争力。项目已有遂宁宽窄印务有限公司入驻计划，项目建成后，将显著提升宽窄印务的生产能力。新厂房和设备的投入将使得宽窄印务能够承接更多的生产任务，满足市场需求。</w:t>
      </w:r>
    </w:p>
    <w:p>
      <w:pPr>
        <w:pStyle w:val="6"/>
        <w:ind w:firstLine="482"/>
        <w:jc w:val="center"/>
        <w:rPr>
          <w:rStyle w:val="22"/>
          <w:rFonts w:hint="eastAsia" w:ascii="宋体" w:hAnsi="宋体" w:eastAsia="宋体" w:cs="宋体"/>
          <w:b/>
          <w:bCs/>
          <w:sz w:val="24"/>
          <w:szCs w:val="24"/>
        </w:rPr>
      </w:pPr>
      <w:r>
        <w:rPr>
          <w:rFonts w:hint="eastAsia" w:ascii="宋体" w:hAnsi="宋体" w:eastAsia="宋体" w:cs="宋体"/>
          <w:b/>
          <w:bCs/>
          <w:sz w:val="24"/>
        </w:rPr>
        <w:drawing>
          <wp:anchor distT="0" distB="0" distL="114300" distR="114300" simplePos="0" relativeHeight="251659264" behindDoc="1" locked="0" layoutInCell="1" allowOverlap="1">
            <wp:simplePos x="0" y="0"/>
            <wp:positionH relativeFrom="column">
              <wp:posOffset>-33655</wp:posOffset>
            </wp:positionH>
            <wp:positionV relativeFrom="paragraph">
              <wp:posOffset>330200</wp:posOffset>
            </wp:positionV>
            <wp:extent cx="5266055" cy="3765550"/>
            <wp:effectExtent l="0" t="0" r="10795" b="6350"/>
            <wp:wrapTight wrapText="bothSides">
              <wp:wrapPolygon>
                <wp:start x="0" y="0"/>
                <wp:lineTo x="0" y="21527"/>
                <wp:lineTo x="21488" y="21527"/>
                <wp:lineTo x="21488" y="0"/>
                <wp:lineTo x="0" y="0"/>
              </wp:wrapPolygon>
            </wp:wrapTight>
            <wp:docPr id="4" name="图片 4" descr="活动中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活动中心"/>
                    <pic:cNvPicPr>
                      <a:picLocks noChangeAspect="1"/>
                    </pic:cNvPicPr>
                  </pic:nvPicPr>
                  <pic:blipFill>
                    <a:blip r:embed="rId10"/>
                    <a:srcRect b="19682"/>
                    <a:stretch>
                      <a:fillRect/>
                    </a:stretch>
                  </pic:blipFill>
                  <pic:spPr>
                    <a:xfrm>
                      <a:off x="0" y="0"/>
                      <a:ext cx="5266055" cy="3765550"/>
                    </a:xfrm>
                    <a:prstGeom prst="rect">
                      <a:avLst/>
                    </a:prstGeom>
                  </pic:spPr>
                </pic:pic>
              </a:graphicData>
            </a:graphic>
          </wp:anchor>
        </w:drawing>
      </w:r>
    </w:p>
    <w:p>
      <w:pPr>
        <w:adjustRightInd w:val="0"/>
        <w:snapToGrid w:val="0"/>
        <w:ind w:firstLine="3200" w:firstLineChars="1000"/>
        <w:rPr>
          <w:rFonts w:hint="eastAsia" w:ascii="仿宋" w:hAnsi="仿宋" w:cs="仿宋"/>
          <w:bCs/>
          <w:szCs w:val="32"/>
        </w:rPr>
      </w:pPr>
      <w:r>
        <w:rPr>
          <w:rFonts w:hint="eastAsia" w:ascii="仿宋" w:hAnsi="仿宋" w:cs="仿宋"/>
          <w:bCs/>
          <w:szCs w:val="32"/>
        </w:rPr>
        <w:t>内部活动中心</w:t>
      </w:r>
    </w:p>
    <w:p>
      <w:pPr>
        <w:adjustRightInd w:val="0"/>
        <w:snapToGrid w:val="0"/>
        <w:ind w:firstLine="640"/>
        <w:jc w:val="center"/>
        <w:rPr>
          <w:rFonts w:hint="eastAsia" w:ascii="仿宋" w:hAnsi="仿宋" w:cs="仿宋"/>
          <w:szCs w:val="32"/>
        </w:rPr>
      </w:pPr>
    </w:p>
    <w:p>
      <w:pPr>
        <w:adjustRightInd w:val="0"/>
        <w:snapToGrid w:val="0"/>
        <w:ind w:firstLine="640"/>
        <w:jc w:val="center"/>
        <w:rPr>
          <w:rFonts w:hint="eastAsia" w:ascii="仿宋" w:hAnsi="仿宋" w:cs="仿宋"/>
          <w:szCs w:val="32"/>
        </w:rPr>
      </w:pPr>
    </w:p>
    <w:p>
      <w:pPr>
        <w:adjustRightInd w:val="0"/>
        <w:snapToGrid w:val="0"/>
        <w:ind w:firstLine="640"/>
        <w:jc w:val="center"/>
        <w:rPr>
          <w:rFonts w:hint="eastAsia" w:ascii="仿宋" w:hAnsi="仿宋" w:cs="仿宋"/>
          <w:szCs w:val="32"/>
        </w:rPr>
      </w:pPr>
    </w:p>
    <w:p>
      <w:pPr>
        <w:adjustRightInd w:val="0"/>
        <w:snapToGrid w:val="0"/>
        <w:ind w:firstLine="3520" w:firstLineChars="1100"/>
        <w:rPr>
          <w:rFonts w:hint="eastAsia" w:ascii="仿宋" w:hAnsi="仿宋" w:cs="仿宋"/>
          <w:szCs w:val="32"/>
        </w:rPr>
      </w:pPr>
      <w:r>
        <w:rPr>
          <w:rFonts w:hint="eastAsia" w:ascii="仿宋" w:hAnsi="仿宋" w:cs="仿宋"/>
          <w:szCs w:val="32"/>
        </w:rPr>
        <w:drawing>
          <wp:anchor distT="0" distB="0" distL="114300" distR="114300" simplePos="0" relativeHeight="251660288" behindDoc="1" locked="0" layoutInCell="1" allowOverlap="1">
            <wp:simplePos x="0" y="0"/>
            <wp:positionH relativeFrom="column">
              <wp:posOffset>48895</wp:posOffset>
            </wp:positionH>
            <wp:positionV relativeFrom="paragraph">
              <wp:posOffset>315595</wp:posOffset>
            </wp:positionV>
            <wp:extent cx="5125085" cy="3786505"/>
            <wp:effectExtent l="0" t="0" r="18415" b="4445"/>
            <wp:wrapTight wrapText="bothSides">
              <wp:wrapPolygon>
                <wp:start x="0" y="0"/>
                <wp:lineTo x="0" y="21517"/>
                <wp:lineTo x="21517" y="21517"/>
                <wp:lineTo x="21517" y="0"/>
                <wp:lineTo x="0" y="0"/>
              </wp:wrapPolygon>
            </wp:wrapTight>
            <wp:docPr id="5" name="图片 5" descr="产业园宿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产业园宿舍"/>
                    <pic:cNvPicPr>
                      <a:picLocks noChangeAspect="1"/>
                    </pic:cNvPicPr>
                  </pic:nvPicPr>
                  <pic:blipFill>
                    <a:blip r:embed="rId11"/>
                    <a:stretch>
                      <a:fillRect/>
                    </a:stretch>
                  </pic:blipFill>
                  <pic:spPr>
                    <a:xfrm>
                      <a:off x="0" y="0"/>
                      <a:ext cx="5125085" cy="3786505"/>
                    </a:xfrm>
                    <a:prstGeom prst="rect">
                      <a:avLst/>
                    </a:prstGeom>
                  </pic:spPr>
                </pic:pic>
              </a:graphicData>
            </a:graphic>
          </wp:anchor>
        </w:drawing>
      </w:r>
      <w:r>
        <w:rPr>
          <w:rFonts w:hint="eastAsia" w:ascii="仿宋" w:hAnsi="仿宋" w:cs="仿宋"/>
          <w:szCs w:val="32"/>
        </w:rPr>
        <w:t>主 体</w:t>
      </w:r>
    </w:p>
    <w:p>
      <w:pPr>
        <w:adjustRightInd w:val="0"/>
        <w:snapToGrid w:val="0"/>
        <w:ind w:firstLine="640"/>
        <w:rPr>
          <w:rFonts w:hint="eastAsia" w:ascii="仿宋" w:hAnsi="仿宋"/>
          <w:bCs/>
          <w:szCs w:val="32"/>
        </w:rPr>
      </w:pPr>
      <w:r>
        <w:rPr>
          <w:rFonts w:hint="eastAsia" w:ascii="仿宋" w:hAnsi="仿宋"/>
          <w:bCs/>
          <w:szCs w:val="32"/>
        </w:rPr>
        <w:t>综上所述，项目产出部分满分30.00分，评价得分28.00分。</w:t>
      </w:r>
    </w:p>
    <w:p>
      <w:pPr>
        <w:pStyle w:val="3"/>
        <w:spacing w:before="0" w:after="0"/>
        <w:ind w:firstLine="643"/>
      </w:pPr>
      <w:bookmarkStart w:id="490" w:name="_Toc13445"/>
      <w:bookmarkStart w:id="491" w:name="_Toc170897766"/>
      <w:bookmarkStart w:id="492" w:name="_Toc20192"/>
      <w:r>
        <w:rPr>
          <w:rFonts w:hint="eastAsia"/>
        </w:rPr>
        <w:t>（四）项目效益情况</w:t>
      </w:r>
      <w:bookmarkEnd w:id="490"/>
      <w:bookmarkEnd w:id="491"/>
      <w:bookmarkEnd w:id="492"/>
    </w:p>
    <w:p>
      <w:pPr>
        <w:pStyle w:val="4"/>
        <w:ind w:firstLine="643"/>
        <w:rPr>
          <w:rFonts w:hint="eastAsia"/>
        </w:rPr>
      </w:pPr>
      <w:bookmarkStart w:id="493" w:name="_Toc22303"/>
      <w:bookmarkStart w:id="494" w:name="_Toc25871"/>
      <w:bookmarkStart w:id="495" w:name="_Toc170897767"/>
      <w:r>
        <w:rPr>
          <w:rFonts w:hint="eastAsia"/>
        </w:rPr>
        <w:t>1.社会效益（满分5.00分，评价得分5.00分）</w:t>
      </w:r>
      <w:bookmarkEnd w:id="493"/>
      <w:bookmarkEnd w:id="494"/>
      <w:bookmarkEnd w:id="495"/>
    </w:p>
    <w:p>
      <w:pPr>
        <w:widowControl/>
        <w:ind w:firstLine="640"/>
        <w:rPr>
          <w:rFonts w:hint="eastAsia" w:ascii="仿宋" w:hAnsi="仿宋" w:cs="仿宋"/>
          <w:color w:val="000000"/>
          <w:kern w:val="0"/>
          <w:szCs w:val="32"/>
          <w:lang w:bidi="ar"/>
        </w:rPr>
      </w:pPr>
      <w:r>
        <w:rPr>
          <w:rFonts w:hint="eastAsia" w:ascii="仿宋" w:hAnsi="仿宋" w:cs="仿宋"/>
          <w:color w:val="000000"/>
          <w:kern w:val="0"/>
          <w:szCs w:val="32"/>
          <w:lang w:bidi="ar"/>
        </w:rPr>
        <w:t>本</w:t>
      </w:r>
      <w:r>
        <w:rPr>
          <w:rFonts w:ascii="仿宋" w:hAnsi="仿宋" w:cs="仿宋"/>
          <w:color w:val="000000"/>
          <w:kern w:val="0"/>
          <w:szCs w:val="32"/>
          <w:lang w:bidi="ar"/>
        </w:rPr>
        <w:t>项目的建设，</w:t>
      </w:r>
      <w:r>
        <w:rPr>
          <w:rFonts w:hint="eastAsia" w:ascii="仿宋" w:hAnsi="仿宋" w:cs="仿宋"/>
          <w:color w:val="000000"/>
          <w:kern w:val="0"/>
          <w:szCs w:val="32"/>
          <w:lang w:bidi="ar"/>
        </w:rPr>
        <w:t>将优化高新区的投资环境，吸引社会投资，</w:t>
      </w:r>
      <w:r>
        <w:rPr>
          <w:rFonts w:ascii="仿宋" w:hAnsi="仿宋" w:cs="仿宋"/>
          <w:color w:val="000000"/>
          <w:kern w:val="0"/>
          <w:szCs w:val="32"/>
          <w:lang w:bidi="ar"/>
        </w:rPr>
        <w:t>增加了就业机会，缓解当地就业压力</w:t>
      </w:r>
      <w:r>
        <w:rPr>
          <w:rFonts w:hint="eastAsia" w:ascii="仿宋" w:hAnsi="仿宋" w:cs="仿宋"/>
          <w:color w:val="000000"/>
          <w:kern w:val="0"/>
          <w:szCs w:val="32"/>
          <w:lang w:bidi="ar"/>
        </w:rPr>
        <w:t>。完善当地基础设施，加快城市建设的步伐。项目建设期，本地建筑施工劳动者可以参与工程建设当中，增加当地就业机会。本项得分5.00分。</w:t>
      </w:r>
    </w:p>
    <w:p>
      <w:pPr>
        <w:pStyle w:val="4"/>
        <w:ind w:firstLine="643"/>
        <w:rPr>
          <w:rFonts w:hint="eastAsia"/>
        </w:rPr>
      </w:pPr>
      <w:r>
        <w:rPr>
          <w:rFonts w:hint="eastAsia"/>
        </w:rPr>
        <w:t>2.经济效益（满分5.00分，评价得分5.00分）</w:t>
      </w:r>
    </w:p>
    <w:p>
      <w:pPr>
        <w:widowControl/>
        <w:ind w:firstLine="640"/>
        <w:rPr>
          <w:rFonts w:hint="eastAsia" w:ascii="仿宋" w:hAnsi="仿宋" w:cs="仿宋"/>
          <w:color w:val="000000"/>
          <w:kern w:val="0"/>
          <w:szCs w:val="32"/>
          <w:lang w:bidi="ar"/>
        </w:rPr>
      </w:pPr>
      <w:r>
        <w:rPr>
          <w:rFonts w:ascii="仿宋" w:hAnsi="仿宋" w:cs="仿宋"/>
          <w:color w:val="000000"/>
          <w:kern w:val="0"/>
          <w:szCs w:val="32"/>
          <w:lang w:bidi="ar"/>
        </w:rPr>
        <w:t>该项目的建设期间，</w:t>
      </w:r>
      <w:r>
        <w:rPr>
          <w:rFonts w:hint="eastAsia" w:ascii="仿宋" w:hAnsi="仿宋" w:cs="仿宋"/>
          <w:color w:val="000000"/>
          <w:kern w:val="0"/>
          <w:szCs w:val="32"/>
          <w:lang w:bidi="ar"/>
        </w:rPr>
        <w:t>开发商、</w:t>
      </w:r>
      <w:r>
        <w:rPr>
          <w:rFonts w:ascii="仿宋" w:hAnsi="仿宋" w:cs="仿宋"/>
          <w:color w:val="000000"/>
          <w:kern w:val="0"/>
          <w:szCs w:val="32"/>
          <w:lang w:bidi="ar"/>
        </w:rPr>
        <w:t>材料承销商、施工方从中受益</w:t>
      </w:r>
      <w:r>
        <w:rPr>
          <w:rFonts w:hint="eastAsia" w:ascii="仿宋" w:hAnsi="仿宋" w:cs="仿宋"/>
          <w:color w:val="000000"/>
          <w:kern w:val="0"/>
          <w:szCs w:val="32"/>
          <w:lang w:bidi="ar"/>
        </w:rPr>
        <w:t>，</w:t>
      </w:r>
      <w:r>
        <w:rPr>
          <w:rFonts w:ascii="仿宋" w:hAnsi="仿宋" w:cs="仿宋"/>
          <w:color w:val="000000"/>
          <w:kern w:val="0"/>
          <w:szCs w:val="32"/>
          <w:lang w:bidi="ar"/>
        </w:rPr>
        <w:t>带来石材</w:t>
      </w:r>
      <w:r>
        <w:rPr>
          <w:rFonts w:hint="eastAsia" w:ascii="仿宋" w:hAnsi="仿宋" w:cs="仿宋"/>
          <w:color w:val="000000"/>
          <w:kern w:val="0"/>
          <w:szCs w:val="32"/>
          <w:lang w:bidi="ar"/>
        </w:rPr>
        <w:t>加工企业、水泥生产企业、运输企业、市政施工企业增加收入，周边参与建筑施工的劳动者，增加收入，间接拉动地方经济，</w:t>
      </w:r>
      <w:r>
        <w:rPr>
          <w:rFonts w:hint="eastAsia" w:ascii="仿宋" w:hAnsi="仿宋" w:cs="仿宋"/>
          <w:szCs w:val="32"/>
        </w:rPr>
        <w:t>产业园内的企业活动促进了当地经济的增长，增加了政府税收收入，为地方财政提供了重要支持。</w:t>
      </w:r>
      <w:r>
        <w:rPr>
          <w:rFonts w:hint="eastAsia" w:ascii="仿宋" w:hAnsi="仿宋" w:cs="仿宋"/>
          <w:color w:val="000000"/>
          <w:kern w:val="0"/>
          <w:szCs w:val="32"/>
          <w:lang w:bidi="ar"/>
        </w:rPr>
        <w:t>本项得分5.00分。</w:t>
      </w:r>
    </w:p>
    <w:p>
      <w:pPr>
        <w:pStyle w:val="4"/>
        <w:ind w:firstLine="643"/>
        <w:rPr>
          <w:rFonts w:hint="eastAsia"/>
        </w:rPr>
      </w:pPr>
      <w:r>
        <w:rPr>
          <w:rFonts w:hint="eastAsia"/>
        </w:rPr>
        <w:t>3.生态效益（满分5.00分，评价得分5.00分）</w:t>
      </w:r>
    </w:p>
    <w:p>
      <w:pPr>
        <w:widowControl/>
        <w:ind w:firstLine="640"/>
        <w:rPr>
          <w:rFonts w:hint="eastAsia" w:ascii="仿宋" w:hAnsi="仿宋" w:cs="仿宋"/>
          <w:szCs w:val="32"/>
        </w:rPr>
      </w:pPr>
      <w:r>
        <w:rPr>
          <w:rFonts w:hint="eastAsia" w:ascii="仿宋" w:hAnsi="仿宋" w:cs="仿宋"/>
          <w:szCs w:val="32"/>
        </w:rPr>
        <w:t>本项目采用</w:t>
      </w:r>
      <w:r>
        <w:rPr>
          <w:rFonts w:hint="eastAsia" w:ascii="仿宋" w:hAnsi="仿宋" w:cs="仿宋"/>
          <w:color w:val="000000"/>
          <w:kern w:val="0"/>
          <w:szCs w:val="32"/>
          <w:lang w:bidi="ar"/>
        </w:rPr>
        <w:t>“海绵化”城市设计，</w:t>
      </w:r>
      <w:r>
        <w:rPr>
          <w:rFonts w:ascii="仿宋" w:hAnsi="仿宋" w:cs="仿宋"/>
          <w:color w:val="000000"/>
          <w:kern w:val="0"/>
          <w:szCs w:val="32"/>
          <w:lang w:bidi="ar"/>
        </w:rPr>
        <w:t>采用透水混凝</w:t>
      </w:r>
      <w:r>
        <w:rPr>
          <w:rFonts w:hint="eastAsia" w:ascii="仿宋" w:hAnsi="仿宋" w:cs="仿宋"/>
          <w:color w:val="000000"/>
          <w:kern w:val="0"/>
          <w:szCs w:val="32"/>
          <w:lang w:bidi="ar"/>
        </w:rPr>
        <w:t>土路面、</w:t>
      </w:r>
      <w:r>
        <w:rPr>
          <w:rFonts w:ascii="仿宋" w:hAnsi="仿宋" w:cs="仿宋"/>
          <w:color w:val="000000"/>
          <w:kern w:val="0"/>
          <w:szCs w:val="32"/>
          <w:lang w:bidi="ar"/>
        </w:rPr>
        <w:t>下沉式绿地</w:t>
      </w:r>
      <w:r>
        <w:rPr>
          <w:rFonts w:hint="eastAsia" w:ascii="仿宋" w:hAnsi="仿宋" w:cs="仿宋"/>
          <w:color w:val="000000"/>
          <w:kern w:val="0"/>
          <w:szCs w:val="32"/>
          <w:lang w:bidi="ar"/>
        </w:rPr>
        <w:t>，适应环境变化和应对自然灾害等方面具有良好的弹性，像海绵一样，下雨时吸水、蓄水、渗水、净水，需要用水时将蓄存的水释放出来，将雨水的收集、运送、净化、利用、排放等环节有机地统一起来并协调运作，最大程度发挥城市自身的排水和用水功能，美化城市环境，减少、预防形成自然灾害。本项得分5.00分。</w:t>
      </w:r>
    </w:p>
    <w:p>
      <w:pPr>
        <w:pStyle w:val="4"/>
        <w:ind w:firstLine="643"/>
        <w:rPr>
          <w:rFonts w:hint="eastAsia"/>
        </w:rPr>
      </w:pPr>
      <w:r>
        <w:rPr>
          <w:rFonts w:hint="eastAsia"/>
        </w:rPr>
        <w:t>4.可持续性（满分5.00分，评价得分5.00分）</w:t>
      </w:r>
    </w:p>
    <w:p>
      <w:pPr>
        <w:pStyle w:val="5"/>
        <w:ind w:firstLine="640"/>
        <w:rPr>
          <w:rFonts w:hint="eastAsia" w:ascii="仿宋" w:hAnsi="仿宋" w:cs="仿宋"/>
          <w:b w:val="0"/>
          <w:bCs w:val="0"/>
        </w:rPr>
      </w:pPr>
      <w:r>
        <w:rPr>
          <w:rFonts w:hint="eastAsia" w:ascii="仿宋" w:hAnsi="仿宋" w:cs="仿宋"/>
          <w:b w:val="0"/>
          <w:bCs w:val="0"/>
        </w:rPr>
        <w:t>（1）产业集聚与规模效应</w:t>
      </w:r>
    </w:p>
    <w:p>
      <w:pPr>
        <w:ind w:firstLine="640"/>
      </w:pPr>
      <w:r>
        <w:rPr>
          <w:rFonts w:hint="eastAsia"/>
        </w:rPr>
        <w:t>产业园通过吸引和集聚相关企业，形成产业链上下游的紧密合作，提高资源利用效率，降低成本，实现规模效应。</w:t>
      </w:r>
    </w:p>
    <w:p>
      <w:pPr>
        <w:pStyle w:val="5"/>
        <w:ind w:firstLine="640"/>
        <w:rPr>
          <w:rFonts w:hint="eastAsia" w:ascii="仿宋" w:hAnsi="仿宋" w:cs="仿宋"/>
          <w:b w:val="0"/>
          <w:bCs w:val="0"/>
        </w:rPr>
      </w:pPr>
      <w:r>
        <w:rPr>
          <w:rFonts w:hint="eastAsia" w:ascii="仿宋" w:hAnsi="仿宋" w:cs="仿宋"/>
          <w:b w:val="0"/>
          <w:bCs w:val="0"/>
        </w:rPr>
        <w:t>（2）创新与产业升级</w:t>
      </w:r>
    </w:p>
    <w:p>
      <w:pPr>
        <w:ind w:firstLine="640"/>
      </w:pPr>
      <w:r>
        <w:rPr>
          <w:rFonts w:hint="eastAsia"/>
        </w:rPr>
        <w:t>产业园作为创新高地，吸引高新技术企业和研发机构入驻，推动技术创新和产业升级，提升区域竞争力。</w:t>
      </w:r>
    </w:p>
    <w:p>
      <w:pPr>
        <w:ind w:firstLine="640"/>
      </w:pPr>
      <w:r>
        <w:rPr>
          <w:rFonts w:hint="eastAsia"/>
        </w:rPr>
        <w:t>通过产业集聚效应、经济增长与税收贡献、投资回报与盈利能力等经济措施，以及就业与人才吸引、基础设施与公共服务、社区融合与和谐等社会措施，本项目产业园将在经济、社会、文化等全方面、多层次实现可持续发展。本项得分</w:t>
      </w:r>
      <w:r>
        <w:rPr>
          <w:rFonts w:hint="eastAsia" w:ascii="仿宋" w:hAnsi="仿宋" w:cs="仿宋"/>
        </w:rPr>
        <w:t>5.00</w:t>
      </w:r>
      <w:r>
        <w:rPr>
          <w:rFonts w:hint="eastAsia"/>
        </w:rPr>
        <w:t>分。</w:t>
      </w:r>
    </w:p>
    <w:p>
      <w:pPr>
        <w:pStyle w:val="4"/>
        <w:ind w:firstLine="643"/>
        <w:rPr>
          <w:rFonts w:hint="eastAsia"/>
        </w:rPr>
      </w:pPr>
      <w:r>
        <w:rPr>
          <w:rFonts w:hint="eastAsia"/>
        </w:rPr>
        <w:t>5.满意度（满分10.00分，评价得分9.00分）</w:t>
      </w:r>
    </w:p>
    <w:p>
      <w:pPr>
        <w:ind w:firstLine="640"/>
        <w:rPr>
          <w:rFonts w:hint="eastAsia" w:ascii="仿宋" w:hAnsi="仿宋" w:cs="仿宋"/>
        </w:rPr>
      </w:pPr>
      <w:r>
        <w:rPr>
          <w:rFonts w:hint="eastAsia" w:ascii="仿宋" w:hAnsi="仿宋" w:cs="仿宋"/>
        </w:rPr>
        <w:t>本次绩效评价针对满意度指标，设计了满意度指标调查问卷。调查问卷采用无记名的形式，共设计10个调查问题，问卷内容涵盖了项目管理、项目进度、安全风险、项目技术创新运用及意见反馈等方面。本次调查主要针对项目服务对象、内部员工、社会群众，为保障调查的全面性和客观性，附近群众占比20.00%，服务对象占比40.00%，相关工作人员40.00%。发放问卷30份，收回有效问卷30份，经过统计，综合满意度为90.00%。本项得分9.00分。</w:t>
      </w:r>
    </w:p>
    <w:p>
      <w:pPr>
        <w:ind w:firstLine="640"/>
        <w:rPr>
          <w:rFonts w:hint="eastAsia" w:ascii="仿宋" w:hAnsi="仿宋" w:cs="仿宋"/>
        </w:rPr>
      </w:pPr>
      <w:r>
        <w:rPr>
          <w:rFonts w:hint="eastAsia" w:ascii="仿宋" w:hAnsi="仿宋" w:cs="仿宋"/>
        </w:rPr>
        <w:t>综上所述，项目效益部分满分30.00分，评价得分29.00分。</w:t>
      </w:r>
    </w:p>
    <w:p>
      <w:pPr>
        <w:pStyle w:val="2"/>
        <w:spacing w:before="0" w:after="0"/>
        <w:ind w:firstLine="640"/>
      </w:pPr>
      <w:bookmarkStart w:id="496" w:name="_Toc23421"/>
      <w:bookmarkStart w:id="497" w:name="_Toc9536"/>
      <w:bookmarkStart w:id="498" w:name="_Toc8813"/>
      <w:bookmarkStart w:id="499" w:name="_Toc170897773"/>
      <w:r>
        <w:rPr>
          <w:rFonts w:hint="eastAsia"/>
        </w:rPr>
        <w:t>五、存在的问题和建议</w:t>
      </w:r>
      <w:bookmarkEnd w:id="496"/>
      <w:bookmarkEnd w:id="497"/>
      <w:bookmarkEnd w:id="498"/>
      <w:bookmarkEnd w:id="499"/>
    </w:p>
    <w:p>
      <w:pPr>
        <w:pStyle w:val="3"/>
        <w:spacing w:before="0" w:after="0"/>
        <w:ind w:firstLine="643"/>
      </w:pPr>
      <w:bookmarkStart w:id="500" w:name="_Toc170897774"/>
      <w:bookmarkStart w:id="501" w:name="_Toc19131"/>
      <w:bookmarkStart w:id="502" w:name="_Toc8983"/>
      <w:r>
        <w:rPr>
          <w:rFonts w:hint="eastAsia"/>
        </w:rPr>
        <w:t>（一）存在的问题</w:t>
      </w:r>
      <w:bookmarkEnd w:id="500"/>
      <w:bookmarkEnd w:id="501"/>
      <w:bookmarkEnd w:id="502"/>
    </w:p>
    <w:p>
      <w:pPr>
        <w:pStyle w:val="4"/>
        <w:ind w:firstLine="643"/>
        <w:rPr>
          <w:rFonts w:hint="eastAsia"/>
        </w:rPr>
      </w:pPr>
      <w:r>
        <w:rPr>
          <w:rFonts w:hint="eastAsia"/>
        </w:rPr>
        <w:t>1.预算程序</w:t>
      </w:r>
    </w:p>
    <w:p>
      <w:pPr>
        <w:ind w:firstLine="640"/>
      </w:pPr>
      <w:r>
        <w:rPr>
          <w:rFonts w:hint="eastAsia"/>
        </w:rPr>
        <w:t>预算程序不规范：遂宁高新区印刷科技产业园及基础设施建设项目单位遂宁天一投资集团有限公司对资金使用需求，未执行预算申请程序，未经预算审批程序。没有明确资金使用项目和使用目标，未设定绩效目标表，未能突出结果导向。</w:t>
      </w:r>
    </w:p>
    <w:p>
      <w:pPr>
        <w:pStyle w:val="4"/>
        <w:ind w:firstLine="643"/>
        <w:rPr>
          <w:rFonts w:hint="eastAsia"/>
        </w:rPr>
      </w:pPr>
      <w:r>
        <w:rPr>
          <w:rFonts w:hint="eastAsia"/>
        </w:rPr>
        <w:t>2.绩效管理</w:t>
      </w:r>
    </w:p>
    <w:p>
      <w:pPr>
        <w:ind w:firstLine="640"/>
      </w:pPr>
      <w:r>
        <w:rPr>
          <w:rFonts w:hint="eastAsia"/>
        </w:rPr>
        <w:t>遂宁高新区印刷科技产业园及基础设施建设项目绩效管理机制不健全：监督机制缺失，未对项目实施进程做绩效中期监控，项目进度控制不严，实际进度与预算进度偏差较多。项目资金使用完成后，项目实施单位遂宁天一投资集团有限公司未及时开展绩效自评工作，未做自评报告，绩效自评报告是评估项目执行效果、总结经验教训的重要工具。未做绩效自评报告可能导致无法准确了解项目实际情况，影响后续决策和改进。</w:t>
      </w:r>
    </w:p>
    <w:p>
      <w:pPr>
        <w:pStyle w:val="4"/>
        <w:ind w:firstLine="643"/>
        <w:rPr>
          <w:rFonts w:hint="eastAsia"/>
        </w:rPr>
      </w:pPr>
      <w:r>
        <w:rPr>
          <w:rFonts w:hint="eastAsia"/>
        </w:rPr>
        <w:t>3.项目管理</w:t>
      </w:r>
    </w:p>
    <w:p>
      <w:pPr>
        <w:ind w:firstLine="640"/>
        <w:rPr>
          <w:rFonts w:hint="eastAsia" w:ascii="仿宋" w:hAnsi="仿宋" w:cs="仿宋"/>
        </w:rPr>
      </w:pPr>
      <w:r>
        <w:rPr>
          <w:rFonts w:hint="eastAsia" w:ascii="仿宋" w:hAnsi="仿宋" w:cs="仿宋"/>
        </w:rPr>
        <w:t>项目进度滞后，产出时效未达标，合同计划竣工日期2023年12月26日，截至2024年7月现场查看项目工程已接近完工，其中厂房、研发房、货运通道等主体结构施工完成，正在进行室内外装饰装修及附属设施施工。</w:t>
      </w:r>
    </w:p>
    <w:p>
      <w:pPr>
        <w:pStyle w:val="3"/>
        <w:spacing w:before="0" w:after="0"/>
        <w:ind w:firstLine="643"/>
      </w:pPr>
      <w:bookmarkStart w:id="503" w:name="_Toc170897780"/>
      <w:bookmarkStart w:id="504" w:name="_Toc11038"/>
      <w:bookmarkStart w:id="505" w:name="_Toc23090"/>
      <w:bookmarkStart w:id="506" w:name="_Toc18652"/>
      <w:r>
        <w:rPr>
          <w:rFonts w:hint="eastAsia"/>
        </w:rPr>
        <w:t>（二）有关建议</w:t>
      </w:r>
      <w:bookmarkEnd w:id="503"/>
      <w:bookmarkEnd w:id="504"/>
      <w:bookmarkEnd w:id="505"/>
    </w:p>
    <w:p>
      <w:pPr>
        <w:pStyle w:val="4"/>
        <w:ind w:firstLine="643"/>
        <w:rPr>
          <w:rFonts w:hint="eastAsia"/>
        </w:rPr>
      </w:pPr>
      <w:r>
        <w:rPr>
          <w:rFonts w:hint="eastAsia"/>
        </w:rPr>
        <w:t>1.加强预算程序规范</w:t>
      </w:r>
    </w:p>
    <w:p>
      <w:pPr>
        <w:ind w:firstLine="640"/>
      </w:pPr>
      <w:r>
        <w:rPr>
          <w:rFonts w:hint="eastAsia"/>
        </w:rPr>
        <w:t>根据自身发展战略和业务规划，详细梳理各项工作目标和具体需求，收集相关数据和信息，进行科学合理的预算规划，制定详细预算方案，提交上级审批。</w:t>
      </w:r>
    </w:p>
    <w:p>
      <w:pPr>
        <w:pStyle w:val="4"/>
        <w:ind w:firstLine="643"/>
        <w:rPr>
          <w:rFonts w:hint="eastAsia"/>
        </w:rPr>
      </w:pPr>
      <w:r>
        <w:rPr>
          <w:rFonts w:hint="eastAsia"/>
        </w:rPr>
        <w:t>2.加强绩效管理宣传和培训</w:t>
      </w:r>
    </w:p>
    <w:p>
      <w:pPr>
        <w:ind w:firstLine="640"/>
      </w:pPr>
      <w:r>
        <w:rPr>
          <w:rFonts w:hint="eastAsia"/>
        </w:rPr>
        <w:t>提高全员对绩效管理的认识和重视程度。完善绩效管理机制，建立健全的监督机制和反馈机制。合理设置绩效指标，确保绩效指标全面、客观、量化。建立监控机制：明确监控的主体、对象、内容、方式和频率，建立全面的绩效过程监控机制。定期评估和调整：定期对预算执行情况进行评估和分析，根据评估结果及时调整预算目标和计划，确保预算执行的有效性和合理性。</w:t>
      </w:r>
    </w:p>
    <w:p>
      <w:pPr>
        <w:pStyle w:val="4"/>
        <w:ind w:firstLine="643"/>
        <w:rPr>
          <w:rFonts w:hint="eastAsia"/>
        </w:rPr>
      </w:pPr>
      <w:r>
        <w:rPr>
          <w:rFonts w:hint="eastAsia"/>
        </w:rPr>
        <w:t>3.加强项目管理</w:t>
      </w:r>
    </w:p>
    <w:p>
      <w:pPr>
        <w:ind w:firstLine="640"/>
        <w:rPr>
          <w:rStyle w:val="20"/>
        </w:rPr>
      </w:pPr>
      <w:r>
        <w:rPr>
          <w:rFonts w:hint="eastAsia"/>
        </w:rPr>
        <w:t>制定详细的项目管理时间表，包括关键路径和任务分配。确保项目按计划进行，及时调整进度偏差。有效分配资源，保障项目进度和质量。在项目执行过程中建立有效的反馈机制，及时收集信息，进行项目分析，评估，及时作出调整和应对方案。</w:t>
      </w:r>
    </w:p>
    <w:bookmarkEnd w:id="506"/>
    <w:p>
      <w:pPr>
        <w:pStyle w:val="2"/>
        <w:spacing w:before="0" w:after="0"/>
        <w:ind w:firstLine="640"/>
      </w:pPr>
      <w:bookmarkStart w:id="507" w:name="_Toc120303739"/>
      <w:bookmarkStart w:id="508" w:name="_Toc18388"/>
      <w:bookmarkStart w:id="509" w:name="_Toc14167"/>
      <w:bookmarkStart w:id="510" w:name="_Toc16658"/>
      <w:r>
        <w:rPr>
          <w:rFonts w:hint="eastAsia"/>
        </w:rPr>
        <w:t>六、其他需要说明的问题</w:t>
      </w:r>
      <w:bookmarkEnd w:id="507"/>
      <w:bookmarkEnd w:id="508"/>
      <w:bookmarkEnd w:id="509"/>
      <w:bookmarkEnd w:id="510"/>
    </w:p>
    <w:p>
      <w:pPr>
        <w:pStyle w:val="5"/>
        <w:ind w:firstLine="640"/>
        <w:rPr>
          <w:rFonts w:hint="eastAsia" w:ascii="仿宋" w:hAnsi="仿宋" w:cs="仿宋"/>
          <w:b w:val="0"/>
          <w:bCs w:val="0"/>
        </w:rPr>
      </w:pPr>
      <w:r>
        <w:rPr>
          <w:rFonts w:hint="eastAsia" w:ascii="仿宋" w:hAnsi="仿宋" w:cs="仿宋"/>
          <w:b w:val="0"/>
          <w:bCs w:val="0"/>
        </w:rPr>
        <w:t>本次绩效评价工作基于项目单位的资料及沟通情况开展，项目资料的完整性和真实性由项目单位负责。评价报告在综合了解相关政策文件、项目实施内容与预算编制等的基础上，结合项目单位提供的项目资料，从项目决策、项目过程、项目产出、项目效益等四方面进行逐一评价。评价报告仅适用涉及遂宁高新区印刷科技产业园及基础设施建设项目2023年度使用国有资本经营预算项目支出的工作内容，超过此范围的内容不作为评价的范围，评价结果仅作为遂宁高新区财政金融局对遂宁高新区印刷科技产业园及基础设施国有资本经营预算支出项目资金绩效评价及结果应用使用，未经许可其他单位和个人不得用作其他用途。</w:t>
      </w:r>
    </w:p>
    <w:p>
      <w:pPr>
        <w:ind w:firstLine="640"/>
        <w:rPr>
          <w:rFonts w:hint="eastAsia" w:ascii="仿宋" w:hAnsi="仿宋"/>
          <w:szCs w:val="32"/>
        </w:rPr>
      </w:pPr>
    </w:p>
    <w:p>
      <w:pPr>
        <w:ind w:firstLine="640"/>
        <w:rPr>
          <w:rFonts w:hint="eastAsia" w:ascii="仿宋" w:hAnsi="仿宋"/>
          <w:szCs w:val="32"/>
        </w:rPr>
      </w:pPr>
    </w:p>
    <w:p>
      <w:pPr>
        <w:ind w:firstLine="640"/>
      </w:pPr>
    </w:p>
    <w:p>
      <w:pPr>
        <w:ind w:firstLine="640"/>
      </w:pPr>
      <w:r>
        <w:rPr>
          <w:rFonts w:hint="eastAsia"/>
        </w:rPr>
        <w:t>附件</w:t>
      </w:r>
      <w:r>
        <w:t>：</w:t>
      </w:r>
      <w:bookmarkStart w:id="511" w:name="OLE_LINK1"/>
      <w:r>
        <w:rPr>
          <w:rFonts w:hint="eastAsia"/>
        </w:rPr>
        <w:t>遂宁高新区印刷科技产业园及基础设施国有资本经营预算项目绩效评价评分表</w:t>
      </w:r>
      <w:bookmarkEnd w:id="511"/>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Next w:val="0"/>
        <w:keepLines w:val="0"/>
        <w:pageBreakBefore w:val="0"/>
        <w:widowControl w:val="0"/>
        <w:kinsoku/>
        <w:wordWrap/>
        <w:overflowPunct/>
        <w:topLinePunct w:val="0"/>
        <w:autoSpaceDE/>
        <w:autoSpaceDN/>
        <w:bidi w:val="0"/>
        <w:adjustRightInd/>
        <w:snapToGrid/>
        <w:spacing w:before="313" w:beforeLines="100"/>
        <w:ind w:firstLine="0" w:firstLineChars="0"/>
        <w:jc w:val="center"/>
        <w:textAlignment w:val="auto"/>
        <w:rPr>
          <w:rFonts w:hint="eastAsia" w:ascii="宋体" w:hAnsi="宋体" w:eastAsia="宋体"/>
          <w:b/>
          <w:bCs/>
          <w:sz w:val="44"/>
          <w:szCs w:val="44"/>
        </w:rPr>
      </w:pPr>
      <w:r>
        <w:rPr>
          <w:rFonts w:ascii="宋体" w:hAnsi="宋体" w:eastAsia="宋体"/>
          <w:b/>
          <w:bCs/>
          <w:spacing w:val="-1"/>
          <w:sz w:val="44"/>
          <w:szCs w:val="44"/>
        </w:rPr>
        <w:t>遂宁高新区电子产业园区及配套基础设施建设项目（二期）</w:t>
      </w:r>
      <w:r>
        <w:rPr>
          <w:rFonts w:hint="eastAsia" w:ascii="宋体" w:hAnsi="宋体" w:eastAsia="宋体"/>
          <w:b/>
          <w:bCs/>
          <w:spacing w:val="-1"/>
          <w:sz w:val="44"/>
          <w:szCs w:val="44"/>
        </w:rPr>
        <w:t>2023年度专项债券项目资金绩效评价报告</w:t>
      </w:r>
    </w:p>
    <w:p>
      <w:pPr>
        <w:ind w:firstLine="640"/>
        <w:rPr>
          <w:rFonts w:hint="eastAsia" w:ascii="仿宋" w:hAnsi="仿宋" w:cs="仿宋"/>
        </w:rPr>
      </w:pPr>
      <w:r>
        <w:rPr>
          <w:rFonts w:hint="eastAsia" w:ascii="仿宋" w:hAnsi="仿宋" w:cs="仿宋"/>
          <w:szCs w:val="32"/>
        </w:rPr>
        <w:t>为加强地方政府专项债券项目资金绩效管理，全面落实</w:t>
      </w:r>
      <w:r>
        <w:rPr>
          <w:rFonts w:hint="eastAsia" w:ascii="仿宋" w:hAnsi="仿宋" w:cs="仿宋"/>
        </w:rPr>
        <w:t>《中华人民共和国预算法》</w:t>
      </w:r>
      <w:r>
        <w:rPr>
          <w:rFonts w:hint="eastAsia" w:ascii="仿宋" w:hAnsi="仿宋" w:cs="仿宋"/>
          <w:szCs w:val="32"/>
          <w:shd w:val="clear" w:color="auto" w:fill="FFFFFF"/>
        </w:rPr>
        <w:t>《中共中央国务院关于全面实施预算绩效管理的意见》（中发〔2018〕34号）、《中共四川省委四川省人民政府关于全面实施预算绩效管理的实施意见》（川委发〔2019〕8号）和《中共四川省委办公厅四川省人民政府办公厅关于深入实施预算绩效管理的通知》（川委厅〔2022〕5号）</w:t>
      </w:r>
      <w:r>
        <w:rPr>
          <w:rFonts w:hint="eastAsia" w:ascii="仿宋" w:hAnsi="仿宋" w:cs="仿宋"/>
        </w:rPr>
        <w:t>文件精神，</w:t>
      </w:r>
      <w:r>
        <w:rPr>
          <w:rFonts w:hint="eastAsia" w:ascii="仿宋" w:hAnsi="仿宋" w:cs="仿宋"/>
          <w:szCs w:val="32"/>
        </w:rPr>
        <w:t>提高专项债券资金使用效益，有效防范政府债务风险</w:t>
      </w:r>
      <w:r>
        <w:rPr>
          <w:rFonts w:hint="eastAsia" w:ascii="仿宋" w:hAnsi="仿宋" w:cs="仿宋"/>
        </w:rPr>
        <w:t>。根据《财政部关于印发&lt;项目支出绩效评价管理办法&gt;的通知》（财预〔2020〕10号）、《</w:t>
      </w:r>
      <w:r>
        <w:rPr>
          <w:rFonts w:hint="eastAsia" w:ascii="仿宋" w:hAnsi="仿宋" w:cs="仿宋"/>
          <w:szCs w:val="32"/>
        </w:rPr>
        <w:t>财政部关于印发&lt;地方政府专项债券项目资金绩效管理办法&gt;的通知》（财预〔2021〕61号）、《四川省地方政府专项债券全生命周期管理办法》（川财规〔2021〕6号）</w:t>
      </w:r>
      <w:r>
        <w:rPr>
          <w:rFonts w:hint="eastAsia" w:ascii="仿宋" w:hAnsi="仿宋" w:cs="仿宋"/>
          <w:szCs w:val="32"/>
          <w:shd w:val="clear" w:color="auto" w:fill="FFFFFF"/>
        </w:rPr>
        <w:t>和《遂宁高新区财政金融局关于开展2024年部门、政策和项目支出重点绩效评价工作的通知》（遂高管财发〔2024〕9号）等文件要求，由遂宁高新区财政金融局组织和领导，成都金财企服企业管理有限公司接受委托并组建绩效评价组</w:t>
      </w:r>
      <w:r>
        <w:rPr>
          <w:rFonts w:hint="eastAsia" w:ascii="仿宋" w:hAnsi="仿宋" w:cs="仿宋"/>
        </w:rPr>
        <w:t>，对遂宁高新区电子产业园区及配套基础设施建设项目（二期）2023年度专项债资金使用情况进行绩效评价。</w:t>
      </w:r>
      <w:r>
        <w:rPr>
          <w:rFonts w:hint="eastAsia" w:ascii="仿宋" w:hAnsi="仿宋" w:cs="仿宋"/>
          <w:szCs w:val="32"/>
          <w:shd w:val="clear" w:color="auto" w:fill="FFFFFF"/>
        </w:rPr>
        <w:t>经过资料评审、现场查看和综合分析评价，形成本次绩效评价报告，现将有关情况报告如下</w:t>
      </w:r>
      <w:r>
        <w:rPr>
          <w:rFonts w:hint="eastAsia" w:ascii="仿宋" w:hAnsi="仿宋" w:cs="仿宋"/>
        </w:rPr>
        <w:t>。</w:t>
      </w:r>
    </w:p>
    <w:p>
      <w:pPr>
        <w:pStyle w:val="2"/>
        <w:spacing w:before="0" w:after="0"/>
        <w:ind w:firstLine="640"/>
      </w:pPr>
      <w:bookmarkStart w:id="512" w:name="_Toc12333"/>
      <w:r>
        <w:rPr>
          <w:rFonts w:hint="eastAsia" w:ascii="黑体" w:hAnsi="黑体" w:cs="黑体"/>
        </w:rPr>
        <w:t>一、基本情况</w:t>
      </w:r>
      <w:bookmarkEnd w:id="512"/>
    </w:p>
    <w:p>
      <w:pPr>
        <w:pStyle w:val="3"/>
        <w:spacing w:before="0" w:after="0"/>
        <w:ind w:firstLine="643"/>
      </w:pPr>
      <w:bookmarkStart w:id="513" w:name="_Toc9495"/>
      <w:r>
        <w:rPr>
          <w:rFonts w:hint="eastAsia" w:ascii="仿宋_GB2312" w:hAnsi="仿宋_GB2312" w:cs="仿宋_GB2312"/>
        </w:rPr>
        <w:t>（一）项目概况</w:t>
      </w:r>
      <w:bookmarkEnd w:id="513"/>
    </w:p>
    <w:p>
      <w:pPr>
        <w:pStyle w:val="4"/>
        <w:ind w:firstLine="643"/>
        <w:rPr>
          <w:rFonts w:hint="eastAsia"/>
        </w:rPr>
      </w:pPr>
      <w:r>
        <w:rPr>
          <w:rFonts w:hint="eastAsia"/>
        </w:rPr>
        <w:t>1.项目背景</w:t>
      </w:r>
    </w:p>
    <w:p>
      <w:pPr>
        <w:pStyle w:val="7"/>
        <w:ind w:firstLine="640"/>
        <w:jc w:val="both"/>
      </w:pPr>
      <w:r>
        <w:t>《遂宁市国民经济和社会发展第十四个五年规划和二</w:t>
      </w:r>
      <w:r>
        <w:rPr>
          <w:rFonts w:hint="eastAsia" w:ascii="仿宋" w:hAnsi="仿宋" w:cs="仿宋"/>
        </w:rPr>
        <w:t>O</w:t>
      </w:r>
      <w:r>
        <w:t>三五年远景目标纲要》提出</w:t>
      </w:r>
      <w:r>
        <w:rPr>
          <w:rFonts w:hint="eastAsia"/>
        </w:rPr>
        <w:t>，</w:t>
      </w:r>
      <w:r>
        <w:t>要力争引进电子元器件、集成电路封装测试、消费电子、大数据示范应用等投资亿元以上项目</w:t>
      </w:r>
      <w:r>
        <w:rPr>
          <w:rFonts w:hint="eastAsia" w:ascii="仿宋" w:hAnsi="仿宋" w:cs="仿宋"/>
        </w:rPr>
        <w:t>100</w:t>
      </w:r>
      <w:r>
        <w:t>个，做大做强国家基础电子元器件高新技术产业化基地、中国光电产业基地，成为成渝双城经济圈重要的电子元器件制造基地、消费电子生产基地、数字经济示范基地。</w:t>
      </w:r>
    </w:p>
    <w:p>
      <w:pPr>
        <w:ind w:firstLine="648"/>
        <w:rPr>
          <w:rFonts w:hint="eastAsia" w:ascii="仿宋" w:hAnsi="仿宋" w:cs="仿宋"/>
        </w:rPr>
      </w:pPr>
      <w:r>
        <w:rPr>
          <w:rFonts w:hint="eastAsia" w:ascii="仿宋" w:hAnsi="仿宋" w:cs="仿宋"/>
          <w:spacing w:val="2"/>
          <w:szCs w:val="32"/>
        </w:rPr>
        <w:t>目前遂宁市电子产业的发展还较为滞后，产业发展程度不高，产</w:t>
      </w:r>
      <w:r>
        <w:rPr>
          <w:rFonts w:hint="eastAsia" w:ascii="仿宋" w:hAnsi="仿宋" w:cs="仿宋"/>
          <w:spacing w:val="1"/>
          <w:szCs w:val="32"/>
        </w:rPr>
        <w:t>业链群不全，产能利用率不足，在此背景下，为早日满足园区内在建及</w:t>
      </w:r>
      <w:r>
        <w:rPr>
          <w:rFonts w:hint="eastAsia" w:ascii="仿宋" w:hAnsi="仿宋" w:cs="仿宋"/>
          <w:spacing w:val="-4"/>
          <w:szCs w:val="32"/>
        </w:rPr>
        <w:t>未来落户项目及企业的运营条件，推动电子产业发展，调整区域产业布局和产业结构，吸引更多企业入驻园区，提升园区实力以及竞争能力，充分发挥园区带动当地经济发展的作用，提升地区工业经济发展</w:t>
      </w:r>
      <w:r>
        <w:rPr>
          <w:rFonts w:hint="eastAsia" w:ascii="仿宋" w:hAnsi="仿宋" w:cs="仿宋"/>
          <w:spacing w:val="-1"/>
          <w:szCs w:val="32"/>
        </w:rPr>
        <w:t>水平，遂宁高新区</w:t>
      </w:r>
      <w:r>
        <w:rPr>
          <w:rFonts w:hint="eastAsia" w:ascii="仿宋" w:hAnsi="仿宋" w:cs="仿宋"/>
        </w:rPr>
        <w:t>管委会决定实施遂宁高新区电子产业园区及配套基础设施建设项目（二期）</w:t>
      </w:r>
      <w:r>
        <w:rPr>
          <w:rFonts w:hint="eastAsia" w:ascii="仿宋" w:hAnsi="仿宋" w:cs="仿宋"/>
          <w:spacing w:val="-1"/>
          <w:szCs w:val="32"/>
        </w:rPr>
        <w:t>的建设。</w:t>
      </w:r>
    </w:p>
    <w:p>
      <w:pPr>
        <w:pStyle w:val="4"/>
        <w:ind w:firstLine="643"/>
        <w:rPr>
          <w:rFonts w:hint="eastAsia"/>
        </w:rPr>
      </w:pPr>
      <w:r>
        <w:rPr>
          <w:rFonts w:hint="eastAsia"/>
        </w:rPr>
        <w:t>2.主要内容及实施情况</w:t>
      </w:r>
    </w:p>
    <w:p>
      <w:pPr>
        <w:pStyle w:val="5"/>
        <w:ind w:firstLine="643"/>
        <w:rPr>
          <w:rFonts w:hint="eastAsia" w:ascii="仿宋" w:hAnsi="仿宋" w:cs="仿宋"/>
        </w:rPr>
      </w:pPr>
      <w:r>
        <w:rPr>
          <w:rFonts w:hint="eastAsia" w:ascii="仿宋" w:hAnsi="仿宋" w:cs="仿宋"/>
        </w:rPr>
        <w:t>（1）项目参与主体</w:t>
      </w:r>
    </w:p>
    <w:p>
      <w:pPr>
        <w:ind w:firstLine="640"/>
        <w:rPr>
          <w:rFonts w:hint="eastAsia" w:ascii="仿宋" w:hAnsi="仿宋"/>
          <w:szCs w:val="32"/>
        </w:rPr>
      </w:pPr>
      <w:r>
        <w:rPr>
          <w:rFonts w:hint="eastAsia" w:ascii="仿宋" w:hAnsi="仿宋"/>
          <w:szCs w:val="32"/>
        </w:rPr>
        <w:t>项目</w:t>
      </w:r>
      <w:r>
        <w:rPr>
          <w:rFonts w:hint="eastAsia" w:ascii="仿宋" w:hAnsi="仿宋" w:cs="仿宋"/>
          <w:szCs w:val="32"/>
        </w:rPr>
        <w:t>主管部门：</w:t>
      </w:r>
      <w:r>
        <w:rPr>
          <w:rFonts w:hint="eastAsia" w:ascii="仿宋" w:hAnsi="仿宋"/>
          <w:szCs w:val="32"/>
        </w:rPr>
        <w:t>四川遂宁高新技术产业园区建设与交通运输局。</w:t>
      </w:r>
    </w:p>
    <w:p>
      <w:pPr>
        <w:pStyle w:val="7"/>
        <w:ind w:firstLine="640"/>
        <w:jc w:val="both"/>
      </w:pPr>
      <w:r>
        <w:rPr>
          <w:rFonts w:hint="eastAsia" w:ascii="仿宋" w:hAnsi="仿宋"/>
          <w:szCs w:val="32"/>
        </w:rPr>
        <w:t>项目</w:t>
      </w:r>
      <w:r>
        <w:rPr>
          <w:rFonts w:hint="eastAsia" w:ascii="仿宋" w:hAnsi="仿宋" w:cs="仿宋"/>
          <w:szCs w:val="32"/>
        </w:rPr>
        <w:t>建设</w:t>
      </w:r>
      <w:r>
        <w:rPr>
          <w:rFonts w:hint="eastAsia" w:ascii="仿宋" w:hAnsi="仿宋"/>
          <w:szCs w:val="32"/>
        </w:rPr>
        <w:t>单位：</w:t>
      </w:r>
      <w:r>
        <w:rPr>
          <w:rFonts w:hint="eastAsia" w:ascii="仿宋" w:hAnsi="仿宋" w:cs="仿宋"/>
          <w:szCs w:val="32"/>
        </w:rPr>
        <w:t>遂宁天一投资集团有限公司；2023年1月9日，遂宁高新区发展改革与统计局下达了《遂宁高新区发展改革与统计局关于同意遂宁高新区电子产业园区及配套基础设施建设项目（二期）业主变更的批复》（遂高发改投资〔2023</w:t>
      </w:r>
      <w:r>
        <w:rPr>
          <w:rFonts w:hint="eastAsia" w:ascii="仿宋" w:hAnsi="仿宋" w:cs="仿宋"/>
        </w:rPr>
        <w:t>〕</w:t>
      </w:r>
      <w:r>
        <w:rPr>
          <w:rFonts w:hint="eastAsia" w:ascii="仿宋" w:hAnsi="仿宋" w:cs="仿宋"/>
          <w:szCs w:val="32"/>
        </w:rPr>
        <w:t>3号），本项目建设单位由遂宁天一投资集团有限公司变更为遂宁天擎工程项目管理有限公司。</w:t>
      </w:r>
    </w:p>
    <w:p>
      <w:pPr>
        <w:pStyle w:val="5"/>
        <w:ind w:firstLine="643"/>
        <w:rPr>
          <w:rFonts w:hint="eastAsia" w:ascii="仿宋" w:hAnsi="仿宋" w:cs="仿宋"/>
        </w:rPr>
      </w:pPr>
      <w:r>
        <w:rPr>
          <w:rFonts w:hint="eastAsia" w:ascii="仿宋" w:hAnsi="仿宋" w:cs="仿宋"/>
        </w:rPr>
        <w:t>（2）项目建设内容</w:t>
      </w:r>
    </w:p>
    <w:p>
      <w:pPr>
        <w:ind w:firstLine="640"/>
        <w:rPr>
          <w:rFonts w:hint="eastAsia" w:ascii="仿宋" w:hAnsi="仿宋" w:cs="仿宋"/>
        </w:rPr>
      </w:pPr>
      <w:r>
        <w:rPr>
          <w:rFonts w:hint="eastAsia" w:ascii="仿宋" w:hAnsi="仿宋" w:cs="仿宋"/>
        </w:rPr>
        <w:t>遂宁高新区电子产业园区及配套基础设施建设项目（二期）建设工程建设地点位于遂宁市高新区保升镇。建设内容包括：项目总占地面积约150亩，建筑总面积约16.2万平方米，主要新建标准厂房总建筑面积约14万平方米，仓库约1万平方米及配套建设园区道路、停车场、管网管线及其他相关附属工程。本项目总投资110,500.00万元，其中工程费用89,260.73万元，工程建设其他费用9,647.45万元，预备费9,440.82万元，建设期利息2,124.00万元，债券发行费用27.00万元。</w:t>
      </w:r>
    </w:p>
    <w:p>
      <w:pPr>
        <w:ind w:firstLine="640"/>
        <w:rPr>
          <w:rFonts w:hint="eastAsia" w:ascii="仿宋" w:hAnsi="仿宋" w:cs="仿宋"/>
        </w:rPr>
      </w:pPr>
      <w:r>
        <w:rPr>
          <w:rFonts w:hint="eastAsia" w:ascii="仿宋" w:hAnsi="仿宋" w:cs="仿宋"/>
        </w:rPr>
        <w:t>本项目资本金83,500.00万元，占总投资的75.57%，来源于业主自筹；计划发行专项债券27,000.00万元，占总投资的24.43%。</w:t>
      </w:r>
    </w:p>
    <w:p>
      <w:pPr>
        <w:pStyle w:val="5"/>
        <w:ind w:firstLine="643"/>
        <w:rPr>
          <w:rFonts w:hint="eastAsia" w:ascii="仿宋" w:hAnsi="仿宋" w:cs="仿宋"/>
        </w:rPr>
      </w:pPr>
      <w:r>
        <w:rPr>
          <w:rFonts w:hint="eastAsia" w:ascii="仿宋" w:hAnsi="仿宋" w:cs="仿宋"/>
        </w:rPr>
        <w:t>（3）项目实施情况</w:t>
      </w:r>
    </w:p>
    <w:p>
      <w:pPr>
        <w:bidi w:val="0"/>
        <w:rPr>
          <w:rFonts w:hint="eastAsia" w:ascii="仿宋" w:hAnsi="仿宋" w:eastAsia="仿宋" w:cs="仿宋"/>
        </w:rPr>
      </w:pPr>
      <w:r>
        <w:rPr>
          <w:rFonts w:hint="eastAsia" w:ascii="仿宋" w:hAnsi="仿宋" w:eastAsia="仿宋" w:cs="仿宋"/>
        </w:rPr>
        <w:t>2022年6月30日遂宁高新区科技创新与经济发展局《关于审查遂宁高新区电子产业园区及配套基础设施建设项目（二期）可行性研究报告的请示》（遂天投〔2022〕49号）进行了批复（批复文号为：遂高经发〔2022〕63号）。</w:t>
      </w:r>
    </w:p>
    <w:p>
      <w:pPr>
        <w:bidi w:val="0"/>
        <w:rPr>
          <w:rFonts w:hint="eastAsia" w:ascii="仿宋" w:hAnsi="仿宋" w:eastAsia="仿宋" w:cs="仿宋"/>
        </w:rPr>
      </w:pPr>
      <w:r>
        <w:rPr>
          <w:rFonts w:hint="eastAsia" w:ascii="仿宋" w:hAnsi="仿宋" w:eastAsia="仿宋" w:cs="仿宋"/>
        </w:rPr>
        <w:t>根据遂宁高新区电子产业园区及配套基础设施建设项目（二期）可研报告及批复，项目建设期为：3年（2022年10月-2025年10月）。遂宁天擎工程项目管理有限公司已经完成了项目环评论证、用地论证、立项审批、债券资金申请等工作。项目工程相关的勘察、设计、施工、监理、重要设备（含安装）和材料采购等招标工作也已经完成。项目于2023年5月6日开工建设，截至2023年12月31日，根据《遂宁高新区电子产业园区及配套基础设施建设项目（二期）－标准厂房二期第1期进度审核报告》显示工程进度完成合同工程量40.00%。</w:t>
      </w:r>
    </w:p>
    <w:p>
      <w:pPr>
        <w:pStyle w:val="4"/>
        <w:ind w:firstLine="643"/>
        <w:rPr>
          <w:rFonts w:hint="eastAsia"/>
        </w:rPr>
      </w:pPr>
      <w:r>
        <w:rPr>
          <w:rFonts w:hint="eastAsia"/>
        </w:rPr>
        <w:t>3.资金投入</w:t>
      </w:r>
    </w:p>
    <w:p>
      <w:pPr>
        <w:ind w:firstLine="640"/>
        <w:rPr>
          <w:rFonts w:hint="eastAsia" w:ascii="仿宋" w:hAnsi="仿宋" w:cs="仿宋"/>
        </w:rPr>
      </w:pPr>
      <w:r>
        <w:rPr>
          <w:rFonts w:hint="eastAsia" w:ascii="仿宋" w:hAnsi="仿宋" w:cs="仿宋"/>
        </w:rPr>
        <w:t>遂宁高新区电子产业园区及配套基础设施建设项目（二期），根据发行计划及额度安排，2023年发行6,900.00万元，期限20年。依据《遂宁高新区财政金融局关于做好2023年第一批新增专项债券用途变动有关工作的通知》取得遂宁高新区交通新型基础设施升级改造项目专项债资金3,000.00万元用于遂宁高新区电子产业园区及配套基础设施建设项目（二期）项目建设。2023年度遂宁高新区电子产业园区及配套基础设施建设项目（二期）项目共计规划</w:t>
      </w:r>
      <w:r>
        <w:rPr>
          <w:rFonts w:ascii="仿宋" w:hAnsi="仿宋" w:cs="仿宋"/>
        </w:rPr>
        <w:t>使用地方政府专项债券资金</w:t>
      </w:r>
      <w:r>
        <w:rPr>
          <w:rFonts w:hint="eastAsia" w:ascii="仿宋" w:hAnsi="仿宋" w:cs="仿宋"/>
        </w:rPr>
        <w:t>9,900.00万元。遂宁高新区财政金融局于2023年5月11日下达了6,900.00万元专项债</w:t>
      </w:r>
      <w:r>
        <w:rPr>
          <w:rFonts w:hint="eastAsia"/>
        </w:rPr>
        <w:t>资金</w:t>
      </w:r>
      <w:r>
        <w:rPr>
          <w:rFonts w:hint="eastAsia" w:ascii="仿宋" w:hAnsi="仿宋" w:cs="仿宋"/>
        </w:rPr>
        <w:t>到位通知，</w:t>
      </w:r>
      <w:r>
        <w:rPr>
          <w:rFonts w:ascii="仿宋" w:hAnsi="仿宋" w:cs="仿宋"/>
        </w:rPr>
        <w:t>该笔资金</w:t>
      </w:r>
      <w:r>
        <w:rPr>
          <w:rFonts w:hint="eastAsia" w:ascii="仿宋" w:hAnsi="仿宋" w:cs="仿宋"/>
        </w:rPr>
        <w:t>2023年5月18日汇入遂宁天擎工程项目管理有限公司电子产业园项目专项债券资金专户。遂宁高新区财政金融局于2023年7月18日下达3,000.00万专项债券资金用途变更通知，</w:t>
      </w:r>
      <w:r>
        <w:rPr>
          <w:rFonts w:ascii="仿宋" w:hAnsi="仿宋" w:cs="仿宋"/>
        </w:rPr>
        <w:t>该笔资金由原专项债项目建设单位</w:t>
      </w:r>
      <w:r>
        <w:rPr>
          <w:rFonts w:hint="eastAsia" w:ascii="仿宋" w:hAnsi="仿宋" w:cs="仿宋"/>
        </w:rPr>
        <w:t>四川</w:t>
      </w:r>
      <w:r>
        <w:rPr>
          <w:rFonts w:ascii="仿宋" w:hAnsi="仿宋" w:cs="仿宋"/>
        </w:rPr>
        <w:t>天盈实业有限</w:t>
      </w:r>
      <w:r>
        <w:rPr>
          <w:rFonts w:hint="eastAsia" w:ascii="仿宋" w:hAnsi="仿宋" w:cs="仿宋"/>
        </w:rPr>
        <w:t>责任</w:t>
      </w:r>
      <w:r>
        <w:rPr>
          <w:rFonts w:ascii="仿宋" w:hAnsi="仿宋" w:cs="仿宋"/>
        </w:rPr>
        <w:t>公司转入</w:t>
      </w:r>
      <w:r>
        <w:rPr>
          <w:rFonts w:hint="eastAsia"/>
        </w:rPr>
        <w:t>遂宁天擎工程项目管理有限公司</w:t>
      </w:r>
      <w:r>
        <w:rPr>
          <w:rFonts w:ascii="仿宋" w:hAnsi="仿宋" w:cs="仿宋"/>
        </w:rPr>
        <w:t>债券资金</w:t>
      </w:r>
      <w:r>
        <w:rPr>
          <w:rFonts w:hint="eastAsia" w:ascii="仿宋" w:hAnsi="仿宋" w:cs="仿宋"/>
        </w:rPr>
        <w:t>专用</w:t>
      </w:r>
      <w:r>
        <w:rPr>
          <w:rFonts w:ascii="仿宋" w:hAnsi="仿宋" w:cs="仿宋"/>
        </w:rPr>
        <w:t>账户</w:t>
      </w:r>
      <w:r>
        <w:rPr>
          <w:rFonts w:hint="eastAsia" w:ascii="仿宋" w:hAnsi="仿宋" w:cs="仿宋"/>
        </w:rPr>
        <w:t>。遂宁高新区电子产业园区及配套基础设施建设项目（二期）</w:t>
      </w:r>
      <w:r>
        <w:rPr>
          <w:rFonts w:ascii="仿宋" w:hAnsi="仿宋" w:cs="仿宋"/>
        </w:rPr>
        <w:t>项目2023年度共计安排地方政府专项债券资金投入9,900.00万元</w:t>
      </w:r>
      <w:r>
        <w:rPr>
          <w:rFonts w:hint="eastAsia" w:ascii="仿宋" w:hAnsi="仿宋" w:cs="仿宋"/>
        </w:rPr>
        <w:t>，截至2023年12月31日，专项债资金到位7,330.75万元，资金到位率</w:t>
      </w:r>
      <w:r>
        <w:rPr>
          <w:rFonts w:ascii="仿宋" w:hAnsi="仿宋" w:cs="仿宋"/>
        </w:rPr>
        <w:t>为</w:t>
      </w:r>
      <w:r>
        <w:rPr>
          <w:rFonts w:hint="eastAsia" w:ascii="仿宋" w:hAnsi="仿宋" w:cs="仿宋"/>
        </w:rPr>
        <w:t>74.05%。</w:t>
      </w:r>
    </w:p>
    <w:p>
      <w:pPr>
        <w:pStyle w:val="4"/>
        <w:ind w:firstLine="643"/>
        <w:rPr>
          <w:rFonts w:hint="eastAsia"/>
        </w:rPr>
      </w:pPr>
      <w:r>
        <w:rPr>
          <w:rFonts w:hint="eastAsia"/>
        </w:rPr>
        <w:t>4.资金使用情况</w:t>
      </w:r>
    </w:p>
    <w:p>
      <w:pPr>
        <w:ind w:firstLine="640"/>
        <w:rPr>
          <w:rFonts w:hint="eastAsia" w:ascii="仿宋" w:hAnsi="仿宋" w:cs="仿宋"/>
        </w:rPr>
      </w:pPr>
      <w:r>
        <w:rPr>
          <w:rFonts w:hint="eastAsia" w:ascii="仿宋" w:hAnsi="仿宋" w:cs="仿宋"/>
        </w:rPr>
        <w:t>截至2023年12月31日，遂宁高新区电子产业园区及配套基础设施建设项目（二期）建设工程专项债券资金累计支出3,537.38万元，资金结余3,793.37万元。具体情况下：</w:t>
      </w:r>
    </w:p>
    <w:p>
      <w:pPr>
        <w:adjustRightInd w:val="0"/>
        <w:snapToGrid w:val="0"/>
        <w:ind w:firstLine="482"/>
        <w:jc w:val="center"/>
        <w:rPr>
          <w:rFonts w:hint="eastAsia" w:ascii="宋体" w:hAnsi="宋体" w:eastAsia="宋体"/>
          <w:b/>
          <w:bCs/>
          <w:sz w:val="24"/>
        </w:rPr>
      </w:pPr>
      <w:r>
        <w:rPr>
          <w:rFonts w:hint="eastAsia" w:ascii="宋体" w:hAnsi="宋体" w:eastAsia="宋体"/>
          <w:b/>
          <w:bCs/>
          <w:sz w:val="24"/>
        </w:rPr>
        <w:t>专项债券资金支出明细表</w:t>
      </w:r>
    </w:p>
    <w:p>
      <w:pPr>
        <w:adjustRightInd w:val="0"/>
        <w:snapToGrid w:val="0"/>
        <w:ind w:firstLine="482"/>
        <w:jc w:val="right"/>
        <w:rPr>
          <w:rFonts w:hint="eastAsia" w:ascii="宋体" w:hAnsi="宋体" w:eastAsia="宋体"/>
          <w:b/>
          <w:bCs/>
          <w:sz w:val="24"/>
        </w:rPr>
      </w:pPr>
      <w:r>
        <w:rPr>
          <w:rFonts w:hint="eastAsia" w:ascii="宋体" w:hAnsi="宋体" w:eastAsia="宋体"/>
          <w:b/>
          <w:bCs/>
          <w:sz w:val="24"/>
        </w:rPr>
        <w:t>（单位：万元）</w:t>
      </w:r>
    </w:p>
    <w:tbl>
      <w:tblPr>
        <w:tblStyle w:val="17"/>
        <w:tblW w:w="4879" w:type="pct"/>
        <w:jc w:val="right"/>
        <w:tblLayout w:type="fixed"/>
        <w:tblCellMar>
          <w:top w:w="0" w:type="dxa"/>
          <w:left w:w="108" w:type="dxa"/>
          <w:bottom w:w="0" w:type="dxa"/>
          <w:right w:w="108" w:type="dxa"/>
        </w:tblCellMar>
      </w:tblPr>
      <w:tblGrid>
        <w:gridCol w:w="499"/>
        <w:gridCol w:w="975"/>
        <w:gridCol w:w="5588"/>
        <w:gridCol w:w="1254"/>
      </w:tblGrid>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b/>
                <w:bCs/>
                <w:sz w:val="20"/>
                <w:szCs w:val="20"/>
              </w:rPr>
            </w:pPr>
            <w:r>
              <w:rPr>
                <w:rFonts w:hint="eastAsia" w:ascii="宋体" w:hAnsi="宋体" w:eastAsia="宋体"/>
                <w:b/>
                <w:bCs/>
                <w:kern w:val="0"/>
                <w:sz w:val="20"/>
                <w:szCs w:val="20"/>
              </w:rPr>
              <w:t>序号</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b/>
                <w:bCs/>
                <w:sz w:val="20"/>
                <w:szCs w:val="20"/>
              </w:rPr>
            </w:pPr>
            <w:r>
              <w:rPr>
                <w:rFonts w:hint="eastAsia" w:ascii="宋体" w:hAnsi="宋体" w:eastAsia="宋体"/>
                <w:b/>
                <w:bCs/>
                <w:kern w:val="0"/>
                <w:sz w:val="20"/>
                <w:szCs w:val="20"/>
              </w:rPr>
              <w:t>类别</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b/>
                <w:bCs/>
                <w:sz w:val="20"/>
                <w:szCs w:val="20"/>
              </w:rPr>
            </w:pPr>
            <w:r>
              <w:rPr>
                <w:rFonts w:hint="eastAsia" w:ascii="宋体" w:hAnsi="宋体" w:eastAsia="宋体"/>
                <w:b/>
                <w:bCs/>
                <w:kern w:val="0"/>
                <w:sz w:val="20"/>
                <w:szCs w:val="20"/>
              </w:rPr>
              <w:t>摘要</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b/>
                <w:bCs/>
                <w:sz w:val="20"/>
                <w:szCs w:val="20"/>
              </w:rPr>
            </w:pPr>
            <w:r>
              <w:rPr>
                <w:rFonts w:hint="eastAsia" w:ascii="宋体" w:hAnsi="宋体" w:eastAsia="宋体"/>
                <w:b/>
                <w:bCs/>
                <w:kern w:val="0"/>
                <w:sz w:val="20"/>
                <w:szCs w:val="20"/>
              </w:rPr>
              <w:t>金额</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1</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专项债券资金支江苏中益建设集团电子产业配套设施标准厂房一期项目工程款</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391.07</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2</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专项债券资金支付四川勤兴工程公司电子产业园配套设施建设项目标准厂房一期监理服务费</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5.93</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3</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专项债券资金支持江苏中益电子产业园及基础设施建设项目二期标准厂房一期工程款</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117.41</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4</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专项债券支付四川智力嘉信建筑技术咨询公司电子产业园及基础设施建设二期标准厂房一期审图费</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1.90</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5</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专项债券资金支付江苏中益电子产业园及基础配套设施建设项目二期标准厂房一期工程款</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335.99</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6</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专项债券资金支付江苏中益电子产业园及基础配套设施建设项目二期标准厂房一期农民工工资</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155.11</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7</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预付贵州建工集团第一建筑工程公司电子产业园及基础设施建设项目二期标准厂房二期工程款</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2,051.27</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8</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勘察费</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专项债券资金支付核工业湖州勘测规划设计研究院电子产业园区及配套基础设施建设项目二期标准厂房勘察费</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7.67</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9</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勘察费</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专项债券资金支付山东大地建筑公司电子产业园区及配套基础设施建设项目二期标准厂房设计费</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40.28</w:t>
            </w:r>
          </w:p>
        </w:tc>
      </w:tr>
      <w:tr>
        <w:tblPrEx>
          <w:tblCellMar>
            <w:top w:w="0" w:type="dxa"/>
            <w:left w:w="108" w:type="dxa"/>
            <w:bottom w:w="0" w:type="dxa"/>
            <w:right w:w="108" w:type="dxa"/>
          </w:tblCellMar>
        </w:tblPrEx>
        <w:trPr>
          <w:trHeight w:val="636" w:hRule="atLeast"/>
          <w:jc w:val="right"/>
        </w:trPr>
        <w:tc>
          <w:tcPr>
            <w:tcW w:w="3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10</w:t>
            </w:r>
          </w:p>
        </w:tc>
        <w:tc>
          <w:tcPr>
            <w:tcW w:w="58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sz w:val="20"/>
                <w:szCs w:val="20"/>
              </w:rPr>
            </w:pPr>
            <w:r>
              <w:rPr>
                <w:rFonts w:hint="eastAsia" w:ascii="宋体" w:hAnsi="宋体" w:eastAsia="宋体"/>
                <w:kern w:val="0"/>
                <w:sz w:val="20"/>
                <w:szCs w:val="20"/>
              </w:rPr>
              <w:t>工程款</w:t>
            </w:r>
          </w:p>
        </w:tc>
        <w:tc>
          <w:tcPr>
            <w:tcW w:w="335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left"/>
              <w:textAlignment w:val="bottom"/>
              <w:rPr>
                <w:rFonts w:hint="eastAsia" w:ascii="宋体" w:hAnsi="宋体" w:eastAsia="宋体"/>
                <w:sz w:val="20"/>
                <w:szCs w:val="20"/>
              </w:rPr>
            </w:pPr>
            <w:r>
              <w:rPr>
                <w:rFonts w:hint="eastAsia" w:ascii="宋体" w:hAnsi="宋体" w:eastAsia="宋体"/>
                <w:kern w:val="0"/>
                <w:sz w:val="20"/>
                <w:szCs w:val="20"/>
              </w:rPr>
              <w:t>支明星新能源有限公司－遂宁高新区电子产业园区及配套基础设施建设项目（二期）－电力管网一期工程款</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sz w:val="20"/>
                <w:szCs w:val="20"/>
              </w:rPr>
            </w:pPr>
            <w:r>
              <w:rPr>
                <w:rFonts w:hint="eastAsia" w:ascii="宋体" w:hAnsi="宋体" w:eastAsia="宋体"/>
                <w:kern w:val="0"/>
                <w:sz w:val="20"/>
                <w:szCs w:val="20"/>
              </w:rPr>
              <w:t>430.75</w:t>
            </w:r>
          </w:p>
        </w:tc>
      </w:tr>
      <w:tr>
        <w:tblPrEx>
          <w:tblCellMar>
            <w:top w:w="0" w:type="dxa"/>
            <w:left w:w="108" w:type="dxa"/>
            <w:bottom w:w="0" w:type="dxa"/>
            <w:right w:w="108" w:type="dxa"/>
          </w:tblCellMar>
        </w:tblPrEx>
        <w:trPr>
          <w:trHeight w:val="333" w:hRule="atLeast"/>
          <w:jc w:val="right"/>
        </w:trPr>
        <w:tc>
          <w:tcPr>
            <w:tcW w:w="4245" w:type="pct"/>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center"/>
              <w:textAlignment w:val="bottom"/>
              <w:rPr>
                <w:rFonts w:hint="eastAsia" w:ascii="宋体" w:hAnsi="宋体" w:eastAsia="宋体"/>
                <w:b/>
                <w:bCs/>
                <w:sz w:val="20"/>
                <w:szCs w:val="20"/>
              </w:rPr>
            </w:pPr>
            <w:r>
              <w:rPr>
                <w:rFonts w:hint="eastAsia" w:ascii="宋体" w:hAnsi="宋体" w:eastAsia="宋体"/>
                <w:b/>
                <w:bCs/>
                <w:kern w:val="0"/>
                <w:sz w:val="20"/>
                <w:szCs w:val="20"/>
              </w:rPr>
              <w:t>支出合计</w:t>
            </w:r>
          </w:p>
        </w:tc>
        <w:tc>
          <w:tcPr>
            <w:tcW w:w="7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240" w:lineRule="auto"/>
              <w:ind w:firstLine="0" w:firstLineChars="0"/>
              <w:jc w:val="right"/>
              <w:textAlignment w:val="bottom"/>
              <w:rPr>
                <w:rFonts w:hint="eastAsia" w:ascii="宋体" w:hAnsi="宋体" w:eastAsia="宋体"/>
                <w:b/>
                <w:bCs/>
                <w:sz w:val="20"/>
                <w:szCs w:val="20"/>
              </w:rPr>
            </w:pPr>
            <w:r>
              <w:rPr>
                <w:rFonts w:hint="eastAsia" w:ascii="宋体" w:hAnsi="宋体" w:eastAsia="宋体"/>
                <w:b/>
                <w:bCs/>
                <w:kern w:val="0"/>
                <w:sz w:val="20"/>
                <w:szCs w:val="20"/>
              </w:rPr>
              <w:t>3,537.38</w:t>
            </w:r>
          </w:p>
        </w:tc>
      </w:tr>
    </w:tbl>
    <w:p>
      <w:pPr>
        <w:pStyle w:val="3"/>
        <w:spacing w:before="0" w:after="0"/>
        <w:ind w:firstLine="643"/>
        <w:rPr>
          <w:rFonts w:hint="eastAsia" w:ascii="仿宋" w:hAnsi="仿宋"/>
        </w:rPr>
      </w:pPr>
      <w:bookmarkStart w:id="514" w:name="_Toc24423"/>
      <w:r>
        <w:rPr>
          <w:rFonts w:hint="eastAsia"/>
        </w:rPr>
        <w:t>（二）项目绩效目标</w:t>
      </w:r>
      <w:bookmarkEnd w:id="514"/>
    </w:p>
    <w:p>
      <w:pPr>
        <w:pStyle w:val="4"/>
        <w:ind w:firstLine="643"/>
        <w:rPr>
          <w:rFonts w:hint="eastAsia"/>
        </w:rPr>
      </w:pPr>
      <w:r>
        <w:rPr>
          <w:rFonts w:hint="eastAsia"/>
        </w:rPr>
        <w:t>1.项目总体建设目标</w:t>
      </w:r>
    </w:p>
    <w:p>
      <w:pPr>
        <w:pStyle w:val="4"/>
        <w:ind w:firstLine="640"/>
        <w:rPr>
          <w:rFonts w:hint="eastAsia" w:ascii="仿宋" w:hAnsi="仿宋" w:eastAsia="仿宋" w:cs="仿宋"/>
          <w:b w:val="0"/>
          <w:bCs w:val="0"/>
        </w:rPr>
      </w:pPr>
      <w:r>
        <w:rPr>
          <w:rFonts w:hint="eastAsia" w:ascii="仿宋" w:hAnsi="仿宋" w:eastAsia="仿宋" w:cs="仿宋"/>
          <w:b w:val="0"/>
          <w:bCs w:val="0"/>
        </w:rPr>
        <w:t>项目总占地面积约150亩，建筑总面积约16.2万平方米，主要新建标准厂房总建筑面积约14万平方米，仓库约1万平方米及配套建设园区道路、停车场、管网管线及其他相关附属工程；在2026年3月前完成项目竣工验收；债券存续期内实现年度收支平衡和总体收支平衡；带动区域协同发展，提升区域经济发展水平和补齐发展短板。</w:t>
      </w:r>
    </w:p>
    <w:p>
      <w:pPr>
        <w:pStyle w:val="4"/>
        <w:ind w:firstLine="643"/>
        <w:rPr>
          <w:rFonts w:hint="eastAsia"/>
        </w:rPr>
      </w:pPr>
      <w:r>
        <w:rPr>
          <w:rFonts w:hint="eastAsia"/>
        </w:rPr>
        <w:t>2.2023年度目标</w:t>
      </w:r>
    </w:p>
    <w:p>
      <w:pPr>
        <w:ind w:firstLine="640"/>
        <w:rPr>
          <w:rFonts w:hint="eastAsia" w:ascii="仿宋" w:hAnsi="仿宋" w:cs="仿宋"/>
        </w:rPr>
      </w:pPr>
      <w:r>
        <w:rPr>
          <w:rFonts w:hint="eastAsia" w:ascii="仿宋" w:hAnsi="仿宋" w:cs="仿宋"/>
        </w:rPr>
        <w:t>在2023年12月31日前完成项目总占地面积约150亩，建筑总面积约16.2万平方米，主要新建标准厂房总建筑面积约14万平方米，仓库约1万平方米及配套建设园区道路、停车场、管网管线及其他相关附属工程的当年目标量。</w:t>
      </w:r>
    </w:p>
    <w:p>
      <w:pPr>
        <w:pStyle w:val="2"/>
        <w:spacing w:before="0" w:after="0"/>
        <w:ind w:firstLine="640"/>
      </w:pPr>
      <w:bookmarkStart w:id="515" w:name="_Toc3457"/>
      <w:r>
        <w:rPr>
          <w:rFonts w:hint="eastAsia"/>
        </w:rPr>
        <w:t>二、绩效工作开展情况</w:t>
      </w:r>
      <w:bookmarkEnd w:id="515"/>
    </w:p>
    <w:p>
      <w:pPr>
        <w:pStyle w:val="3"/>
        <w:spacing w:before="0" w:after="0"/>
        <w:ind w:firstLine="643"/>
      </w:pPr>
      <w:bookmarkStart w:id="516" w:name="_Toc13184"/>
      <w:r>
        <w:rPr>
          <w:rFonts w:hint="eastAsia"/>
        </w:rPr>
        <w:t>（一）绩效评价目的、对象和范围</w:t>
      </w:r>
      <w:bookmarkEnd w:id="516"/>
    </w:p>
    <w:p>
      <w:pPr>
        <w:pStyle w:val="4"/>
        <w:ind w:firstLine="643"/>
        <w:rPr>
          <w:rFonts w:hint="eastAsia"/>
        </w:rPr>
      </w:pPr>
      <w:r>
        <w:rPr>
          <w:rFonts w:hint="eastAsia"/>
        </w:rPr>
        <w:t>1.绩效评价目的</w:t>
      </w:r>
    </w:p>
    <w:p>
      <w:pPr>
        <w:ind w:firstLine="640"/>
        <w:rPr>
          <w:rFonts w:hint="eastAsia" w:ascii="仿宋" w:hAnsi="仿宋" w:cs="仿宋"/>
        </w:rPr>
      </w:pPr>
      <w:r>
        <w:rPr>
          <w:rFonts w:hint="eastAsia" w:ascii="仿宋" w:hAnsi="仿宋" w:cs="仿宋"/>
        </w:rPr>
        <w:t>根据项目绩效目标，运用科学合理的绩效评价指标、评价标准和评价方法，对遂宁高新区电子产业园区及配套基础设施建设项目（二期）2023年度使用专项债预算项目支出的经济性、效率性和效益性的情况进行客观、公正的评价。全面了解专项债项目的</w:t>
      </w:r>
      <w:r>
        <w:rPr>
          <w:rFonts w:ascii="仿宋" w:hAnsi="仿宋" w:cs="仿宋"/>
        </w:rPr>
        <w:t>管理和使用</w:t>
      </w:r>
      <w:r>
        <w:rPr>
          <w:rFonts w:hint="eastAsia" w:ascii="仿宋" w:hAnsi="仿宋" w:cs="仿宋"/>
        </w:rPr>
        <w:t>情况</w:t>
      </w:r>
      <w:r>
        <w:rPr>
          <w:rFonts w:ascii="仿宋" w:hAnsi="仿宋" w:cs="仿宋"/>
        </w:rPr>
        <w:t>，</w:t>
      </w:r>
      <w:r>
        <w:rPr>
          <w:rFonts w:hint="eastAsia" w:ascii="仿宋" w:hAnsi="仿宋" w:cs="仿宋"/>
        </w:rPr>
        <w:t>包括</w:t>
      </w:r>
      <w:r>
        <w:rPr>
          <w:rFonts w:ascii="仿宋" w:hAnsi="仿宋" w:cs="仿宋"/>
        </w:rPr>
        <w:t>专户保管</w:t>
      </w:r>
      <w:r>
        <w:rPr>
          <w:rFonts w:hint="eastAsia" w:ascii="仿宋" w:hAnsi="仿宋" w:cs="仿宋"/>
        </w:rPr>
        <w:t>、支出用途、使用情况等。通过评价，揭示项目的建设运营情况、资金利用效率和风险控制能力，为决策者提供科学依据，及时发现专项债资金使用过程中的浪费现象，促使项目实施单位加强资金管理，提高资金使用的精打细算程度。了解专项债项目的效益情况，从而优化财政支出结构，</w:t>
      </w:r>
      <w:r>
        <w:rPr>
          <w:rFonts w:ascii="仿宋" w:hAnsi="仿宋" w:cs="仿宋"/>
        </w:rPr>
        <w:t>加强资金管理和监督工作，提高专项债券资金使用效益</w:t>
      </w:r>
      <w:r>
        <w:rPr>
          <w:rFonts w:hint="eastAsia" w:ascii="仿宋" w:hAnsi="仿宋" w:cs="仿宋"/>
        </w:rPr>
        <w:t>。</w:t>
      </w:r>
    </w:p>
    <w:p>
      <w:pPr>
        <w:pStyle w:val="4"/>
        <w:ind w:firstLine="643"/>
        <w:rPr>
          <w:rFonts w:hint="eastAsia"/>
        </w:rPr>
      </w:pPr>
      <w:r>
        <w:rPr>
          <w:rFonts w:hint="eastAsia"/>
        </w:rPr>
        <w:t>2.绩效评价对象</w:t>
      </w:r>
    </w:p>
    <w:p>
      <w:pPr>
        <w:ind w:firstLine="640"/>
        <w:rPr>
          <w:rFonts w:hint="eastAsia" w:ascii="仿宋" w:hAnsi="仿宋" w:cs="仿宋"/>
        </w:rPr>
      </w:pPr>
      <w:r>
        <w:rPr>
          <w:rFonts w:hint="eastAsia" w:ascii="仿宋" w:hAnsi="仿宋" w:cs="仿宋"/>
        </w:rPr>
        <w:t>绩效评价对象：</w:t>
      </w:r>
      <w:r>
        <w:rPr>
          <w:rFonts w:hint="eastAsia"/>
          <w:szCs w:val="32"/>
        </w:rPr>
        <w:t>遂宁高新区电子产业园区及配套基础设施建设项目（二期</w:t>
      </w:r>
      <w:r>
        <w:rPr>
          <w:rFonts w:hint="eastAsia" w:ascii="仿宋" w:hAnsi="仿宋" w:cs="仿宋"/>
          <w:szCs w:val="32"/>
        </w:rPr>
        <w:t>）</w:t>
      </w:r>
      <w:r>
        <w:rPr>
          <w:rFonts w:hint="eastAsia" w:ascii="仿宋" w:hAnsi="仿宋" w:cs="仿宋"/>
        </w:rPr>
        <w:t>2023年度使用专项债</w:t>
      </w:r>
      <w:r>
        <w:rPr>
          <w:rFonts w:ascii="仿宋" w:hAnsi="仿宋" w:cs="仿宋"/>
        </w:rPr>
        <w:t>资金</w:t>
      </w:r>
      <w:r>
        <w:rPr>
          <w:rFonts w:hint="eastAsia" w:ascii="仿宋" w:hAnsi="仿宋" w:cs="仿宋"/>
        </w:rPr>
        <w:t>9,900.00万元。</w:t>
      </w:r>
    </w:p>
    <w:p>
      <w:pPr>
        <w:pStyle w:val="4"/>
        <w:ind w:firstLine="643"/>
        <w:rPr>
          <w:rFonts w:hint="eastAsia"/>
        </w:rPr>
      </w:pPr>
      <w:r>
        <w:rPr>
          <w:rFonts w:hint="eastAsia"/>
        </w:rPr>
        <w:t>3.绩效评价范围</w:t>
      </w:r>
    </w:p>
    <w:p>
      <w:pPr>
        <w:ind w:firstLine="640"/>
      </w:pPr>
      <w:r>
        <w:rPr>
          <w:rFonts w:hint="eastAsia"/>
        </w:rPr>
        <w:t>本次绩效评价范围包括：一是项目决策和立项情况；二是项目实施管理，包括资金管理和组织实施情况；三是项目绩效目标实现情况，包括项目实际产出和效益情况，可持续性情况。</w:t>
      </w:r>
    </w:p>
    <w:p>
      <w:pPr>
        <w:pStyle w:val="3"/>
        <w:spacing w:before="0" w:after="0"/>
        <w:ind w:firstLine="643"/>
      </w:pPr>
      <w:bookmarkStart w:id="517" w:name="_Toc6727"/>
      <w:r>
        <w:rPr>
          <w:rFonts w:hint="eastAsia"/>
        </w:rPr>
        <w:t>（二）绩效评价依据、原则、评价方法和指标体系</w:t>
      </w:r>
      <w:bookmarkEnd w:id="517"/>
    </w:p>
    <w:p>
      <w:pPr>
        <w:pStyle w:val="4"/>
        <w:ind w:firstLine="643"/>
        <w:rPr>
          <w:rFonts w:hint="eastAsia"/>
        </w:rPr>
      </w:pPr>
      <w:r>
        <w:rPr>
          <w:rFonts w:hint="eastAsia"/>
        </w:rPr>
        <w:t>1.绩效评价依据</w:t>
      </w:r>
    </w:p>
    <w:p>
      <w:pPr>
        <w:ind w:firstLine="640"/>
        <w:rPr>
          <w:rFonts w:hint="eastAsia" w:ascii="仿宋" w:hAnsi="仿宋" w:cs="仿宋"/>
        </w:rPr>
      </w:pPr>
      <w:r>
        <w:rPr>
          <w:rFonts w:hint="eastAsia" w:ascii="仿宋" w:hAnsi="仿宋" w:cs="仿宋"/>
        </w:rPr>
        <w:t>《中华人民共和国预算法》；</w:t>
      </w:r>
    </w:p>
    <w:p>
      <w:pPr>
        <w:ind w:firstLine="640"/>
        <w:rPr>
          <w:rFonts w:hint="eastAsia" w:ascii="仿宋" w:hAnsi="仿宋" w:cs="仿宋"/>
        </w:rPr>
      </w:pPr>
      <w:r>
        <w:rPr>
          <w:rFonts w:hint="eastAsia" w:ascii="仿宋" w:hAnsi="仿宋" w:cs="仿宋"/>
        </w:rPr>
        <w:t>《</w:t>
      </w:r>
      <w:r>
        <w:rPr>
          <w:rFonts w:ascii="仿宋" w:hAnsi="仿宋" w:cs="仿宋"/>
        </w:rPr>
        <w:t>中共中央 国务院</w:t>
      </w:r>
      <w:r>
        <w:rPr>
          <w:rFonts w:hint="eastAsia" w:ascii="仿宋" w:hAnsi="仿宋" w:cs="仿宋"/>
        </w:rPr>
        <w:t>关于全面实施预算绩效管理的意见》（中发〔2018〕34号）；</w:t>
      </w:r>
    </w:p>
    <w:p>
      <w:pPr>
        <w:ind w:firstLine="640"/>
        <w:rPr>
          <w:rFonts w:hint="eastAsia" w:ascii="仿宋" w:hAnsi="仿宋" w:cs="仿宋"/>
        </w:rPr>
      </w:pPr>
      <w:r>
        <w:rPr>
          <w:rFonts w:hint="eastAsia" w:ascii="仿宋" w:hAnsi="仿宋" w:cs="仿宋"/>
        </w:rPr>
        <w:t>《中华人民共和国预算法实施条例》（中华人民共和国国务院令第729号）；</w:t>
      </w:r>
    </w:p>
    <w:p>
      <w:pPr>
        <w:ind w:firstLine="640"/>
        <w:rPr>
          <w:rFonts w:hint="eastAsia" w:ascii="仿宋" w:hAnsi="仿宋" w:cs="仿宋"/>
        </w:rPr>
      </w:pPr>
      <w:r>
        <w:rPr>
          <w:rFonts w:hint="eastAsia" w:ascii="仿宋" w:hAnsi="仿宋" w:cs="仿宋"/>
        </w:rPr>
        <w:t>《财政部关于印发〈项目支出绩效评价管理办法〉的通知》（财预〔2020〕10号）；</w:t>
      </w:r>
    </w:p>
    <w:p>
      <w:pPr>
        <w:ind w:firstLine="640"/>
        <w:rPr>
          <w:rFonts w:hint="eastAsia" w:ascii="仿宋" w:hAnsi="仿宋"/>
          <w:szCs w:val="32"/>
        </w:rPr>
      </w:pPr>
      <w:r>
        <w:rPr>
          <w:rFonts w:hint="eastAsia" w:ascii="仿宋" w:hAnsi="仿宋"/>
          <w:szCs w:val="32"/>
        </w:rPr>
        <w:t>《</w:t>
      </w:r>
      <w:r>
        <w:fldChar w:fldCharType="begin"/>
      </w:r>
      <w:r>
        <w:instrText xml:space="preserve"> HYPERLINK "https://www.waizi.org.cn/doc/117435.html" \t "https://www.waizi.org.cn/doc/_blank" \o "财预〔2021〕61号《财政部关于印发〈地方政府专项债券项目资金绩效管理办法〉的通知》" </w:instrText>
      </w:r>
      <w:r>
        <w:fldChar w:fldCharType="separate"/>
      </w:r>
      <w:r>
        <w:rPr>
          <w:rFonts w:hint="eastAsia" w:ascii="仿宋" w:hAnsi="仿宋"/>
          <w:szCs w:val="32"/>
        </w:rPr>
        <w:t>财政部关于印发〈地方政府专项债券项目资金绩效管理办法〉的通知</w:t>
      </w:r>
      <w:r>
        <w:rPr>
          <w:rFonts w:hint="eastAsia" w:ascii="仿宋" w:hAnsi="仿宋"/>
          <w:szCs w:val="32"/>
        </w:rPr>
        <w:fldChar w:fldCharType="end"/>
      </w:r>
      <w:r>
        <w:rPr>
          <w:rFonts w:hint="eastAsia" w:ascii="仿宋" w:hAnsi="仿宋"/>
          <w:szCs w:val="32"/>
        </w:rPr>
        <w:t>》（财预〔2021〕61号）；</w:t>
      </w:r>
    </w:p>
    <w:p>
      <w:pPr>
        <w:ind w:firstLine="640"/>
        <w:rPr>
          <w:rFonts w:hint="eastAsia" w:ascii="仿宋" w:hAnsi="仿宋" w:cs="仿宋"/>
          <w:szCs w:val="32"/>
          <w:shd w:val="clear" w:color="auto" w:fill="FFFFFF"/>
        </w:rPr>
      </w:pPr>
      <w:r>
        <w:rPr>
          <w:rStyle w:val="20"/>
          <w:rFonts w:hint="eastAsia" w:ascii="仿宋" w:hAnsi="仿宋" w:cs="仿宋"/>
          <w:b w:val="0"/>
          <w:szCs w:val="32"/>
          <w:shd w:val="clear" w:color="auto" w:fill="FFFFFF"/>
        </w:rPr>
        <w:t>《财政部关于地方政府专项债券会计核算问题的通知》（</w:t>
      </w:r>
      <w:r>
        <w:rPr>
          <w:rFonts w:hint="eastAsia" w:ascii="仿宋" w:hAnsi="仿宋" w:cs="仿宋"/>
          <w:szCs w:val="32"/>
          <w:shd w:val="clear" w:color="auto" w:fill="FFFFFF"/>
        </w:rPr>
        <w:t>财库〔2015〕91号）；</w:t>
      </w:r>
    </w:p>
    <w:p>
      <w:pPr>
        <w:ind w:firstLine="640"/>
      </w:pPr>
      <w:r>
        <w:rPr>
          <w:rFonts w:hint="eastAsia" w:ascii="仿宋" w:hAnsi="仿宋" w:cs="仿宋"/>
          <w:szCs w:val="32"/>
          <w:shd w:val="clear" w:color="auto" w:fill="FFFFFF"/>
        </w:rPr>
        <w:t>《关于进一步做好地方政府债券发行工作的意见》（财库〔2020〕36号）</w:t>
      </w:r>
    </w:p>
    <w:p>
      <w:pPr>
        <w:ind w:firstLine="640"/>
        <w:rPr>
          <w:rFonts w:hint="eastAsia" w:ascii="仿宋" w:hAnsi="仿宋" w:cs="仿宋"/>
        </w:rPr>
      </w:pPr>
      <w:r>
        <w:rPr>
          <w:rFonts w:hint="eastAsia" w:ascii="仿宋" w:hAnsi="仿宋" w:cs="仿宋"/>
        </w:rPr>
        <w:t>《中共四川省委四川省人民政府关于全面实施预算绩效管理的实施意见》（川委发〔2019〕8号）；</w:t>
      </w:r>
    </w:p>
    <w:p>
      <w:pPr>
        <w:ind w:firstLine="640"/>
        <w:rPr>
          <w:rFonts w:hint="eastAsia" w:ascii="仿宋" w:hAnsi="仿宋" w:cs="仿宋"/>
        </w:rPr>
      </w:pPr>
      <w:r>
        <w:rPr>
          <w:rFonts w:hint="eastAsia" w:ascii="仿宋" w:hAnsi="仿宋" w:cs="仿宋"/>
        </w:rPr>
        <w:t>《中共四川省委办公厅四川省人民政府办公厅关于深入实施预算绩效管理的通知》（川委厅〔2022〕5号）；</w:t>
      </w:r>
    </w:p>
    <w:p>
      <w:pPr>
        <w:ind w:firstLine="640"/>
        <w:rPr>
          <w:rFonts w:hint="eastAsia" w:ascii="仿宋" w:hAnsi="仿宋" w:cs="仿宋"/>
        </w:rPr>
      </w:pPr>
      <w:r>
        <w:rPr>
          <w:rFonts w:ascii="仿宋" w:hAnsi="仿宋" w:cs="仿宋"/>
        </w:rPr>
        <w:t>《四川省地方政府专项债券全生命周期管理办法》（川财规〔2021〕6号）</w:t>
      </w:r>
      <w:r>
        <w:rPr>
          <w:rFonts w:hint="eastAsia" w:ascii="仿宋" w:hAnsi="仿宋" w:cs="仿宋"/>
        </w:rPr>
        <w:t>；</w:t>
      </w:r>
    </w:p>
    <w:p>
      <w:pPr>
        <w:ind w:firstLine="640"/>
        <w:rPr>
          <w:rFonts w:hint="eastAsia" w:ascii="仿宋" w:hAnsi="仿宋" w:cs="仿宋"/>
        </w:rPr>
      </w:pPr>
      <w:r>
        <w:rPr>
          <w:rFonts w:hint="eastAsia" w:ascii="仿宋" w:hAnsi="仿宋" w:cs="仿宋"/>
        </w:rPr>
        <w:t>《遂宁市人民政府印发〈关于进一步深化预算管理制度改革的贯彻意见〉的通知》（遂府函〔2022〕119号）；</w:t>
      </w:r>
    </w:p>
    <w:p>
      <w:pPr>
        <w:ind w:firstLine="640"/>
        <w:rPr>
          <w:rFonts w:hint="eastAsia" w:ascii="仿宋" w:hAnsi="仿宋" w:cs="仿宋"/>
        </w:rPr>
      </w:pPr>
      <w:r>
        <w:rPr>
          <w:rFonts w:hint="eastAsia" w:ascii="仿宋" w:hAnsi="仿宋" w:cs="仿宋"/>
        </w:rPr>
        <w:t>《遂宁市政府投资管理办法》（遂府发〔2019〕9号）；</w:t>
      </w:r>
    </w:p>
    <w:p>
      <w:pPr>
        <w:ind w:firstLine="640"/>
        <w:rPr>
          <w:rFonts w:hint="eastAsia" w:ascii="仿宋" w:hAnsi="仿宋" w:cs="仿宋"/>
        </w:rPr>
      </w:pPr>
      <w:r>
        <w:rPr>
          <w:rFonts w:hint="eastAsia" w:ascii="仿宋" w:hAnsi="仿宋"/>
          <w:szCs w:val="32"/>
        </w:rPr>
        <w:t>其他有关资料</w:t>
      </w:r>
      <w:r>
        <w:rPr>
          <w:rFonts w:hint="eastAsia" w:ascii="仿宋" w:hAnsi="仿宋" w:cs="仿宋"/>
        </w:rPr>
        <w:t>。</w:t>
      </w:r>
    </w:p>
    <w:p>
      <w:pPr>
        <w:pStyle w:val="4"/>
        <w:ind w:firstLine="643"/>
        <w:rPr>
          <w:rFonts w:hint="eastAsia"/>
        </w:rPr>
      </w:pPr>
      <w:r>
        <w:rPr>
          <w:rFonts w:hint="eastAsia"/>
        </w:rPr>
        <w:t>2.绩效评价原则</w:t>
      </w:r>
    </w:p>
    <w:p>
      <w:pPr>
        <w:ind w:firstLine="640"/>
      </w:pPr>
      <w:r>
        <w:rPr>
          <w:rFonts w:hint="eastAsia"/>
        </w:rPr>
        <w:t>本次绩效评价本着客观公正、科学规范、绩效相关、公开透明的原则，采用全面评价和重点评价相结合，现场评价与非现场评价相补充的方法，对项目进行综合评价。在评价过程中，结合被评价单位的实际情况，通过听取情况介绍、收集和核实相关材料、检查财务凭证实地走访调查、综合分析等一系列工作程序，形成评价结论。</w:t>
      </w:r>
    </w:p>
    <w:p>
      <w:pPr>
        <w:pStyle w:val="4"/>
        <w:ind w:firstLine="643"/>
        <w:rPr>
          <w:rFonts w:hint="eastAsia"/>
        </w:rPr>
      </w:pPr>
      <w:r>
        <w:rPr>
          <w:rFonts w:hint="eastAsia"/>
        </w:rPr>
        <w:t>3.评价方法</w:t>
      </w:r>
    </w:p>
    <w:p>
      <w:pPr>
        <w:ind w:firstLine="640"/>
        <w:rPr>
          <w:rFonts w:hint="eastAsia" w:ascii="仿宋" w:hAnsi="仿宋" w:cs="仿宋"/>
        </w:rPr>
      </w:pPr>
      <w:r>
        <w:rPr>
          <w:rFonts w:hint="eastAsia" w:ascii="仿宋" w:hAnsi="仿宋" w:cs="仿宋"/>
        </w:rPr>
        <w:t>为客观、全面反映评价结果，根据项目特点，本次绩效评价工作拟采用（但不限于）以下评价方法：</w:t>
      </w:r>
    </w:p>
    <w:p>
      <w:pPr>
        <w:pStyle w:val="5"/>
        <w:ind w:firstLine="643"/>
      </w:pPr>
      <w:r>
        <w:rPr>
          <w:rFonts w:hint="eastAsia" w:ascii="仿宋" w:hAnsi="仿宋" w:cs="仿宋"/>
        </w:rPr>
        <w:t>（1）案卷研究法</w:t>
      </w:r>
    </w:p>
    <w:p>
      <w:pPr>
        <w:ind w:firstLine="640"/>
        <w:rPr>
          <w:rFonts w:hint="eastAsia" w:ascii="仿宋" w:hAnsi="仿宋" w:cs="仿宋"/>
        </w:rPr>
      </w:pPr>
      <w:r>
        <w:rPr>
          <w:rFonts w:hint="eastAsia" w:ascii="仿宋" w:hAnsi="仿宋" w:cs="仿宋"/>
        </w:rPr>
        <w:t>对项目工程前期立项资料、一案三书、项目招投标资料、相关政策文件及管理制度、绩效自评报告等相关资料进行研究、比较、分析，提取重要信息。同时，查找财务管理方面政策文件及相关资料，了解该单位在履行项目建设、实现预期绩效目标方面的发展现状、面临的主要问题及未来发展趋势，支撑评价工作的开展和评价结论的得出。</w:t>
      </w:r>
    </w:p>
    <w:p>
      <w:pPr>
        <w:pStyle w:val="5"/>
        <w:ind w:firstLine="643"/>
        <w:rPr>
          <w:rFonts w:hint="eastAsia" w:ascii="仿宋" w:hAnsi="仿宋" w:cs="仿宋"/>
        </w:rPr>
      </w:pPr>
      <w:r>
        <w:rPr>
          <w:rFonts w:hint="eastAsia" w:ascii="仿宋" w:hAnsi="仿宋" w:cs="仿宋"/>
        </w:rPr>
        <w:t>（2）比较法</w:t>
      </w:r>
    </w:p>
    <w:p>
      <w:pPr>
        <w:ind w:firstLine="640"/>
        <w:rPr>
          <w:rFonts w:hint="eastAsia" w:ascii="仿宋" w:hAnsi="仿宋" w:cs="仿宋"/>
        </w:rPr>
      </w:pPr>
      <w:r>
        <w:rPr>
          <w:rFonts w:hint="eastAsia" w:ascii="仿宋" w:hAnsi="仿宋" w:cs="仿宋"/>
        </w:rPr>
        <w:t>是指通过对绩效目标与实施效果、历史与当期情况、不同项目地区同类支出的比较，综合分析绩效目标实现程度。</w:t>
      </w:r>
    </w:p>
    <w:p>
      <w:pPr>
        <w:pStyle w:val="5"/>
        <w:ind w:firstLine="643"/>
      </w:pPr>
      <w:r>
        <w:rPr>
          <w:rFonts w:hint="eastAsia" w:ascii="仿宋" w:hAnsi="仿宋" w:cs="仿宋"/>
        </w:rPr>
        <w:t>（3）</w:t>
      </w:r>
      <w:r>
        <w:rPr>
          <w:rFonts w:hint="eastAsia"/>
        </w:rPr>
        <w:t>因素分析法</w:t>
      </w:r>
    </w:p>
    <w:p>
      <w:pPr>
        <w:ind w:firstLine="640"/>
        <w:rPr>
          <w:rFonts w:hint="eastAsia" w:ascii="仿宋" w:hAnsi="仿宋" w:cs="仿宋"/>
        </w:rPr>
      </w:pPr>
      <w:r>
        <w:rPr>
          <w:rFonts w:hint="eastAsia" w:ascii="仿宋" w:hAnsi="仿宋" w:cs="仿宋"/>
        </w:rPr>
        <w:t>是指通过综合分析影响绩效目标实现、实施效果的内外因素，评价绩效目标实现程度。</w:t>
      </w:r>
    </w:p>
    <w:p>
      <w:pPr>
        <w:pStyle w:val="5"/>
        <w:ind w:firstLine="643"/>
        <w:rPr>
          <w:rFonts w:hint="eastAsia" w:ascii="仿宋" w:hAnsi="仿宋" w:cs="仿宋"/>
        </w:rPr>
      </w:pPr>
      <w:r>
        <w:rPr>
          <w:rFonts w:hint="eastAsia" w:ascii="仿宋" w:hAnsi="仿宋" w:cs="仿宋"/>
        </w:rPr>
        <w:t>（4）标杆管理法</w:t>
      </w:r>
    </w:p>
    <w:p>
      <w:pPr>
        <w:ind w:firstLine="640"/>
        <w:rPr>
          <w:rFonts w:hint="eastAsia" w:ascii="仿宋" w:hAnsi="仿宋" w:cs="仿宋"/>
        </w:rPr>
      </w:pPr>
      <w:r>
        <w:rPr>
          <w:rFonts w:hint="eastAsia" w:ascii="仿宋" w:hAnsi="仿宋" w:cs="仿宋"/>
        </w:rPr>
        <w:t>是通过将项目与同行业或同类型的优秀项目进行比较，找出差距和不足，以提高项目绩效的一种方法。</w:t>
      </w:r>
    </w:p>
    <w:p>
      <w:pPr>
        <w:pStyle w:val="4"/>
        <w:ind w:firstLine="643"/>
        <w:rPr>
          <w:rFonts w:hint="eastAsia"/>
        </w:rPr>
      </w:pPr>
      <w:r>
        <w:rPr>
          <w:rFonts w:hint="eastAsia"/>
        </w:rPr>
        <w:t>4.评价指标体系</w:t>
      </w:r>
    </w:p>
    <w:p>
      <w:pPr>
        <w:pStyle w:val="5"/>
        <w:ind w:firstLine="643"/>
        <w:rPr>
          <w:rFonts w:hint="eastAsia" w:ascii="仿宋" w:hAnsi="仿宋" w:cs="仿宋"/>
        </w:rPr>
      </w:pPr>
      <w:r>
        <w:rPr>
          <w:rFonts w:hint="eastAsia" w:ascii="仿宋" w:hAnsi="仿宋" w:cs="仿宋"/>
        </w:rPr>
        <w:t>（1）本次评价指标的构建思路</w:t>
      </w:r>
    </w:p>
    <w:p>
      <w:pPr>
        <w:ind w:firstLine="640"/>
        <w:rPr>
          <w:rFonts w:hint="eastAsia" w:ascii="仿宋" w:hAnsi="仿宋" w:cs="仿宋"/>
        </w:rPr>
      </w:pPr>
      <w:r>
        <w:rPr>
          <w:rFonts w:hint="eastAsia" w:ascii="仿宋" w:hAnsi="仿宋" w:cs="仿宋"/>
        </w:rPr>
        <w:t>本次绩效评价对象为遂宁高新区电子产业园区及配套基础设施建设项目（二期）2023年度专项债</w:t>
      </w:r>
      <w:r>
        <w:rPr>
          <w:rFonts w:ascii="仿宋" w:hAnsi="仿宋" w:cs="仿宋"/>
        </w:rPr>
        <w:t>资金</w:t>
      </w:r>
      <w:r>
        <w:rPr>
          <w:rFonts w:hint="eastAsia" w:ascii="仿宋" w:hAnsi="仿宋" w:cs="仿宋"/>
        </w:rPr>
        <w:t>，针对绩效指标体系建立是本次绩效评价的一个关键部分，在确定绩效评价指标方面，我们主要考虑到两个重点：一是设置合理的绩效指标，绩效指标要能够准确清晰地反映专项债资金使用效果，需尽量设置为可衡量、可考核的清晰明确的指标，指标值需具有约束力；二是按照深化预算管理制度改革以及健全管资本为主的专项债监管体制的要求，依据相关规定，坚持问题导向、目标导向、效果导向，结合</w:t>
      </w:r>
      <w:r>
        <w:rPr>
          <w:rFonts w:ascii="仿宋" w:hAnsi="仿宋" w:cs="仿宋"/>
        </w:rPr>
        <w:t>专项债券</w:t>
      </w:r>
      <w:r>
        <w:rPr>
          <w:rFonts w:hint="eastAsia" w:ascii="仿宋" w:hAnsi="仿宋" w:cs="仿宋"/>
        </w:rPr>
        <w:t>资金管理和</w:t>
      </w:r>
      <w:r>
        <w:rPr>
          <w:rFonts w:ascii="仿宋" w:hAnsi="仿宋" w:cs="仿宋"/>
        </w:rPr>
        <w:t>使用效益</w:t>
      </w:r>
      <w:r>
        <w:rPr>
          <w:rFonts w:hint="eastAsia" w:ascii="仿宋" w:hAnsi="仿宋" w:cs="仿宋"/>
        </w:rPr>
        <w:t>设置相对应的指标进行评判，并科学评估风险。</w:t>
      </w:r>
    </w:p>
    <w:p>
      <w:pPr>
        <w:ind w:firstLine="640"/>
        <w:rPr>
          <w:rFonts w:hint="eastAsia" w:ascii="仿宋" w:hAnsi="仿宋" w:cs="仿宋"/>
        </w:rPr>
      </w:pPr>
      <w:r>
        <w:rPr>
          <w:rFonts w:hint="eastAsia" w:ascii="仿宋" w:hAnsi="仿宋" w:cs="仿宋"/>
        </w:rPr>
        <w:t>本次绩效评价将基于参照《财政部关于印发&lt;项目支出绩效评价管理办法&gt;的通知》（财预〔2020〕10号）</w:t>
      </w:r>
      <w:r>
        <w:rPr>
          <w:rFonts w:ascii="仿宋" w:hAnsi="仿宋" w:cs="仿宋"/>
        </w:rPr>
        <w:t>和《财政部关于印发</w:t>
      </w:r>
      <w:r>
        <w:rPr>
          <w:rFonts w:hint="eastAsia" w:ascii="仿宋" w:hAnsi="仿宋" w:cs="仿宋"/>
        </w:rPr>
        <w:t>&lt;</w:t>
      </w:r>
      <w:r>
        <w:rPr>
          <w:rFonts w:ascii="仿宋" w:hAnsi="仿宋" w:cs="仿宋"/>
        </w:rPr>
        <w:t>地方政府专项债券项目资金绩效管理办法</w:t>
      </w:r>
      <w:r>
        <w:rPr>
          <w:rFonts w:hint="eastAsia" w:ascii="仿宋" w:hAnsi="仿宋" w:cs="仿宋"/>
        </w:rPr>
        <w:t>&gt;</w:t>
      </w:r>
      <w:r>
        <w:rPr>
          <w:rFonts w:ascii="仿宋" w:hAnsi="仿宋" w:cs="仿宋"/>
        </w:rPr>
        <w:t>的通知》（财预〔2021〕61号）文件</w:t>
      </w:r>
      <w:r>
        <w:rPr>
          <w:rFonts w:hint="eastAsia" w:ascii="仿宋" w:hAnsi="仿宋" w:cs="仿宋"/>
        </w:rPr>
        <w:t>中绩效评价要求来设计本次绩效评价指标体系，同时根据我们绩效评价的经验结合项目实际情况，细化了项目立项、组织管理、资金管理、项目产出和效益等方面指标权重，针对性强化产出效果指标考核的权重。</w:t>
      </w:r>
    </w:p>
    <w:p>
      <w:pPr>
        <w:pStyle w:val="5"/>
        <w:ind w:firstLine="643"/>
        <w:rPr>
          <w:rFonts w:hint="eastAsia" w:ascii="仿宋" w:hAnsi="仿宋" w:cs="仿宋"/>
        </w:rPr>
      </w:pPr>
      <w:r>
        <w:rPr>
          <w:rFonts w:hint="eastAsia" w:ascii="仿宋" w:hAnsi="仿宋" w:cs="仿宋"/>
        </w:rPr>
        <w:t>（2）指标体系</w:t>
      </w:r>
    </w:p>
    <w:p>
      <w:pPr>
        <w:ind w:firstLine="640"/>
        <w:rPr>
          <w:rFonts w:hint="eastAsia" w:ascii="仿宋" w:hAnsi="仿宋" w:cs="仿宋"/>
        </w:rPr>
      </w:pPr>
      <w:r>
        <w:rPr>
          <w:rFonts w:hint="eastAsia" w:ascii="仿宋" w:hAnsi="仿宋" w:cs="仿宋"/>
        </w:rPr>
        <w:t>根据《四川省财政支出绩效评价管理办法》《遂宁市财政局关于印发2024年市本级预算绩效管理工作要点》要求，结合项目内容和资金特点，绩效评价组在与专家组充分沟通的基础上，拟定本次绩效评价指标体系。本绩效评价指标体系设决策、过程、产出和效益4个一级指标、10个二级指标、20个三级指标，下设52个子评价项目。指标体系如下：</w:t>
      </w:r>
    </w:p>
    <w:p>
      <w:pPr>
        <w:spacing w:before="156" w:beforeLines="50" w:line="360" w:lineRule="exact"/>
        <w:ind w:firstLine="0" w:firstLineChars="0"/>
        <w:jc w:val="center"/>
        <w:rPr>
          <w:rFonts w:hint="eastAsia" w:ascii="宋体" w:hAnsi="宋体" w:eastAsia="宋体"/>
          <w:b/>
          <w:bCs/>
          <w:sz w:val="24"/>
        </w:rPr>
      </w:pPr>
      <w:bookmarkStart w:id="518" w:name="OLE_LINK2"/>
      <w:r>
        <w:rPr>
          <w:rFonts w:hint="eastAsia" w:ascii="宋体" w:hAnsi="宋体" w:eastAsia="宋体"/>
          <w:b/>
          <w:bCs/>
          <w:sz w:val="24"/>
        </w:rPr>
        <w:t>遂宁高新区电子产业园区及配套基础设施建设项目（二期）</w:t>
      </w:r>
    </w:p>
    <w:p>
      <w:pPr>
        <w:spacing w:line="360" w:lineRule="exact"/>
        <w:ind w:firstLine="0" w:firstLineChars="0"/>
        <w:jc w:val="center"/>
        <w:rPr>
          <w:rFonts w:hint="eastAsia" w:ascii="宋体" w:hAnsi="宋体" w:eastAsia="宋体"/>
          <w:b/>
          <w:bCs/>
          <w:sz w:val="24"/>
        </w:rPr>
      </w:pPr>
      <w:r>
        <w:rPr>
          <w:rFonts w:hint="eastAsia" w:ascii="宋体" w:hAnsi="宋体" w:eastAsia="宋体"/>
          <w:b/>
          <w:bCs/>
          <w:sz w:val="24"/>
        </w:rPr>
        <w:t>2023年度专项债券项目资金绩效评价</w:t>
      </w:r>
      <w:r>
        <w:rPr>
          <w:rFonts w:ascii="宋体" w:hAnsi="宋体" w:eastAsia="宋体"/>
          <w:b/>
          <w:bCs/>
          <w:sz w:val="24"/>
        </w:rPr>
        <w:t>指标体系</w:t>
      </w:r>
    </w:p>
    <w:bookmarkEnd w:id="518"/>
    <w:tbl>
      <w:tblPr>
        <w:tblStyle w:val="17"/>
        <w:tblW w:w="0" w:type="auto"/>
        <w:tblInd w:w="93" w:type="dxa"/>
        <w:tblLayout w:type="autofit"/>
        <w:tblCellMar>
          <w:top w:w="0" w:type="dxa"/>
          <w:left w:w="108" w:type="dxa"/>
          <w:bottom w:w="0" w:type="dxa"/>
          <w:right w:w="108" w:type="dxa"/>
        </w:tblCellMar>
      </w:tblPr>
      <w:tblGrid>
        <w:gridCol w:w="1106"/>
        <w:gridCol w:w="1102"/>
        <w:gridCol w:w="1238"/>
        <w:gridCol w:w="4607"/>
      </w:tblGrid>
      <w:tr>
        <w:tblPrEx>
          <w:tblCellMar>
            <w:top w:w="0" w:type="dxa"/>
            <w:left w:w="108" w:type="dxa"/>
            <w:bottom w:w="0" w:type="dxa"/>
            <w:right w:w="108" w:type="dxa"/>
          </w:tblCellMar>
        </w:tblPrEx>
        <w:trPr>
          <w:trHeight w:val="370" w:hRule="atLeast"/>
        </w:trPr>
        <w:tc>
          <w:tcPr>
            <w:tcW w:w="110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一级指标</w:t>
            </w:r>
          </w:p>
        </w:tc>
        <w:tc>
          <w:tcPr>
            <w:tcW w:w="11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二级指标</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三级指标</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指标值/指标说明</w:t>
            </w:r>
          </w:p>
        </w:tc>
      </w:tr>
      <w:tr>
        <w:tblPrEx>
          <w:tblCellMar>
            <w:top w:w="0" w:type="dxa"/>
            <w:left w:w="108" w:type="dxa"/>
            <w:bottom w:w="0" w:type="dxa"/>
            <w:right w:w="108" w:type="dxa"/>
          </w:tblCellMar>
        </w:tblPrEx>
        <w:trPr>
          <w:trHeight w:val="491" w:hRule="atLeast"/>
        </w:trPr>
        <w:tc>
          <w:tcPr>
            <w:tcW w:w="11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kern w:val="0"/>
                <w:sz w:val="20"/>
                <w:szCs w:val="20"/>
                <w:lang w:eastAsia="zh-CN"/>
              </w:rPr>
            </w:pPr>
            <w:r>
              <w:rPr>
                <w:rFonts w:hint="eastAsia" w:ascii="宋体" w:hAnsi="宋体" w:eastAsia="宋体"/>
                <w:b/>
                <w:bCs/>
                <w:kern w:val="0"/>
                <w:sz w:val="20"/>
                <w:szCs w:val="20"/>
              </w:rPr>
              <w:t>决策</w:t>
            </w:r>
          </w:p>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（15分）</w:t>
            </w:r>
          </w:p>
        </w:tc>
        <w:tc>
          <w:tcPr>
            <w:tcW w:w="11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项目立项</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（10分）</w:t>
            </w:r>
          </w:p>
        </w:tc>
        <w:tc>
          <w:tcPr>
            <w:tcW w:w="12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依据充分性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（6分）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1.项目立项符合国家法律法规、国民经济发展规划和相关政策；</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2.项目立项与部门职责范围相符，属于部门履职所需；</w:t>
            </w:r>
          </w:p>
        </w:tc>
      </w:tr>
      <w:tr>
        <w:tblPrEx>
          <w:tblCellMar>
            <w:top w:w="0" w:type="dxa"/>
            <w:left w:w="108" w:type="dxa"/>
            <w:bottom w:w="0" w:type="dxa"/>
            <w:right w:w="108" w:type="dxa"/>
          </w:tblCellMar>
        </w:tblPrEx>
        <w:trPr>
          <w:trHeight w:val="9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3.项目符合专项债券支持领域和方向；</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4.项目提供的产品和服务针对所在区域经济发展的实际问题和需求；</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5.偿债来源明确；</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6.偿还机制健全；</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7.偿债计划合理；</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8.风险处置机制健全。</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程序规范性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（4分）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1.项目按要求完成立项批复（项目建议书、可研、资金申请报告）；</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2.项目按要求取得勘察、设计、用地、环评、开工许可等行业主管部门审批文件；</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3.项目编制“一案两书”；</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4.新增项目按照要求进行事前绩效评估。</w:t>
            </w:r>
          </w:p>
        </w:tc>
      </w:tr>
      <w:tr>
        <w:tblPrEx>
          <w:tblCellMar>
            <w:top w:w="0" w:type="dxa"/>
            <w:left w:w="108" w:type="dxa"/>
            <w:bottom w:w="0" w:type="dxa"/>
            <w:right w:w="108" w:type="dxa"/>
          </w:tblCellMar>
        </w:tblPrEx>
        <w:trPr>
          <w:trHeight w:val="447"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绩效目标</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（3分）</w:t>
            </w:r>
          </w:p>
        </w:tc>
        <w:tc>
          <w:tcPr>
            <w:tcW w:w="12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绩效目标合理性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（1分）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1.绩效目标设定依据充分</w:t>
            </w:r>
          </w:p>
        </w:tc>
      </w:tr>
      <w:tr>
        <w:tblPrEx>
          <w:tblCellMar>
            <w:top w:w="0" w:type="dxa"/>
            <w:left w:w="108" w:type="dxa"/>
            <w:bottom w:w="0" w:type="dxa"/>
            <w:right w:w="108" w:type="dxa"/>
          </w:tblCellMar>
        </w:tblPrEx>
        <w:trPr>
          <w:trHeight w:val="436"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2.评价目标符合客观实际。</w:t>
            </w:r>
          </w:p>
        </w:tc>
      </w:tr>
      <w:tr>
        <w:tblPrEx>
          <w:tblCellMar>
            <w:top w:w="0" w:type="dxa"/>
            <w:left w:w="108" w:type="dxa"/>
            <w:bottom w:w="0" w:type="dxa"/>
            <w:right w:w="108" w:type="dxa"/>
          </w:tblCellMar>
        </w:tblPrEx>
        <w:trPr>
          <w:trHeight w:val="335"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绩效指标明确性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（2分）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1.绩效指标明确；</w:t>
            </w:r>
          </w:p>
        </w:tc>
      </w:tr>
      <w:tr>
        <w:tblPrEx>
          <w:tblCellMar>
            <w:top w:w="0" w:type="dxa"/>
            <w:left w:w="108" w:type="dxa"/>
            <w:bottom w:w="0" w:type="dxa"/>
            <w:right w:w="108" w:type="dxa"/>
          </w:tblCellMar>
        </w:tblPrEx>
        <w:trPr>
          <w:trHeight w:val="379"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2.绩效指标细化；</w:t>
            </w:r>
          </w:p>
        </w:tc>
      </w:tr>
      <w:tr>
        <w:tblPrEx>
          <w:tblCellMar>
            <w:top w:w="0" w:type="dxa"/>
            <w:left w:w="108" w:type="dxa"/>
            <w:bottom w:w="0" w:type="dxa"/>
            <w:right w:w="108" w:type="dxa"/>
          </w:tblCellMar>
        </w:tblPrEx>
        <w:trPr>
          <w:trHeight w:val="365"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3.绩效指标量化；</w:t>
            </w:r>
          </w:p>
        </w:tc>
      </w:tr>
      <w:tr>
        <w:tblPrEx>
          <w:tblCellMar>
            <w:top w:w="0" w:type="dxa"/>
            <w:left w:w="108" w:type="dxa"/>
            <w:bottom w:w="0" w:type="dxa"/>
            <w:right w:w="108" w:type="dxa"/>
          </w:tblCellMar>
        </w:tblPrEx>
        <w:trPr>
          <w:trHeight w:val="437"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4.绩效指标可衡量。</w:t>
            </w:r>
          </w:p>
        </w:tc>
      </w:tr>
      <w:tr>
        <w:tblPrEx>
          <w:tblCellMar>
            <w:top w:w="0" w:type="dxa"/>
            <w:left w:w="108" w:type="dxa"/>
            <w:bottom w:w="0" w:type="dxa"/>
            <w:right w:w="108" w:type="dxa"/>
          </w:tblCellMar>
        </w:tblPrEx>
        <w:trPr>
          <w:trHeight w:val="732"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资金投入</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（2分）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资金投入合理性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（2分）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项目申请专项债券额度与实际需要匹配。</w:t>
            </w:r>
          </w:p>
        </w:tc>
      </w:tr>
      <w:tr>
        <w:tblPrEx>
          <w:tblCellMar>
            <w:top w:w="0" w:type="dxa"/>
            <w:left w:w="108" w:type="dxa"/>
            <w:bottom w:w="0" w:type="dxa"/>
            <w:right w:w="108" w:type="dxa"/>
          </w:tblCellMar>
        </w:tblPrEx>
        <w:trPr>
          <w:trHeight w:val="732" w:hRule="atLeast"/>
        </w:trPr>
        <w:tc>
          <w:tcPr>
            <w:tcW w:w="11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kern w:val="0"/>
                <w:sz w:val="20"/>
                <w:szCs w:val="20"/>
                <w:lang w:eastAsia="zh-CN"/>
              </w:rPr>
            </w:pPr>
            <w:r>
              <w:rPr>
                <w:rFonts w:hint="eastAsia" w:ascii="宋体" w:hAnsi="宋体" w:eastAsia="宋体"/>
                <w:b/>
                <w:bCs/>
                <w:kern w:val="0"/>
                <w:sz w:val="20"/>
                <w:szCs w:val="20"/>
              </w:rPr>
              <w:t>管理</w:t>
            </w:r>
          </w:p>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（25分）</w:t>
            </w:r>
          </w:p>
        </w:tc>
        <w:tc>
          <w:tcPr>
            <w:tcW w:w="11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资金管理</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（12分）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专项债券资金到位率</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（2分）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资金到位率=实际到位资金/计划到位资金×100%。</w:t>
            </w:r>
          </w:p>
        </w:tc>
      </w:tr>
      <w:tr>
        <w:tblPrEx>
          <w:tblCellMar>
            <w:top w:w="0" w:type="dxa"/>
            <w:left w:w="108" w:type="dxa"/>
            <w:bottom w:w="0" w:type="dxa"/>
            <w:right w:w="108" w:type="dxa"/>
          </w:tblCellMar>
        </w:tblPrEx>
        <w:trPr>
          <w:trHeight w:val="732"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专项债券资金执行率</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（2分）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资金支出率=实际支出资金/实际到位资金×100%。</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资金使用合规性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（8分）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1.专项债券收支、还本付息及专项收入纳入政府性基金预算管理；</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2.专项债券期限与项目期限匹配；</w:t>
            </w:r>
          </w:p>
        </w:tc>
      </w:tr>
      <w:tr>
        <w:tblPrEx>
          <w:tblCellMar>
            <w:top w:w="0" w:type="dxa"/>
            <w:left w:w="108" w:type="dxa"/>
            <w:bottom w:w="0" w:type="dxa"/>
            <w:right w:w="108" w:type="dxa"/>
          </w:tblCellMar>
        </w:tblPrEx>
        <w:trPr>
          <w:trHeight w:val="364"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3.债券资金按规定用途使用；</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4.资金拨付和支出进度与项目建设进度匹配；</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5.存在截留、挤占、挪用、虚列支出等情况；</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6.项目年度收支平衡或项目全生命周期预期收益与专项债券规模匹配；</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7.专项债券项目信息及时、完整地进行公开；</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8.项目收入、成本及预期收益的合理性；</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9.专项债券本息偿还按计划执行；</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10.专账核算；</w:t>
            </w:r>
          </w:p>
        </w:tc>
      </w:tr>
      <w:tr>
        <w:tblPrEx>
          <w:tblCellMar>
            <w:top w:w="0" w:type="dxa"/>
            <w:left w:w="108" w:type="dxa"/>
            <w:bottom w:w="0" w:type="dxa"/>
            <w:right w:w="108" w:type="dxa"/>
          </w:tblCellMar>
        </w:tblPrEx>
        <w:trPr>
          <w:trHeight w:val="732"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组织实施</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（13分）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管理制度健全性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（3分）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项目实施单位的财务和业务管理制度健全。</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制度执行有效性</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（10分）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1.项目组织实施机制健全、责任分工明确；</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2.履行采购程序，采购程序规范；</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3.项目合同管理规范、合同要素完整，是否存在大额合同（合同标的额≥50万）未签订的情况；</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4.项目管理与过程监督制度落实到位；</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5.项目建设程序规范，相应建设审批程序完备；</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6.项目竣工验收程序规范，开展四方验收，验收文件完整规范；</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7.工程档案管理编制完整；</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8.项目工作总结情况；</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9.项目自评情况；</w:t>
            </w:r>
          </w:p>
        </w:tc>
      </w:tr>
      <w:tr>
        <w:tblPrEx>
          <w:tblCellMar>
            <w:top w:w="0" w:type="dxa"/>
            <w:left w:w="108" w:type="dxa"/>
            <w:bottom w:w="0" w:type="dxa"/>
            <w:right w:w="108" w:type="dxa"/>
          </w:tblCellMar>
        </w:tblPrEx>
        <w:trPr>
          <w:trHeight w:val="250"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10.信息系统管理使用情况。</w:t>
            </w:r>
          </w:p>
        </w:tc>
      </w:tr>
      <w:tr>
        <w:tblPrEx>
          <w:tblCellMar>
            <w:top w:w="0" w:type="dxa"/>
            <w:left w:w="108" w:type="dxa"/>
            <w:bottom w:w="0" w:type="dxa"/>
            <w:right w:w="108" w:type="dxa"/>
          </w:tblCellMar>
        </w:tblPrEx>
        <w:trPr>
          <w:trHeight w:val="491" w:hRule="atLeast"/>
        </w:trPr>
        <w:tc>
          <w:tcPr>
            <w:tcW w:w="11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kern w:val="0"/>
                <w:sz w:val="20"/>
                <w:szCs w:val="20"/>
                <w:lang w:eastAsia="zh-CN"/>
              </w:rPr>
            </w:pPr>
            <w:r>
              <w:rPr>
                <w:rFonts w:hint="eastAsia" w:ascii="宋体" w:hAnsi="宋体" w:eastAsia="宋体"/>
                <w:b/>
                <w:bCs/>
                <w:kern w:val="0"/>
                <w:sz w:val="20"/>
                <w:szCs w:val="20"/>
              </w:rPr>
              <w:t>产出</w:t>
            </w:r>
          </w:p>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（30分）</w:t>
            </w:r>
          </w:p>
        </w:tc>
        <w:tc>
          <w:tcPr>
            <w:tcW w:w="11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产出数量</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（12分）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建成仓库（4分）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Style w:val="30"/>
                <w:color w:val="auto"/>
              </w:rPr>
              <w:t>完成当年计划目标量，根据三年建设期，完成率不低于2</w:t>
            </w:r>
            <w:r>
              <w:rPr>
                <w:rFonts w:hint="eastAsia" w:ascii="宋体" w:hAnsi="宋体" w:eastAsia="宋体"/>
                <w:kern w:val="0"/>
                <w:sz w:val="20"/>
                <w:szCs w:val="20"/>
              </w:rPr>
              <w:t>0%</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建成标准厂房（4分）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完成当年计划目标量，根据三年建设期，完成率不低于20%</w:t>
            </w:r>
          </w:p>
        </w:tc>
      </w:tr>
      <w:tr>
        <w:tblPrEx>
          <w:tblCellMar>
            <w:top w:w="0" w:type="dxa"/>
            <w:left w:w="108" w:type="dxa"/>
            <w:bottom w:w="0" w:type="dxa"/>
            <w:right w:w="108" w:type="dxa"/>
          </w:tblCellMar>
        </w:tblPrEx>
        <w:trPr>
          <w:trHeight w:val="732"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建成配套园区道路（4分）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完成当年计划目标量，根据三年建设期，完成率不低于20%</w:t>
            </w:r>
          </w:p>
        </w:tc>
      </w:tr>
      <w:tr>
        <w:tblPrEx>
          <w:tblCellMar>
            <w:top w:w="0" w:type="dxa"/>
            <w:left w:w="108" w:type="dxa"/>
            <w:bottom w:w="0" w:type="dxa"/>
            <w:right w:w="108" w:type="dxa"/>
          </w:tblCellMar>
        </w:tblPrEx>
        <w:trPr>
          <w:trHeight w:val="782"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产出质量</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（6分）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质量达标率（6分）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质量达标率=质量达标产出数/实际产出数×100%。</w:t>
            </w:r>
          </w:p>
        </w:tc>
      </w:tr>
      <w:tr>
        <w:tblPrEx>
          <w:tblCellMar>
            <w:top w:w="0" w:type="dxa"/>
            <w:left w:w="108" w:type="dxa"/>
            <w:bottom w:w="0" w:type="dxa"/>
            <w:right w:w="108" w:type="dxa"/>
          </w:tblCellMar>
        </w:tblPrEx>
        <w:trPr>
          <w:trHeight w:val="937"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产出时效</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（6分）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按时取得项目开工许可证（2分）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不晚于2023年3月</w:t>
            </w:r>
          </w:p>
        </w:tc>
      </w:tr>
      <w:tr>
        <w:tblPrEx>
          <w:tblCellMar>
            <w:top w:w="0" w:type="dxa"/>
            <w:left w:w="108" w:type="dxa"/>
            <w:bottom w:w="0" w:type="dxa"/>
            <w:right w:w="108" w:type="dxa"/>
          </w:tblCellMar>
        </w:tblPrEx>
        <w:trPr>
          <w:trHeight w:val="491"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工程进度时效（4分）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在2023年12月31日前完成2023年建设进度目标任务</w:t>
            </w:r>
          </w:p>
        </w:tc>
      </w:tr>
      <w:tr>
        <w:tblPrEx>
          <w:tblCellMar>
            <w:top w:w="0" w:type="dxa"/>
            <w:left w:w="108" w:type="dxa"/>
            <w:bottom w:w="0" w:type="dxa"/>
            <w:right w:w="108" w:type="dxa"/>
          </w:tblCellMar>
        </w:tblPrEx>
        <w:trPr>
          <w:trHeight w:val="639"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产出成本</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（6分）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产出成本（6分）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left"/>
              <w:textAlignment w:val="center"/>
              <w:rPr>
                <w:rFonts w:hint="eastAsia" w:ascii="宋体" w:hAnsi="宋体" w:eastAsia="宋体"/>
                <w:sz w:val="20"/>
                <w:szCs w:val="20"/>
              </w:rPr>
            </w:pPr>
            <w:r>
              <w:rPr>
                <w:rFonts w:hint="eastAsia" w:ascii="宋体" w:hAnsi="宋体" w:eastAsia="宋体"/>
                <w:kern w:val="0"/>
                <w:sz w:val="20"/>
                <w:szCs w:val="20"/>
              </w:rPr>
              <w:t>成本节约率=（计划成本-实际成本）/计划成本×100%。</w:t>
            </w:r>
          </w:p>
        </w:tc>
      </w:tr>
      <w:tr>
        <w:tblPrEx>
          <w:tblCellMar>
            <w:top w:w="0" w:type="dxa"/>
            <w:left w:w="108" w:type="dxa"/>
            <w:bottom w:w="0" w:type="dxa"/>
            <w:right w:w="108" w:type="dxa"/>
          </w:tblCellMar>
        </w:tblPrEx>
        <w:trPr>
          <w:trHeight w:val="974" w:hRule="atLeast"/>
        </w:trPr>
        <w:tc>
          <w:tcPr>
            <w:tcW w:w="11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kern w:val="0"/>
                <w:sz w:val="20"/>
                <w:szCs w:val="20"/>
                <w:lang w:eastAsia="zh-CN"/>
              </w:rPr>
            </w:pPr>
            <w:r>
              <w:rPr>
                <w:rFonts w:hint="eastAsia" w:ascii="宋体" w:hAnsi="宋体" w:eastAsia="宋体"/>
                <w:b/>
                <w:bCs/>
                <w:kern w:val="0"/>
                <w:sz w:val="20"/>
                <w:szCs w:val="20"/>
              </w:rPr>
              <w:t>效益</w:t>
            </w:r>
          </w:p>
          <w:p>
            <w:pPr>
              <w:widowControl/>
              <w:spacing w:line="240" w:lineRule="auto"/>
              <w:ind w:firstLine="0" w:firstLineChars="0"/>
              <w:jc w:val="center"/>
              <w:textAlignment w:val="center"/>
              <w:rPr>
                <w:rFonts w:hint="eastAsia" w:ascii="宋体" w:hAnsi="宋体" w:eastAsia="宋体"/>
                <w:b/>
                <w:bCs/>
                <w:sz w:val="20"/>
                <w:szCs w:val="20"/>
              </w:rPr>
            </w:pPr>
            <w:r>
              <w:rPr>
                <w:rFonts w:hint="eastAsia" w:ascii="宋体" w:hAnsi="宋体" w:eastAsia="宋体"/>
                <w:b/>
                <w:bCs/>
                <w:kern w:val="0"/>
                <w:sz w:val="20"/>
                <w:szCs w:val="20"/>
              </w:rPr>
              <w:t>（30分）</w:t>
            </w:r>
          </w:p>
        </w:tc>
        <w:tc>
          <w:tcPr>
            <w:tcW w:w="110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kern w:val="0"/>
                <w:sz w:val="20"/>
                <w:szCs w:val="20"/>
                <w:lang w:eastAsia="zh-CN"/>
              </w:rPr>
            </w:pPr>
            <w:r>
              <w:rPr>
                <w:rFonts w:hint="eastAsia" w:ascii="宋体" w:hAnsi="宋体" w:eastAsia="宋体"/>
                <w:kern w:val="0"/>
                <w:sz w:val="20"/>
                <w:szCs w:val="20"/>
              </w:rPr>
              <w:t>效益指标</w:t>
            </w:r>
          </w:p>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（30分）</w:t>
            </w: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社会效益（10分）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评价项目建成后产生的社会效益，对所在区域新增就业数量，消除贫困情况，维护社会稳定情况和获得社会荣誉等。项目是否存在重大诉讼、公众舆情与群体性事件等。</w:t>
            </w:r>
          </w:p>
        </w:tc>
      </w:tr>
      <w:tr>
        <w:tblPrEx>
          <w:tblCellMar>
            <w:top w:w="0" w:type="dxa"/>
            <w:left w:w="108" w:type="dxa"/>
            <w:bottom w:w="0" w:type="dxa"/>
            <w:right w:w="108" w:type="dxa"/>
          </w:tblCellMar>
        </w:tblPrEx>
        <w:trPr>
          <w:trHeight w:val="974"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经济效益（10分）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评价项目所在地对产业带动及区域经济影响。评价项目建成后对产业的撬动作用，对所在区域的政府财政收入增加情况，项目运营期的缴税纳税情况，项目带动社会有效投资情况等。</w:t>
            </w:r>
          </w:p>
        </w:tc>
      </w:tr>
      <w:tr>
        <w:tblPrEx>
          <w:tblCellMar>
            <w:top w:w="0" w:type="dxa"/>
            <w:left w:w="108" w:type="dxa"/>
            <w:bottom w:w="0" w:type="dxa"/>
            <w:right w:w="108" w:type="dxa"/>
          </w:tblCellMar>
        </w:tblPrEx>
        <w:trPr>
          <w:trHeight w:val="732" w:hRule="atLeast"/>
        </w:trPr>
        <w:tc>
          <w:tcPr>
            <w:tcW w:w="1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p>
        </w:tc>
        <w:tc>
          <w:tcPr>
            <w:tcW w:w="110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0"/>
                <w:szCs w:val="20"/>
              </w:rPr>
            </w:pPr>
            <w:r>
              <w:rPr>
                <w:rFonts w:hint="eastAsia" w:ascii="宋体" w:hAnsi="宋体" w:eastAsia="宋体"/>
                <w:kern w:val="0"/>
                <w:sz w:val="20"/>
                <w:szCs w:val="20"/>
              </w:rPr>
              <w:t>可持续影响（10分）</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sz w:val="20"/>
                <w:szCs w:val="20"/>
              </w:rPr>
            </w:pPr>
            <w:r>
              <w:rPr>
                <w:rFonts w:hint="eastAsia" w:ascii="宋体" w:hAnsi="宋体" w:eastAsia="宋体"/>
                <w:kern w:val="0"/>
                <w:sz w:val="20"/>
                <w:szCs w:val="20"/>
              </w:rPr>
              <w:t>评价项目实施带来的持续影响，项目相关产出带来影响的可持续期限，项目是否可以持续发挥作用</w:t>
            </w:r>
          </w:p>
        </w:tc>
      </w:tr>
      <w:tr>
        <w:tblPrEx>
          <w:tblCellMar>
            <w:top w:w="0" w:type="dxa"/>
            <w:left w:w="108" w:type="dxa"/>
            <w:bottom w:w="0" w:type="dxa"/>
            <w:right w:w="108" w:type="dxa"/>
          </w:tblCellMar>
        </w:tblPrEx>
        <w:trPr>
          <w:trHeight w:val="455" w:hRule="atLeast"/>
        </w:trPr>
        <w:tc>
          <w:tcPr>
            <w:tcW w:w="110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b/>
                <w:bCs/>
                <w:sz w:val="20"/>
                <w:szCs w:val="20"/>
              </w:rPr>
            </w:pPr>
            <w:r>
              <w:rPr>
                <w:rFonts w:hint="eastAsia" w:ascii="宋体" w:hAnsi="宋体" w:eastAsia="宋体"/>
                <w:b/>
                <w:bCs/>
                <w:kern w:val="0"/>
                <w:sz w:val="20"/>
                <w:szCs w:val="20"/>
              </w:rPr>
              <w:t>总分</w:t>
            </w:r>
          </w:p>
        </w:tc>
        <w:tc>
          <w:tcPr>
            <w:tcW w:w="110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rPr>
                <w:rFonts w:hint="eastAsia" w:ascii="宋体" w:hAnsi="宋体" w:eastAsia="宋体"/>
                <w:sz w:val="20"/>
                <w:szCs w:val="20"/>
              </w:rPr>
            </w:pPr>
          </w:p>
        </w:tc>
        <w:tc>
          <w:tcPr>
            <w:tcW w:w="1238"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default" w:ascii="宋体" w:hAnsi="宋体" w:eastAsia="宋体"/>
                <w:b/>
                <w:bCs/>
                <w:sz w:val="20"/>
                <w:szCs w:val="20"/>
                <w:lang w:val="en-US" w:eastAsia="zh-CN"/>
              </w:rPr>
            </w:pPr>
            <w:r>
              <w:rPr>
                <w:rFonts w:hint="eastAsia" w:ascii="宋体" w:hAnsi="宋体" w:eastAsia="宋体"/>
                <w:b/>
                <w:bCs/>
                <w:sz w:val="20"/>
                <w:szCs w:val="20"/>
                <w:lang w:val="en-US" w:eastAsia="zh-CN"/>
              </w:rPr>
              <w:t>100</w:t>
            </w:r>
          </w:p>
        </w:tc>
        <w:tc>
          <w:tcPr>
            <w:tcW w:w="4607"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rPr>
                <w:rFonts w:hint="eastAsia" w:ascii="宋体" w:hAnsi="宋体" w:eastAsia="宋体"/>
                <w:sz w:val="20"/>
                <w:szCs w:val="20"/>
              </w:rPr>
            </w:pPr>
          </w:p>
        </w:tc>
      </w:tr>
    </w:tbl>
    <w:p>
      <w:pPr>
        <w:pStyle w:val="5"/>
        <w:ind w:firstLine="643"/>
        <w:rPr>
          <w:rFonts w:hint="eastAsia" w:ascii="仿宋" w:hAnsi="仿宋" w:cs="仿宋"/>
        </w:rPr>
      </w:pPr>
      <w:r>
        <w:rPr>
          <w:rFonts w:hint="eastAsia" w:ascii="仿宋" w:hAnsi="仿宋" w:cs="仿宋"/>
        </w:rPr>
        <w:t>（3）评价等级</w:t>
      </w:r>
    </w:p>
    <w:p>
      <w:pPr>
        <w:ind w:firstLine="640"/>
        <w:rPr>
          <w:rFonts w:hint="eastAsia" w:ascii="仿宋" w:hAnsi="仿宋" w:cs="仿宋"/>
        </w:rPr>
      </w:pPr>
      <w:r>
        <w:rPr>
          <w:rFonts w:hint="eastAsia" w:ascii="仿宋" w:hAnsi="仿宋" w:cs="仿宋"/>
        </w:rPr>
        <w:t>绩效评价结果量化为百分制综合评分，并按照综合评分进行分级。</w:t>
      </w:r>
    </w:p>
    <w:p>
      <w:pPr>
        <w:ind w:firstLine="640"/>
        <w:rPr>
          <w:rFonts w:hint="eastAsia" w:ascii="仿宋" w:hAnsi="仿宋" w:cs="仿宋"/>
        </w:rPr>
      </w:pPr>
      <w:r>
        <w:rPr>
          <w:rFonts w:ascii="仿宋" w:hAnsi="仿宋" w:cs="仿宋"/>
        </w:rPr>
        <w:t>绩效评价结果分为4个等级：</w:t>
      </w:r>
    </w:p>
    <w:p>
      <w:pPr>
        <w:ind w:firstLine="640"/>
        <w:rPr>
          <w:rFonts w:hint="eastAsia" w:ascii="仿宋" w:hAnsi="仿宋" w:cs="仿宋"/>
        </w:rPr>
      </w:pPr>
      <w:r>
        <w:rPr>
          <w:rFonts w:hint="eastAsia" w:ascii="仿宋" w:hAnsi="仿宋" w:cs="仿宋"/>
        </w:rPr>
        <w:t>综合评分为90.00分（含）以上的为“优”</w:t>
      </w:r>
      <w:r>
        <w:rPr>
          <w:rFonts w:ascii="仿宋" w:hAnsi="仿宋" w:cs="仿宋"/>
        </w:rPr>
        <w:t>；</w:t>
      </w:r>
    </w:p>
    <w:p>
      <w:pPr>
        <w:ind w:firstLine="640"/>
        <w:rPr>
          <w:rFonts w:hint="eastAsia" w:ascii="仿宋" w:hAnsi="仿宋" w:cs="仿宋"/>
        </w:rPr>
      </w:pPr>
      <w:r>
        <w:rPr>
          <w:rFonts w:hint="eastAsia" w:ascii="仿宋" w:hAnsi="仿宋" w:cs="仿宋"/>
        </w:rPr>
        <w:t>综合评分为80.00分（含）至90.00分的为“良”</w:t>
      </w:r>
      <w:r>
        <w:rPr>
          <w:rFonts w:ascii="仿宋" w:hAnsi="仿宋" w:cs="仿宋"/>
        </w:rPr>
        <w:t>；</w:t>
      </w:r>
    </w:p>
    <w:p>
      <w:pPr>
        <w:ind w:firstLine="640"/>
        <w:rPr>
          <w:rFonts w:hint="eastAsia" w:ascii="仿宋" w:hAnsi="仿宋" w:cs="仿宋"/>
        </w:rPr>
      </w:pPr>
      <w:r>
        <w:rPr>
          <w:rFonts w:hint="eastAsia" w:ascii="仿宋" w:hAnsi="仿宋" w:cs="仿宋"/>
        </w:rPr>
        <w:t>综合评分为60.00分（含）至80.00分的为“中”</w:t>
      </w:r>
      <w:r>
        <w:rPr>
          <w:rFonts w:ascii="仿宋" w:hAnsi="仿宋" w:cs="仿宋"/>
        </w:rPr>
        <w:t>；</w:t>
      </w:r>
    </w:p>
    <w:p>
      <w:pPr>
        <w:ind w:firstLine="640"/>
        <w:rPr>
          <w:rFonts w:hint="eastAsia" w:ascii="仿宋" w:hAnsi="仿宋" w:cs="仿宋"/>
        </w:rPr>
      </w:pPr>
      <w:r>
        <w:rPr>
          <w:rFonts w:hint="eastAsia" w:ascii="仿宋" w:hAnsi="仿宋" w:cs="仿宋"/>
        </w:rPr>
        <w:t>综合评分为60.00分以下的为“差”。</w:t>
      </w:r>
    </w:p>
    <w:p>
      <w:pPr>
        <w:pStyle w:val="3"/>
        <w:spacing w:before="0" w:after="0"/>
        <w:ind w:firstLine="643"/>
      </w:pPr>
      <w:bookmarkStart w:id="519" w:name="_Toc24215"/>
      <w:r>
        <w:rPr>
          <w:rFonts w:hint="eastAsia"/>
        </w:rPr>
        <w:t>（三）本次绩效评价的程序</w:t>
      </w:r>
      <w:bookmarkEnd w:id="519"/>
    </w:p>
    <w:p>
      <w:pPr>
        <w:pStyle w:val="4"/>
        <w:ind w:firstLine="643"/>
        <w:rPr>
          <w:rFonts w:hint="eastAsia"/>
        </w:rPr>
      </w:pPr>
      <w:r>
        <w:rPr>
          <w:rFonts w:hint="eastAsia"/>
        </w:rPr>
        <w:t>1.进驻单位，初步沟通</w:t>
      </w:r>
    </w:p>
    <w:p>
      <w:pPr>
        <w:ind w:firstLine="640"/>
        <w:rPr>
          <w:rFonts w:hint="eastAsia" w:ascii="仿宋" w:hAnsi="仿宋" w:cs="仿宋"/>
        </w:rPr>
      </w:pPr>
      <w:r>
        <w:rPr>
          <w:rFonts w:hint="eastAsia" w:ascii="仿宋" w:hAnsi="仿宋" w:cs="仿宋"/>
        </w:rPr>
        <w:t>2024年6月15日，绩效评价工作组按委托方要求进驻被评价单位，参与现场评价工作会议，听取被评价单位</w:t>
      </w:r>
      <w:r>
        <w:rPr>
          <w:rFonts w:hint="eastAsia"/>
        </w:rPr>
        <w:t>遂宁天擎工程项目管理有限公司</w:t>
      </w:r>
      <w:r>
        <w:rPr>
          <w:rFonts w:hint="eastAsia" w:ascii="仿宋" w:hAnsi="仿宋" w:cs="仿宋"/>
        </w:rPr>
        <w:t>对本次评价对象的情况介绍，包括目标设定及完成程度，组织管理制度建立健全及落实情况，预算支出执行情况，财务管理状况，资产管理情况和预算支出执行产生的效益效果等。初步了解项目整体进展情况并制定本次绩效评价工作方案。</w:t>
      </w:r>
    </w:p>
    <w:p>
      <w:pPr>
        <w:pStyle w:val="4"/>
        <w:ind w:firstLine="643"/>
        <w:rPr>
          <w:rFonts w:hint="eastAsia"/>
        </w:rPr>
      </w:pPr>
      <w:r>
        <w:rPr>
          <w:rFonts w:hint="eastAsia"/>
        </w:rPr>
        <w:t>2.收集资料，复核分析</w:t>
      </w:r>
    </w:p>
    <w:p>
      <w:pPr>
        <w:ind w:firstLine="640"/>
      </w:pPr>
      <w:r>
        <w:rPr>
          <w:rFonts w:hint="eastAsia"/>
        </w:rPr>
        <w:t>对被评价单位提供的</w:t>
      </w:r>
      <w:r>
        <w:t>项目资料和财务资料</w:t>
      </w:r>
      <w:r>
        <w:rPr>
          <w:rFonts w:hint="eastAsia"/>
        </w:rPr>
        <w:t>进行查阅。包括：明细账和记账凭证核对，记账凭证和后附附件的核对，检查账务处理的合规性；检查</w:t>
      </w:r>
      <w:r>
        <w:t>专项债券收支文件</w:t>
      </w:r>
      <w:r>
        <w:rPr>
          <w:rFonts w:hint="eastAsia"/>
        </w:rPr>
        <w:t>，与财务资料比对复核，核实资金下达与资金拨付手续，核实项目公示信息；检查项目各项管理制度设置的完善性和合理性，落实制度的实际运行状况；查阅项目招投标文件，审核项目招投标程序是否合法合规，应通过政府采购的项目是否遵照执行；检查各项收支审批程序、核实资金是否按来源和预算用途规范管理和运用；检查过程项目进度和完工资料，核实项目产出的数量、质量，查看项目质量检验和验收情况。</w:t>
      </w:r>
      <w:r>
        <w:t>并查看专项债券实施方案中专项收益的科学性合理性，核实收入取得的可实现情况。</w:t>
      </w:r>
    </w:p>
    <w:p>
      <w:pPr>
        <w:pStyle w:val="4"/>
        <w:ind w:firstLine="643"/>
        <w:rPr>
          <w:rFonts w:hint="eastAsia"/>
        </w:rPr>
      </w:pPr>
      <w:r>
        <w:rPr>
          <w:rFonts w:hint="eastAsia"/>
        </w:rPr>
        <w:t>3.实地查看，现场评价</w:t>
      </w:r>
    </w:p>
    <w:p>
      <w:pPr>
        <w:ind w:firstLine="640"/>
        <w:rPr>
          <w:rFonts w:hint="eastAsia" w:ascii="仿宋" w:hAnsi="仿宋" w:cs="仿宋"/>
        </w:rPr>
      </w:pPr>
      <w:r>
        <w:rPr>
          <w:rFonts w:hint="eastAsia" w:ascii="仿宋" w:hAnsi="仿宋" w:cs="仿宋"/>
        </w:rPr>
        <w:t>评价组结合几日来翻阅的项目资料和财务账目情况，在项目单位带领下到专项债项目现场，实地查看项目的实际状态和</w:t>
      </w:r>
      <w:r>
        <w:rPr>
          <w:rFonts w:ascii="仿宋" w:hAnsi="仿宋" w:cs="仿宋"/>
        </w:rPr>
        <w:t>建设完工情况</w:t>
      </w:r>
      <w:r>
        <w:rPr>
          <w:rFonts w:hint="eastAsia" w:ascii="仿宋" w:hAnsi="仿宋" w:cs="仿宋"/>
        </w:rPr>
        <w:t>及运营现状，核实各个项目实际完成情况，查看各项资产状态和管理维护情况，查验项目实施的</w:t>
      </w:r>
      <w:r>
        <w:rPr>
          <w:rFonts w:ascii="仿宋" w:hAnsi="仿宋" w:cs="仿宋"/>
        </w:rPr>
        <w:t>完成数量和质量</w:t>
      </w:r>
      <w:r>
        <w:rPr>
          <w:rFonts w:hint="eastAsia" w:ascii="仿宋" w:hAnsi="仿宋" w:cs="仿宋"/>
        </w:rPr>
        <w:t>。检验已完成项目的运行效果，通过访谈与实地查看，了解项目运作模式和实际运营情况。</w:t>
      </w:r>
    </w:p>
    <w:p>
      <w:pPr>
        <w:pStyle w:val="4"/>
        <w:ind w:firstLine="643"/>
        <w:rPr>
          <w:rFonts w:hint="eastAsia"/>
        </w:rPr>
      </w:pPr>
      <w:r>
        <w:rPr>
          <w:rFonts w:hint="eastAsia"/>
        </w:rPr>
        <w:t>4.综合分析，客观评价</w:t>
      </w:r>
    </w:p>
    <w:p>
      <w:pPr>
        <w:ind w:firstLine="640"/>
      </w:pPr>
      <w:r>
        <w:rPr>
          <w:rFonts w:hint="eastAsia"/>
        </w:rPr>
        <w:t>根据核实的情况，独立、客观、公正地开展现场评价工作，逐项分析评价项目目标设置情况；项目决策情况；资金管理情况；项目申报、评审情况；资金下达情况；资金使用情况；绩效目标产出完成情况；项目资金使用绩效情况。对各项指标对比分析和归纳总结，初步形成综合</w:t>
      </w:r>
      <w:r>
        <w:t>评价结论</w:t>
      </w:r>
      <w:r>
        <w:rPr>
          <w:rFonts w:hint="eastAsia"/>
        </w:rPr>
        <w:t>。</w:t>
      </w:r>
    </w:p>
    <w:p>
      <w:pPr>
        <w:pStyle w:val="4"/>
        <w:ind w:firstLine="643"/>
        <w:rPr>
          <w:rFonts w:hint="eastAsia"/>
        </w:rPr>
      </w:pPr>
      <w:r>
        <w:rPr>
          <w:rFonts w:hint="eastAsia"/>
        </w:rPr>
        <w:t>5.绩效评价报告</w:t>
      </w:r>
    </w:p>
    <w:p>
      <w:pPr>
        <w:pStyle w:val="5"/>
        <w:ind w:firstLine="643"/>
        <w:rPr>
          <w:rFonts w:hint="eastAsia" w:ascii="仿宋" w:hAnsi="仿宋" w:cs="仿宋"/>
        </w:rPr>
      </w:pPr>
      <w:r>
        <w:rPr>
          <w:rFonts w:hint="eastAsia" w:ascii="仿宋" w:hAnsi="仿宋" w:cs="仿宋"/>
        </w:rPr>
        <w:t>（1）撰写绩效评价报告</w:t>
      </w:r>
    </w:p>
    <w:p>
      <w:pPr>
        <w:ind w:firstLine="640"/>
      </w:pPr>
      <w:r>
        <w:rPr>
          <w:rFonts w:hint="eastAsia"/>
        </w:rPr>
        <w:t>绩效评价报告的具体格式由财政部门统一制定，绩效评价人员按照规定的文本格式和协议要求撰写绩效评价报告，做到依据充分、数据真实、内容完整、客观公正、结论明确、建议可行。</w:t>
      </w:r>
    </w:p>
    <w:p>
      <w:pPr>
        <w:pStyle w:val="5"/>
        <w:ind w:firstLine="643"/>
        <w:rPr>
          <w:rFonts w:hint="eastAsia" w:ascii="仿宋" w:hAnsi="仿宋" w:cs="仿宋"/>
        </w:rPr>
      </w:pPr>
      <w:r>
        <w:rPr>
          <w:rFonts w:hint="eastAsia" w:ascii="仿宋" w:hAnsi="仿宋" w:cs="仿宋"/>
        </w:rPr>
        <w:t>（2）绩效评价报告征求意见</w:t>
      </w:r>
    </w:p>
    <w:p>
      <w:pPr>
        <w:ind w:firstLine="640"/>
      </w:pPr>
      <w:r>
        <w:rPr>
          <w:rFonts w:hint="eastAsia"/>
        </w:rPr>
        <w:t>绩效评价报告初稿完成后，由遂宁高新区财政金融局牵头，与被评价单位交换意见，根据反馈的有效意见对评价报告进行修改。如对评价报告存在意见分歧，经协商仍不能取得一致的，绩效评价组在出具正式绩效评价报告时须同时提交被评价单位的不同意见。</w:t>
      </w:r>
    </w:p>
    <w:p>
      <w:pPr>
        <w:pStyle w:val="5"/>
        <w:ind w:firstLine="643"/>
        <w:rPr>
          <w:rFonts w:hint="eastAsia" w:ascii="仿宋" w:hAnsi="仿宋" w:cs="仿宋"/>
        </w:rPr>
      </w:pPr>
      <w:r>
        <w:rPr>
          <w:rFonts w:hint="eastAsia" w:ascii="仿宋" w:hAnsi="仿宋" w:cs="仿宋"/>
        </w:rPr>
        <w:t>（3）提交绩效评价报告</w:t>
      </w:r>
    </w:p>
    <w:p>
      <w:pPr>
        <w:ind w:firstLine="640"/>
        <w:rPr>
          <w:rFonts w:hint="eastAsia" w:ascii="仿宋" w:hAnsi="仿宋" w:cs="仿宋"/>
        </w:rPr>
      </w:pPr>
      <w:r>
        <w:rPr>
          <w:rFonts w:hint="eastAsia" w:ascii="仿宋" w:hAnsi="仿宋" w:cs="仿宋"/>
        </w:rPr>
        <w:t>出具</w:t>
      </w:r>
      <w:r>
        <w:rPr>
          <w:rFonts w:ascii="仿宋" w:hAnsi="宋体"/>
          <w:spacing w:val="-1"/>
          <w:szCs w:val="32"/>
        </w:rPr>
        <w:t>遂宁高新区电子产业园区及配套基础设施建设项目（二期）</w:t>
      </w:r>
      <w:r>
        <w:rPr>
          <w:rFonts w:hint="eastAsia" w:ascii="仿宋" w:hAnsi="仿宋" w:eastAsia="仿宋" w:cs="仿宋"/>
          <w:b w:val="0"/>
          <w:bCs w:val="0"/>
          <w:sz w:val="32"/>
          <w:szCs w:val="32"/>
        </w:rPr>
        <w:t>2023年度专项债券项目资金绩效评价</w:t>
      </w:r>
      <w:r>
        <w:rPr>
          <w:rFonts w:hint="eastAsia" w:ascii="仿宋" w:hAnsi="仿宋" w:eastAsia="仿宋" w:cs="仿宋"/>
          <w:b w:val="0"/>
          <w:bCs w:val="0"/>
          <w:sz w:val="32"/>
          <w:szCs w:val="32"/>
          <w:lang w:val="en-US" w:eastAsia="zh-CN"/>
        </w:rPr>
        <w:t>报告</w:t>
      </w:r>
      <w:r>
        <w:rPr>
          <w:rFonts w:hint="eastAsia" w:ascii="仿宋" w:hAnsi="仿宋" w:eastAsia="仿宋" w:cs="仿宋"/>
          <w:b w:val="0"/>
          <w:bCs w:val="0"/>
          <w:sz w:val="32"/>
          <w:szCs w:val="32"/>
        </w:rPr>
        <w:t>。</w:t>
      </w:r>
    </w:p>
    <w:p>
      <w:pPr>
        <w:pStyle w:val="2"/>
        <w:spacing w:before="0" w:after="0"/>
        <w:ind w:firstLine="640"/>
      </w:pPr>
      <w:bookmarkStart w:id="520" w:name="_Toc24300"/>
      <w:r>
        <w:rPr>
          <w:rFonts w:hint="eastAsia"/>
        </w:rPr>
        <w:t>三、综合评价情况及评价结论（附相关评分表）</w:t>
      </w:r>
      <w:bookmarkEnd w:id="520"/>
    </w:p>
    <w:p>
      <w:pPr>
        <w:ind w:firstLine="640"/>
        <w:rPr>
          <w:rFonts w:hint="eastAsia" w:ascii="仿宋" w:hAnsi="仿宋" w:cs="仿宋"/>
          <w:szCs w:val="32"/>
        </w:rPr>
      </w:pPr>
      <w:r>
        <w:rPr>
          <w:rFonts w:hint="eastAsia" w:ascii="仿宋" w:hAnsi="仿宋" w:cs="仿宋"/>
          <w:szCs w:val="32"/>
        </w:rPr>
        <w:t>为了全面、客观、有效地进行绩效评价，评价工作小组深入遂宁天擎工程项目管理有限公司与工作人员进行沟通座谈并充分了解项目情况，查阅项目档案，收集相关信息资料，采取定性和定量分析方法，通过对4大类20项指标，52个子评价项逐一评价，对遂宁高新区电子产业园区及配套基础设施建设项目（二期）2023年专项债券项目的立项程序、绩效目标、资金落实、组织实施、资金管理、项目产出和项目效益等方面进行综合评价。</w:t>
      </w:r>
    </w:p>
    <w:p>
      <w:pPr>
        <w:ind w:firstLine="640"/>
        <w:rPr>
          <w:rFonts w:hint="eastAsia" w:ascii="仿宋" w:hAnsi="仿宋" w:cs="仿宋"/>
          <w:szCs w:val="32"/>
        </w:rPr>
      </w:pPr>
      <w:r>
        <w:rPr>
          <w:rFonts w:hint="eastAsia" w:ascii="仿宋" w:hAnsi="仿宋" w:cs="仿宋"/>
          <w:szCs w:val="32"/>
        </w:rPr>
        <w:t>经过综合分析，遂宁高新区电子产业园区及配套基础设施建设项目（二期），符合当地经济社会发展需要和政策要求，项目建设内容与项目单位职责相契合，本项目属于产业园区基础设施类，是2023年度地方政府专项债券支持的领域。</w:t>
      </w:r>
      <w:r>
        <w:rPr>
          <w:rFonts w:hint="eastAsia"/>
        </w:rPr>
        <w:t>项目前期各项批复工作全部完成</w:t>
      </w:r>
      <w:r>
        <w:rPr>
          <w:rStyle w:val="22"/>
          <w:rFonts w:hint="eastAsia" w:ascii="仿宋" w:hAnsi="仿宋" w:cs="仿宋"/>
          <w:sz w:val="32"/>
          <w:szCs w:val="32"/>
        </w:rPr>
        <w:t>，</w:t>
      </w:r>
      <w:r>
        <w:rPr>
          <w:rFonts w:hint="eastAsia" w:ascii="仿宋" w:hAnsi="仿宋" w:cs="仿宋"/>
          <w:szCs w:val="32"/>
        </w:rPr>
        <w:t>项目立项程序合规，手续齐全，绩效目标设置总体能够做到科学合理设置，但部分指标设置不够细化、量化。本项目按照规定编制了专项债券一案两书，并对于项目专项债券资金申报进行了事前绩效评估工作。债券资金与项目实际需求相匹配，资金指标9,900.00万元已经全部下达，截至2023年12月31日</w:t>
      </w:r>
      <w:r>
        <w:rPr>
          <w:rFonts w:hint="eastAsia" w:ascii="仿宋" w:hAnsi="仿宋" w:cs="仿宋"/>
        </w:rPr>
        <w:t>遂宁天擎工程项目管理有限公司</w:t>
      </w:r>
      <w:r>
        <w:rPr>
          <w:rFonts w:hint="eastAsia" w:ascii="仿宋" w:hAnsi="仿宋" w:cs="仿宋"/>
          <w:szCs w:val="32"/>
        </w:rPr>
        <w:t>实际收到</w:t>
      </w:r>
      <w:r>
        <w:rPr>
          <w:rFonts w:hint="eastAsia" w:ascii="仿宋" w:hAnsi="仿宋" w:cs="仿宋"/>
        </w:rPr>
        <w:t>7,330.75万元，</w:t>
      </w:r>
      <w:r>
        <w:rPr>
          <w:rFonts w:hint="eastAsia" w:ascii="仿宋" w:hAnsi="仿宋" w:cs="仿宋"/>
          <w:szCs w:val="32"/>
        </w:rPr>
        <w:t>资金到位率74.05%。截至2023年12月31日，</w:t>
      </w:r>
      <w:r>
        <w:rPr>
          <w:rFonts w:hint="eastAsia"/>
        </w:rPr>
        <w:t>上述资金完成支出</w:t>
      </w:r>
      <w:r>
        <w:rPr>
          <w:rFonts w:hint="eastAsia" w:ascii="仿宋" w:hAnsi="仿宋" w:cs="仿宋"/>
        </w:rPr>
        <w:t>3,537.38</w:t>
      </w:r>
      <w:r>
        <w:rPr>
          <w:rFonts w:hint="eastAsia"/>
        </w:rPr>
        <w:t>万元，已支出资金全部用于</w:t>
      </w:r>
      <w:r>
        <w:rPr>
          <w:rFonts w:hint="eastAsia" w:ascii="仿宋" w:hAnsi="仿宋" w:cs="仿宋"/>
        </w:rPr>
        <w:t>遂宁高新区电子产业园区及配套基础设施建设项目（二期）</w:t>
      </w:r>
      <w:r>
        <w:rPr>
          <w:rFonts w:hint="eastAsia"/>
        </w:rPr>
        <w:t>项目支出，资金执行率</w:t>
      </w:r>
      <w:r>
        <w:rPr>
          <w:rFonts w:hint="eastAsia" w:ascii="仿宋" w:hAnsi="仿宋" w:eastAsia="仿宋" w:cs="仿宋"/>
          <w:sz w:val="32"/>
          <w:szCs w:val="32"/>
        </w:rPr>
        <w:t>48.25%</w:t>
      </w:r>
      <w:r>
        <w:rPr>
          <w:rFonts w:hint="eastAsia"/>
        </w:rPr>
        <w:t>，专项债资金执行率低，</w:t>
      </w:r>
      <w:r>
        <w:rPr>
          <w:rFonts w:hint="eastAsia" w:ascii="仿宋" w:hAnsi="仿宋" w:cs="仿宋"/>
          <w:szCs w:val="32"/>
        </w:rPr>
        <w:t>造成一定程度上资金闲置。项目建设单位建立了各项项目管理制度，基本执行有效。项目采购、签约、管理和监督工作都能做到流程规范、程序合规，本项目现处在建设期第一年，截至2023年12月31日，本项目</w:t>
      </w:r>
      <w:r>
        <w:rPr>
          <w:rFonts w:hint="eastAsia" w:ascii="仿宋" w:hAnsi="仿宋" w:cs="仿宋"/>
          <w:kern w:val="0"/>
          <w:szCs w:val="32"/>
        </w:rPr>
        <w:t>已完成工程量约为总工程量的</w:t>
      </w:r>
      <w:r>
        <w:rPr>
          <w:rFonts w:hint="eastAsia" w:ascii="仿宋" w:hAnsi="仿宋" w:cs="仿宋"/>
          <w:szCs w:val="32"/>
        </w:rPr>
        <w:t>40.00%，已完成工程质量基本达标。产出时效和成本指标控制较好，能够在规定期限内和预计成本限制下完成。因项目还未完成整体全部建设内容，本项目还不能完全实现相应的社会和经济效益，从长久来看，本项目将随着园区的存在持续发挥效益。</w:t>
      </w:r>
    </w:p>
    <w:p>
      <w:pPr>
        <w:ind w:firstLine="640"/>
        <w:rPr>
          <w:rFonts w:hint="eastAsia" w:ascii="仿宋" w:hAnsi="仿宋" w:cs="仿宋"/>
          <w:szCs w:val="32"/>
        </w:rPr>
      </w:pPr>
      <w:r>
        <w:rPr>
          <w:rFonts w:hint="eastAsia" w:ascii="仿宋" w:hAnsi="仿宋" w:cs="仿宋"/>
          <w:szCs w:val="32"/>
        </w:rPr>
        <w:t>经绩效评价组从决策指标、管理指标、产出指标、效益指标四方面进行综合评议，本项目绩效评价综合评分为88.90分，综合绩效评定结论为“良”。综合评价得分情况如下：</w:t>
      </w:r>
    </w:p>
    <w:p>
      <w:pPr>
        <w:spacing w:after="156" w:afterLines="50"/>
        <w:ind w:firstLine="0" w:firstLineChars="0"/>
        <w:jc w:val="center"/>
        <w:rPr>
          <w:rFonts w:hint="eastAsia" w:ascii="宋体" w:hAnsi="宋体" w:eastAsia="宋体"/>
          <w:b/>
          <w:bCs/>
          <w:iCs/>
          <w:sz w:val="24"/>
        </w:rPr>
      </w:pPr>
      <w:r>
        <w:rPr>
          <w:rFonts w:hint="eastAsia" w:ascii="宋体" w:hAnsi="宋体" w:eastAsia="宋体"/>
          <w:b/>
          <w:bCs/>
          <w:iCs/>
          <w:sz w:val="24"/>
        </w:rPr>
        <w:t>综合评价得分情况表</w:t>
      </w:r>
    </w:p>
    <w:tbl>
      <w:tblPr>
        <w:tblStyle w:val="17"/>
        <w:tblW w:w="8260" w:type="dxa"/>
        <w:tblInd w:w="0" w:type="dxa"/>
        <w:tblLayout w:type="autofit"/>
        <w:tblCellMar>
          <w:top w:w="0" w:type="dxa"/>
          <w:left w:w="108" w:type="dxa"/>
          <w:bottom w:w="0" w:type="dxa"/>
          <w:right w:w="108" w:type="dxa"/>
        </w:tblCellMar>
      </w:tblPr>
      <w:tblGrid>
        <w:gridCol w:w="2065"/>
        <w:gridCol w:w="2065"/>
        <w:gridCol w:w="2065"/>
        <w:gridCol w:w="2065"/>
      </w:tblGrid>
      <w:tr>
        <w:trPr>
          <w:trHeight w:val="397" w:hRule="exact"/>
        </w:trPr>
        <w:tc>
          <w:tcPr>
            <w:tcW w:w="206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一级指标</w:t>
            </w:r>
          </w:p>
        </w:tc>
        <w:tc>
          <w:tcPr>
            <w:tcW w:w="206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分值</w:t>
            </w:r>
          </w:p>
        </w:tc>
        <w:tc>
          <w:tcPr>
            <w:tcW w:w="206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得分</w:t>
            </w:r>
          </w:p>
        </w:tc>
        <w:tc>
          <w:tcPr>
            <w:tcW w:w="2065"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得分率</w:t>
            </w:r>
          </w:p>
        </w:tc>
      </w:tr>
      <w:tr>
        <w:tblPrEx>
          <w:tblCellMar>
            <w:top w:w="0" w:type="dxa"/>
            <w:left w:w="108" w:type="dxa"/>
            <w:bottom w:w="0" w:type="dxa"/>
            <w:right w:w="108" w:type="dxa"/>
          </w:tblCellMar>
        </w:tblPrEx>
        <w:trPr>
          <w:trHeight w:val="397" w:hRule="exact"/>
        </w:trPr>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决策</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15.00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14.00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93.33%</w:t>
            </w:r>
          </w:p>
        </w:tc>
      </w:tr>
      <w:tr>
        <w:tblPrEx>
          <w:tblCellMar>
            <w:top w:w="0" w:type="dxa"/>
            <w:left w:w="108" w:type="dxa"/>
            <w:bottom w:w="0" w:type="dxa"/>
            <w:right w:w="108" w:type="dxa"/>
          </w:tblCellMar>
        </w:tblPrEx>
        <w:trPr>
          <w:trHeight w:val="397" w:hRule="exact"/>
        </w:trPr>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过程</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25.00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16.90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67.60%</w:t>
            </w:r>
          </w:p>
        </w:tc>
      </w:tr>
      <w:tr>
        <w:tblPrEx>
          <w:tblCellMar>
            <w:top w:w="0" w:type="dxa"/>
            <w:left w:w="108" w:type="dxa"/>
            <w:bottom w:w="0" w:type="dxa"/>
            <w:right w:w="108" w:type="dxa"/>
          </w:tblCellMar>
        </w:tblPrEx>
        <w:trPr>
          <w:trHeight w:val="397" w:hRule="exact"/>
        </w:trPr>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产出</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30.00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28.00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93.33%</w:t>
            </w:r>
          </w:p>
        </w:tc>
      </w:tr>
      <w:tr>
        <w:tblPrEx>
          <w:tblCellMar>
            <w:top w:w="0" w:type="dxa"/>
            <w:left w:w="108" w:type="dxa"/>
            <w:bottom w:w="0" w:type="dxa"/>
            <w:right w:w="108" w:type="dxa"/>
          </w:tblCellMar>
        </w:tblPrEx>
        <w:trPr>
          <w:trHeight w:val="397" w:hRule="exact"/>
        </w:trPr>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效益</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30.00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30.00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sz w:val="24"/>
              </w:rPr>
            </w:pPr>
            <w:r>
              <w:rPr>
                <w:rFonts w:hint="eastAsia" w:ascii="宋体" w:hAnsi="宋体" w:eastAsia="宋体"/>
                <w:kern w:val="0"/>
                <w:sz w:val="24"/>
              </w:rPr>
              <w:t>100.00%</w:t>
            </w:r>
          </w:p>
        </w:tc>
      </w:tr>
      <w:tr>
        <w:tblPrEx>
          <w:tblCellMar>
            <w:top w:w="0" w:type="dxa"/>
            <w:left w:w="108" w:type="dxa"/>
            <w:bottom w:w="0" w:type="dxa"/>
            <w:right w:w="108" w:type="dxa"/>
          </w:tblCellMar>
        </w:tblPrEx>
        <w:trPr>
          <w:trHeight w:val="425" w:hRule="exact"/>
        </w:trPr>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合　计</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100.00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88.90</w:t>
            </w:r>
          </w:p>
        </w:tc>
        <w:tc>
          <w:tcPr>
            <w:tcW w:w="2065" w:type="dxa"/>
            <w:tcBorders>
              <w:top w:val="nil"/>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b/>
                <w:bCs/>
                <w:sz w:val="24"/>
              </w:rPr>
            </w:pPr>
            <w:r>
              <w:rPr>
                <w:rFonts w:hint="eastAsia" w:ascii="宋体" w:hAnsi="宋体" w:eastAsia="宋体"/>
                <w:b/>
                <w:bCs/>
                <w:kern w:val="0"/>
                <w:sz w:val="24"/>
              </w:rPr>
              <w:t>88.90%</w:t>
            </w:r>
          </w:p>
        </w:tc>
      </w:tr>
    </w:tbl>
    <w:p>
      <w:pPr>
        <w:pStyle w:val="2"/>
        <w:spacing w:before="0" w:after="0"/>
        <w:ind w:firstLine="640"/>
      </w:pPr>
      <w:bookmarkStart w:id="521" w:name="_Toc4240"/>
      <w:r>
        <w:rPr>
          <w:rFonts w:hint="eastAsia"/>
        </w:rPr>
        <w:t>四、绩效指标分析情况</w:t>
      </w:r>
      <w:bookmarkEnd w:id="521"/>
    </w:p>
    <w:p>
      <w:pPr>
        <w:pStyle w:val="3"/>
        <w:spacing w:before="0" w:after="0"/>
        <w:ind w:firstLine="643"/>
      </w:pPr>
      <w:bookmarkStart w:id="522" w:name="_Toc21608"/>
      <w:r>
        <w:rPr>
          <w:rFonts w:hint="eastAsia"/>
        </w:rPr>
        <w:t>（一）项目决策情况</w:t>
      </w:r>
      <w:bookmarkEnd w:id="522"/>
    </w:p>
    <w:p>
      <w:pPr>
        <w:pStyle w:val="4"/>
        <w:ind w:firstLine="643"/>
        <w:rPr>
          <w:rFonts w:hint="eastAsia"/>
        </w:rPr>
      </w:pPr>
      <w:r>
        <w:rPr>
          <w:rFonts w:hint="eastAsia"/>
        </w:rPr>
        <w:t>1.项目立项（满分10.00分，评价得分10.00分）</w:t>
      </w:r>
    </w:p>
    <w:p>
      <w:pPr>
        <w:ind w:firstLine="640"/>
      </w:pPr>
      <w:r>
        <w:rPr>
          <w:rFonts w:hint="eastAsia" w:ascii="仿宋" w:hAnsi="仿宋" w:cs="仿宋"/>
          <w:szCs w:val="32"/>
        </w:rPr>
        <w:t>本项目是</w:t>
      </w:r>
      <w:r>
        <w:rPr>
          <w:rFonts w:hint="eastAsia" w:ascii="仿宋" w:hAnsi="仿宋" w:cs="仿宋"/>
          <w:spacing w:val="-1"/>
          <w:szCs w:val="32"/>
        </w:rPr>
        <w:t>遂宁市实施工业强市战</w:t>
      </w:r>
      <w:r>
        <w:rPr>
          <w:rFonts w:hint="eastAsia" w:ascii="仿宋" w:hAnsi="仿宋" w:cs="仿宋"/>
          <w:spacing w:val="-2"/>
          <w:szCs w:val="32"/>
        </w:rPr>
        <w:t>略，提高工业</w:t>
      </w:r>
      <w:r>
        <w:rPr>
          <w:rFonts w:hint="eastAsia" w:ascii="仿宋" w:hAnsi="仿宋" w:cs="仿宋"/>
          <w:spacing w:val="-4"/>
          <w:szCs w:val="32"/>
        </w:rPr>
        <w:t>经济发展水平、</w:t>
      </w:r>
      <w:r>
        <w:rPr>
          <w:rFonts w:hint="eastAsia" w:ascii="仿宋" w:hAnsi="仿宋" w:cs="仿宋"/>
          <w:spacing w:val="-1"/>
          <w:szCs w:val="32"/>
        </w:rPr>
        <w:t>发展产业集群，优</w:t>
      </w:r>
      <w:r>
        <w:rPr>
          <w:rFonts w:hint="eastAsia" w:ascii="仿宋" w:hAnsi="仿宋" w:cs="仿宋"/>
          <w:spacing w:val="-2"/>
          <w:szCs w:val="32"/>
        </w:rPr>
        <w:t>化规划园区功能布局</w:t>
      </w:r>
      <w:r>
        <w:rPr>
          <w:rFonts w:hint="eastAsia" w:ascii="仿宋" w:hAnsi="仿宋" w:cs="仿宋"/>
          <w:szCs w:val="32"/>
        </w:rPr>
        <w:t>的新举措，项目立项符合当地政策规划和发展需要，</w:t>
      </w:r>
      <w:r>
        <w:rPr>
          <w:rFonts w:hint="eastAsia" w:ascii="仿宋" w:hAnsi="仿宋" w:cs="仿宋"/>
          <w:spacing w:val="-6"/>
          <w:szCs w:val="32"/>
        </w:rPr>
        <w:t>2022年5月，原项目建设单位</w:t>
      </w:r>
      <w:r>
        <w:rPr>
          <w:rFonts w:hint="eastAsia" w:ascii="仿宋" w:hAnsi="仿宋" w:cs="仿宋"/>
          <w:spacing w:val="-4"/>
          <w:szCs w:val="32"/>
        </w:rPr>
        <w:t>遂宁天一投资集团有限公司邀请专家团队对</w:t>
      </w:r>
      <w:r>
        <w:rPr>
          <w:rFonts w:hint="eastAsia" w:ascii="仿宋" w:hAnsi="仿宋" w:cs="仿宋"/>
          <w:szCs w:val="32"/>
        </w:rPr>
        <w:t>遂宁高新区电子产业园区及配套基础设施建设项目（二期）项目做了可行性报告、并向遂宁高新区科技创新与经济发展局提交请示，2022年6月30日取得《遂宁高新区科技创新与经济发展局关于遂宁高新区电子产业园区及配套基础设施建设项目（二期）可行性研究报告</w:t>
      </w:r>
      <w:r>
        <w:rPr>
          <w:rFonts w:hint="eastAsia" w:ascii="仿宋" w:hAnsi="仿宋" w:cs="仿宋"/>
        </w:rPr>
        <w:t>的批复》（遂高经发〔2022〕63号）。项目立项与</w:t>
      </w:r>
      <w:r>
        <w:rPr>
          <w:rFonts w:hint="eastAsia"/>
        </w:rPr>
        <w:t>实施单位相关联</w:t>
      </w:r>
      <w:r>
        <w:rPr>
          <w:rFonts w:hint="eastAsia" w:ascii="仿宋" w:hAnsi="仿宋" w:cs="仿宋"/>
        </w:rPr>
        <w:t>，属于</w:t>
      </w:r>
      <w:r>
        <w:rPr>
          <w:rFonts w:hint="eastAsia"/>
        </w:rPr>
        <w:t>遂宁天擎工程项目管理有限公司经营范围和职责之内事务</w:t>
      </w:r>
      <w:r>
        <w:rPr>
          <w:rFonts w:hint="eastAsia" w:ascii="仿宋" w:hAnsi="仿宋" w:cs="仿宋"/>
        </w:rPr>
        <w:t>，项目建设内容与项目单位职责相契合，产业园区</w:t>
      </w:r>
      <w:r>
        <w:rPr>
          <w:rFonts w:hint="eastAsia" w:ascii="仿宋" w:hAnsi="仿宋" w:cs="仿宋"/>
          <w:szCs w:val="32"/>
        </w:rPr>
        <w:t>基础设施配套属于专项债券支持方向，项目立项程序合规，手续齐全。完成各项批复工作。相关专项债券一案两书和项目事前评估报告已按规定编制完成，债券资金与项目实际需求相匹配。本项得10分</w:t>
      </w:r>
      <w:r>
        <w:rPr>
          <w:rFonts w:hint="eastAsia"/>
          <w:szCs w:val="32"/>
        </w:rPr>
        <w:t>。</w:t>
      </w:r>
    </w:p>
    <w:p>
      <w:pPr>
        <w:pStyle w:val="4"/>
        <w:ind w:firstLine="643"/>
        <w:rPr>
          <w:rFonts w:hint="eastAsia"/>
        </w:rPr>
      </w:pPr>
      <w:r>
        <w:rPr>
          <w:rFonts w:hint="eastAsia"/>
        </w:rPr>
        <w:t>2.绩效目标（满分3.00分，评价得分2.00分）</w:t>
      </w:r>
    </w:p>
    <w:p>
      <w:pPr>
        <w:ind w:firstLine="640"/>
        <w:rPr>
          <w:rFonts w:hint="eastAsia" w:ascii="仿宋" w:hAnsi="仿宋" w:cs="仿宋"/>
        </w:rPr>
      </w:pPr>
      <w:r>
        <w:rPr>
          <w:rFonts w:hint="eastAsia" w:ascii="仿宋" w:hAnsi="仿宋" w:cs="仿宋"/>
        </w:rPr>
        <w:t>遂宁高新区电子产业园区及配套基础设施建设项目（二期）2023年专项债券项目设立了项目总体建设目标，并设立了2023年度目标。目标设计依据充分，客观实际，2023年度绩效目标和效益指标的个别三级指标考核值未依据实施内容予以量化。如：2023年度绩效目标设定没有明确当年计划完成的具体工程量，绩效目标设定没有细化量化；生态效益指标下设三级指标“指标2：片区人居环境改善”，考核值为“达到预期目标”，可持续影响指标下设三级指标“指标2：推动区域全面协调发展”，考核值为“达到预期目标”，均无法对项目产出进行量化考核。本项得2分。</w:t>
      </w:r>
    </w:p>
    <w:p>
      <w:pPr>
        <w:pStyle w:val="4"/>
        <w:ind w:firstLine="643"/>
        <w:rPr>
          <w:rFonts w:hint="eastAsia"/>
        </w:rPr>
      </w:pPr>
      <w:r>
        <w:rPr>
          <w:rFonts w:hint="eastAsia"/>
        </w:rPr>
        <w:t>3.资金投入（满分2.00分，评价得分2.00分）</w:t>
      </w:r>
    </w:p>
    <w:p>
      <w:pPr>
        <w:ind w:firstLine="640"/>
        <w:rPr>
          <w:rFonts w:hint="eastAsia" w:ascii="仿宋" w:hAnsi="仿宋" w:cs="仿宋"/>
          <w:szCs w:val="32"/>
        </w:rPr>
      </w:pPr>
      <w:r>
        <w:rPr>
          <w:rFonts w:hint="eastAsia" w:ascii="仿宋" w:hAnsi="仿宋"/>
          <w:kern w:val="0"/>
          <w:szCs w:val="32"/>
        </w:rPr>
        <w:t>本项目资本金83,500.00万元，占总投资的75.57%，来源于业主自筹，项目资本金来源已落实；计划发行专项债券27,000.00万元，占总投资的24.43%。符合《国务院关于调整和完善固定资产投资项目资本金制度的通知》（国发</w:t>
      </w:r>
      <w:r>
        <w:rPr>
          <w:rFonts w:hint="eastAsia" w:ascii="仿宋" w:hAnsi="仿宋"/>
        </w:rPr>
        <w:t>〔2015〕</w:t>
      </w:r>
      <w:r>
        <w:rPr>
          <w:rFonts w:hint="eastAsia" w:ascii="仿宋" w:hAnsi="仿宋"/>
          <w:kern w:val="0"/>
          <w:szCs w:val="32"/>
        </w:rPr>
        <w:t>51号）文件要求，符合专项债券要求。债券资金主要用于</w:t>
      </w:r>
      <w:r>
        <w:rPr>
          <w:rFonts w:hint="eastAsia" w:ascii="仿宋" w:hAnsi="仿宋" w:cs="仿宋"/>
        </w:rPr>
        <w:t>遂宁高新区电子产业园区及配套基础设施建设项目（二期）工程建设</w:t>
      </w:r>
      <w:r>
        <w:rPr>
          <w:rFonts w:hint="eastAsia" w:ascii="仿宋" w:hAnsi="仿宋"/>
          <w:kern w:val="0"/>
          <w:szCs w:val="32"/>
        </w:rPr>
        <w:t>。2023年度投入专项债资金9,900万元，项目申请专项债券额度与实际需要匹配。</w:t>
      </w:r>
      <w:r>
        <w:rPr>
          <w:rFonts w:hint="eastAsia" w:ascii="仿宋" w:hAnsi="仿宋" w:cs="仿宋"/>
          <w:szCs w:val="32"/>
        </w:rPr>
        <w:t>本项得2.00分。</w:t>
      </w:r>
    </w:p>
    <w:p>
      <w:pPr>
        <w:adjustRightInd w:val="0"/>
        <w:snapToGrid w:val="0"/>
        <w:ind w:firstLine="640"/>
        <w:rPr>
          <w:rFonts w:hint="eastAsia" w:ascii="仿宋" w:hAnsi="仿宋" w:cs="仿宋"/>
          <w:szCs w:val="32"/>
        </w:rPr>
      </w:pPr>
      <w:r>
        <w:rPr>
          <w:rFonts w:hint="eastAsia" w:ascii="仿宋" w:hAnsi="仿宋" w:cs="仿宋"/>
          <w:bCs/>
          <w:szCs w:val="32"/>
        </w:rPr>
        <w:t>综上所述，项目决策部分满分15.00分，评价得分14.00分。</w:t>
      </w:r>
    </w:p>
    <w:p>
      <w:pPr>
        <w:pStyle w:val="3"/>
        <w:spacing w:before="0" w:after="0"/>
        <w:ind w:firstLine="643"/>
      </w:pPr>
      <w:bookmarkStart w:id="523" w:name="_Toc27783"/>
      <w:r>
        <w:rPr>
          <w:rFonts w:hint="eastAsia"/>
        </w:rPr>
        <w:t>（二）项目过程情况</w:t>
      </w:r>
      <w:bookmarkEnd w:id="523"/>
    </w:p>
    <w:p>
      <w:pPr>
        <w:pStyle w:val="4"/>
        <w:ind w:firstLine="643"/>
        <w:rPr>
          <w:rFonts w:hint="eastAsia"/>
        </w:rPr>
      </w:pPr>
      <w:r>
        <w:rPr>
          <w:rFonts w:hint="eastAsia"/>
        </w:rPr>
        <w:t>1.资金管理（满分12.00分，评价得分6.90分）</w:t>
      </w:r>
    </w:p>
    <w:p>
      <w:pPr>
        <w:ind w:firstLine="640"/>
        <w:rPr>
          <w:rFonts w:hint="eastAsia" w:ascii="仿宋" w:hAnsi="仿宋" w:cs="仿宋"/>
        </w:rPr>
      </w:pPr>
      <w:r>
        <w:rPr>
          <w:rFonts w:hint="eastAsia" w:ascii="仿宋" w:hAnsi="仿宋" w:cs="仿宋"/>
        </w:rPr>
        <w:t>本项目2023年新增专项</w:t>
      </w:r>
      <w:bookmarkStart w:id="524" w:name="OLE_LINK4"/>
      <w:r>
        <w:rPr>
          <w:rFonts w:hint="eastAsia" w:ascii="仿宋" w:hAnsi="仿宋" w:cs="仿宋"/>
        </w:rPr>
        <w:t>债券</w:t>
      </w:r>
      <w:bookmarkEnd w:id="524"/>
      <w:r>
        <w:rPr>
          <w:rFonts w:hint="eastAsia" w:ascii="仿宋" w:hAnsi="仿宋" w:cs="仿宋"/>
        </w:rPr>
        <w:t>6,900.00万元，根据《遂宁市财政局关于拨付2023年提前批（第四次）新增地方政府专项债券资金的通知》（遂财债〔2023〕14号），于2023年5月11日下达，遂宁高新区财政金融局于2023年7月18日下达用途变更专项债券资金3,000.00万元，用于本项目工程建设。遂宁高新区电子产业园区及配套基础设施建设项目（二期）项目2023年共计专项债券资金9,900.00万元，实际到位7,330.75万元，到位率74.05%，截至2023年12月31日，专项债券资金没有全部拨付。</w:t>
      </w:r>
    </w:p>
    <w:p>
      <w:pPr>
        <w:ind w:firstLine="640"/>
        <w:rPr>
          <w:rFonts w:hint="eastAsia" w:ascii="仿宋" w:hAnsi="仿宋" w:cs="仿宋"/>
        </w:rPr>
      </w:pPr>
      <w:r>
        <w:rPr>
          <w:rFonts w:hint="eastAsia" w:ascii="仿宋" w:hAnsi="仿宋" w:cs="仿宋"/>
        </w:rPr>
        <w:t>本项目编制了还本付息计划，相关专项债券收支、还本付息及专项收入纳入政府性基金预算管理；债券资金按照规定用于本项目建设，支付进度</w:t>
      </w:r>
      <w:r>
        <w:rPr>
          <w:rFonts w:ascii="仿宋" w:hAnsi="仿宋" w:cs="仿宋"/>
        </w:rPr>
        <w:t>较</w:t>
      </w:r>
      <w:r>
        <w:rPr>
          <w:rFonts w:hint="eastAsia" w:ascii="仿宋" w:hAnsi="仿宋" w:cs="仿宋"/>
        </w:rPr>
        <w:t>实际工程进度相对滞后，</w:t>
      </w:r>
      <w:r>
        <w:rPr>
          <w:rFonts w:hint="eastAsia"/>
        </w:rPr>
        <w:t>截</w:t>
      </w:r>
      <w:r>
        <w:rPr>
          <w:rFonts w:hint="eastAsia" w:ascii="仿宋" w:hAnsi="仿宋" w:cs="仿宋"/>
        </w:rPr>
        <w:t>至2023年12月31日，</w:t>
      </w:r>
      <w:r>
        <w:rPr>
          <w:rFonts w:hint="eastAsia"/>
        </w:rPr>
        <w:t>债券资金累计支出</w:t>
      </w:r>
      <w:r>
        <w:rPr>
          <w:rFonts w:hint="eastAsia" w:ascii="仿宋" w:hAnsi="仿宋" w:cs="仿宋"/>
        </w:rPr>
        <w:t>3,537.38</w:t>
      </w:r>
      <w:r>
        <w:rPr>
          <w:rFonts w:hint="eastAsia"/>
        </w:rPr>
        <w:t>万元，</w:t>
      </w:r>
      <w:r>
        <w:rPr>
          <w:rFonts w:hint="eastAsia" w:ascii="仿宋" w:hAnsi="仿宋" w:cs="仿宋"/>
        </w:rPr>
        <w:t>债券资金执行率48.25%，资金支出管理不规范，施工合同约定计划开工日期2023年5月20日，2023年5月26日申请第一批进度款，于2023年5月30日支付3,793.37万元，超前支付工程款，已于当日退回，但未退入专项债资金管理专户</w:t>
      </w:r>
      <w:r>
        <w:rPr>
          <w:rFonts w:ascii="仿宋" w:hAnsi="仿宋" w:cs="仿宋"/>
        </w:rPr>
        <w:t>，而是划入</w:t>
      </w:r>
      <w:r>
        <w:rPr>
          <w:rFonts w:hint="eastAsia" w:ascii="仿宋" w:hAnsi="仿宋" w:cs="仿宋"/>
        </w:rPr>
        <w:t>遂宁天擎工程项目管理有限公司其他银行账户。项目支出账目清晰，能够真实客观反映项目收支。本项得分6.90分。</w:t>
      </w:r>
    </w:p>
    <w:p>
      <w:pPr>
        <w:pStyle w:val="4"/>
        <w:ind w:firstLine="643"/>
        <w:rPr>
          <w:rFonts w:hint="eastAsia"/>
        </w:rPr>
      </w:pPr>
      <w:r>
        <w:rPr>
          <w:rFonts w:hint="eastAsia"/>
        </w:rPr>
        <w:t>2.组织实施（满分13.00分，评价得10.00分）</w:t>
      </w:r>
    </w:p>
    <w:p>
      <w:pPr>
        <w:widowControl/>
        <w:ind w:firstLine="640"/>
        <w:jc w:val="left"/>
        <w:rPr>
          <w:rFonts w:hint="eastAsia" w:ascii="仿宋" w:hAnsi="仿宋" w:cs="仿宋"/>
          <w:color w:val="FF0000"/>
          <w:szCs w:val="32"/>
        </w:rPr>
      </w:pPr>
      <w:r>
        <w:rPr>
          <w:rFonts w:hint="eastAsia" w:ascii="仿宋" w:hAnsi="仿宋" w:cs="仿宋"/>
          <w:szCs w:val="32"/>
        </w:rPr>
        <w:t>项目单位制定了《</w:t>
      </w:r>
      <w:r>
        <w:rPr>
          <w:rFonts w:hint="eastAsia" w:ascii="仿宋" w:hAnsi="仿宋" w:cs="仿宋"/>
          <w:spacing w:val="-10"/>
          <w:szCs w:val="32"/>
        </w:rPr>
        <w:t>财务管理制度</w:t>
      </w:r>
      <w:r>
        <w:rPr>
          <w:rFonts w:hint="eastAsia" w:ascii="仿宋" w:hAnsi="仿宋" w:cs="仿宋"/>
          <w:szCs w:val="32"/>
        </w:rPr>
        <w:t>》《四川天盈实业有限责任公司关于印发</w:t>
      </w:r>
      <w:r>
        <w:rPr>
          <w:rFonts w:hint="eastAsia" w:ascii="仿宋" w:hAnsi="仿宋" w:cs="仿宋"/>
        </w:rPr>
        <w:t>&lt;</w:t>
      </w:r>
      <w:r>
        <w:rPr>
          <w:rFonts w:hint="eastAsia" w:ascii="仿宋" w:hAnsi="仿宋" w:cs="仿宋"/>
          <w:szCs w:val="32"/>
        </w:rPr>
        <w:t>工程部管理制度</w:t>
      </w:r>
      <w:r>
        <w:rPr>
          <w:rFonts w:hint="eastAsia" w:ascii="仿宋" w:hAnsi="仿宋" w:cs="仿宋"/>
        </w:rPr>
        <w:t>&gt;&lt;</w:t>
      </w:r>
      <w:r>
        <w:rPr>
          <w:rFonts w:hint="eastAsia" w:ascii="仿宋" w:hAnsi="仿宋" w:cs="仿宋"/>
          <w:szCs w:val="32"/>
        </w:rPr>
        <w:t>零星工程管理制度</w:t>
      </w:r>
      <w:r>
        <w:rPr>
          <w:rFonts w:hint="eastAsia" w:ascii="仿宋" w:hAnsi="仿宋" w:cs="仿宋"/>
        </w:rPr>
        <w:t>&gt;&lt;</w:t>
      </w:r>
      <w:r>
        <w:rPr>
          <w:rFonts w:hint="eastAsia" w:ascii="仿宋" w:hAnsi="仿宋" w:cs="仿宋"/>
          <w:szCs w:val="32"/>
        </w:rPr>
        <w:t>建设项目办证工作管理制度</w:t>
      </w:r>
      <w:r>
        <w:rPr>
          <w:rFonts w:hint="eastAsia" w:ascii="仿宋" w:hAnsi="仿宋" w:cs="仿宋"/>
        </w:rPr>
        <w:t>&gt;&lt;</w:t>
      </w:r>
      <w:r>
        <w:rPr>
          <w:rFonts w:hint="eastAsia" w:ascii="仿宋" w:hAnsi="仿宋" w:cs="仿宋"/>
          <w:szCs w:val="32"/>
        </w:rPr>
        <w:t>工程变更管理办法</w:t>
      </w:r>
      <w:r>
        <w:rPr>
          <w:rFonts w:hint="eastAsia" w:ascii="仿宋" w:hAnsi="仿宋" w:cs="仿宋"/>
        </w:rPr>
        <w:t>&gt;</w:t>
      </w:r>
      <w:r>
        <w:rPr>
          <w:rFonts w:hint="eastAsia" w:ascii="仿宋" w:hAnsi="仿宋" w:cs="仿宋"/>
          <w:szCs w:val="32"/>
        </w:rPr>
        <w:t>的通知》（川天盈发〔2022〕13号）、《四川天盈实业有限责任公司关于印发〈四川天盈实业有限责任公司建设项目结算审核管理办法〉的通知》</w:t>
      </w:r>
      <w:r>
        <w:rPr>
          <w:rFonts w:hint="eastAsia" w:ascii="仿宋" w:hAnsi="仿宋" w:cs="仿宋"/>
        </w:rPr>
        <w:t>等制度，相关制度较为完善，但财务制度不涉及专项债资金管理规范。</w:t>
      </w:r>
    </w:p>
    <w:p>
      <w:pPr>
        <w:ind w:firstLine="640"/>
        <w:rPr>
          <w:rFonts w:hint="eastAsia" w:ascii="仿宋" w:hAnsi="仿宋" w:cs="仿宋"/>
          <w:szCs w:val="32"/>
        </w:rPr>
      </w:pPr>
      <w:r>
        <w:rPr>
          <w:rFonts w:hint="eastAsia" w:ascii="仿宋" w:hAnsi="仿宋" w:cs="仿宋"/>
          <w:szCs w:val="32"/>
        </w:rPr>
        <w:t>为实现项目管理，建设单位严格执行</w:t>
      </w:r>
      <w:r>
        <w:rPr>
          <w:rFonts w:hint="eastAsia" w:ascii="仿宋" w:hAnsi="仿宋" w:cs="仿宋"/>
          <w:kern w:val="0"/>
          <w:szCs w:val="32"/>
        </w:rPr>
        <w:t>《中华人民共和国建筑法》《四川省人民政府办公厅印发关于加快城镇基础设施建设实施意见的通知》（川办发〔2014〕29号）、《遂宁市高新技术产业园区控制性详细规划》《建设工程工程量清单计价规范（GB50500-2013）》《四川省建设工程工程量清单计价定额》</w:t>
      </w:r>
      <w:r>
        <w:rPr>
          <w:rFonts w:hint="eastAsia" w:ascii="仿宋" w:hAnsi="仿宋" w:cs="仿宋"/>
          <w:szCs w:val="32"/>
        </w:rPr>
        <w:t>等制度，有效实施，项目单位财务管理制度较为健全，能够得到有效执行，相关项目调整及支出调整手续完备；项目合同书、质量报告、技术鉴定等资料齐全并及时归档；项目实施的人员条件、场地设备、信息支撑等落实到位。依据</w:t>
      </w:r>
      <w:r>
        <w:rPr>
          <w:rStyle w:val="20"/>
          <w:rFonts w:hint="eastAsia" w:ascii="仿宋" w:hAnsi="仿宋" w:cs="仿宋"/>
          <w:b w:val="0"/>
          <w:szCs w:val="32"/>
          <w:shd w:val="clear" w:color="auto" w:fill="FFFFFF"/>
        </w:rPr>
        <w:t>《</w:t>
      </w:r>
      <w:r>
        <w:fldChar w:fldCharType="begin"/>
      </w:r>
      <w:r>
        <w:instrText xml:space="preserve"> HYPERLINK "https://www.waizi.org.cn/doc/117435.html" \t "https://www.waizi.org.cn/doc/_blank" \o "财预〔2021〕61号《财政部关于印发〈地方政府专项债券项目资金绩效管理办法〉的通知》" </w:instrText>
      </w:r>
      <w:r>
        <w:fldChar w:fldCharType="separate"/>
      </w:r>
      <w:r>
        <w:rPr>
          <w:rStyle w:val="21"/>
          <w:rFonts w:hint="eastAsia" w:ascii="仿宋" w:hAnsi="仿宋" w:cs="仿宋"/>
          <w:color w:val="auto"/>
          <w:szCs w:val="32"/>
          <w:u w:val="none"/>
          <w:shd w:val="clear" w:color="auto" w:fill="FFFFFF"/>
        </w:rPr>
        <w:t>财政部关于印发</w:t>
      </w:r>
      <w:r>
        <w:rPr>
          <w:rFonts w:hint="eastAsia" w:ascii="仿宋" w:hAnsi="仿宋" w:cs="仿宋"/>
        </w:rPr>
        <w:t>&lt;</w:t>
      </w:r>
      <w:r>
        <w:rPr>
          <w:rStyle w:val="21"/>
          <w:rFonts w:hint="eastAsia" w:ascii="仿宋" w:hAnsi="仿宋" w:cs="仿宋"/>
          <w:color w:val="auto"/>
          <w:szCs w:val="32"/>
          <w:u w:val="none"/>
          <w:shd w:val="clear" w:color="auto" w:fill="FFFFFF"/>
        </w:rPr>
        <w:t>地方政府专项债券项目资金绩效管理办法</w:t>
      </w:r>
      <w:r>
        <w:rPr>
          <w:rFonts w:hint="eastAsia" w:ascii="仿宋" w:hAnsi="仿宋" w:cs="仿宋"/>
        </w:rPr>
        <w:t>&gt;</w:t>
      </w:r>
      <w:r>
        <w:rPr>
          <w:rStyle w:val="21"/>
          <w:rFonts w:hint="eastAsia" w:ascii="仿宋" w:hAnsi="仿宋" w:cs="仿宋"/>
          <w:color w:val="auto"/>
          <w:szCs w:val="32"/>
          <w:u w:val="none"/>
          <w:shd w:val="clear" w:color="auto" w:fill="FFFFFF"/>
        </w:rPr>
        <w:t>的通知</w:t>
      </w:r>
      <w:r>
        <w:rPr>
          <w:rStyle w:val="21"/>
          <w:rFonts w:hint="eastAsia" w:ascii="仿宋" w:hAnsi="仿宋" w:cs="仿宋"/>
          <w:color w:val="auto"/>
          <w:szCs w:val="32"/>
          <w:u w:val="none"/>
          <w:shd w:val="clear" w:color="auto" w:fill="FFFFFF"/>
        </w:rPr>
        <w:fldChar w:fldCharType="end"/>
      </w:r>
      <w:r>
        <w:rPr>
          <w:rStyle w:val="20"/>
          <w:rFonts w:hint="eastAsia" w:ascii="仿宋" w:hAnsi="仿宋" w:cs="仿宋"/>
          <w:b w:val="0"/>
          <w:szCs w:val="32"/>
          <w:shd w:val="clear" w:color="auto" w:fill="FFFFFF"/>
        </w:rPr>
        <w:t>》</w:t>
      </w:r>
      <w:r>
        <w:rPr>
          <w:rStyle w:val="20"/>
          <w:rFonts w:ascii="仿宋" w:hAnsi="仿宋" w:cs="仿宋"/>
          <w:b w:val="0"/>
          <w:szCs w:val="32"/>
          <w:shd w:val="clear" w:color="auto" w:fill="FFFFFF"/>
        </w:rPr>
        <w:t>（</w:t>
      </w:r>
      <w:r>
        <w:fldChar w:fldCharType="begin"/>
      </w:r>
      <w:r>
        <w:instrText xml:space="preserve"> HYPERLINK "https://www.waizi.org.cn/doc/117435.html" \t "https://www.waizi.org.cn/doc/_blank" \o "财预〔2021〕61号《财政部关于印发〈地方政府专项债券项目资金绩效管理办法〉的通知》" </w:instrText>
      </w:r>
      <w:r>
        <w:fldChar w:fldCharType="separate"/>
      </w:r>
      <w:r>
        <w:rPr>
          <w:rStyle w:val="20"/>
          <w:rFonts w:hint="eastAsia" w:ascii="仿宋" w:hAnsi="仿宋" w:cs="仿宋"/>
          <w:b w:val="0"/>
          <w:szCs w:val="32"/>
          <w:shd w:val="clear" w:color="auto" w:fill="FFFFFF"/>
        </w:rPr>
        <w:t>财预〔2021〕61号</w:t>
      </w:r>
      <w:r>
        <w:rPr>
          <w:rStyle w:val="20"/>
          <w:rFonts w:hint="eastAsia" w:ascii="仿宋" w:hAnsi="仿宋" w:cs="仿宋"/>
          <w:b w:val="0"/>
          <w:szCs w:val="32"/>
          <w:shd w:val="clear" w:color="auto" w:fill="FFFFFF"/>
        </w:rPr>
        <w:fldChar w:fldCharType="end"/>
      </w:r>
      <w:r>
        <w:rPr>
          <w:rStyle w:val="20"/>
          <w:rFonts w:ascii="仿宋" w:hAnsi="仿宋" w:cs="仿宋"/>
          <w:b w:val="0"/>
          <w:szCs w:val="32"/>
          <w:shd w:val="clear" w:color="auto" w:fill="FFFFFF"/>
        </w:rPr>
        <w:t>）</w:t>
      </w:r>
      <w:r>
        <w:rPr>
          <w:rStyle w:val="20"/>
          <w:rFonts w:hint="eastAsia" w:ascii="仿宋" w:hAnsi="仿宋" w:cs="仿宋"/>
          <w:b w:val="0"/>
          <w:szCs w:val="32"/>
          <w:shd w:val="clear" w:color="auto" w:fill="FFFFFF"/>
        </w:rPr>
        <w:t>第十二条和第十五条的规定：</w:t>
      </w:r>
      <w:r>
        <w:rPr>
          <w:rFonts w:hint="eastAsia" w:ascii="仿宋" w:hAnsi="仿宋" w:cs="仿宋"/>
          <w:szCs w:val="32"/>
          <w:shd w:val="clear" w:color="auto" w:fill="FFFFFF"/>
        </w:rPr>
        <w:t>项目单位应当建立专项债券项目资金绩效跟踪监测机制，对绩效目标实现程度进行动态监控，发现问题及时纠正并告知同级财政部门，提高专项债券资金使用效益，确保绩效目标如期实现。年度预算执行终了，项目单位要自主开展绩效自评，评价结果报送主管部门和本级财政部门。</w:t>
      </w:r>
      <w:r>
        <w:rPr>
          <w:rFonts w:hint="eastAsia" w:ascii="仿宋" w:hAnsi="仿宋" w:cs="仿宋"/>
          <w:szCs w:val="32"/>
        </w:rPr>
        <w:t>项目实施单位对于项目执行过程中绩效管理工作不到位，未开展项目绩效中期监控，未对专项债资金支出做绩效自评，未做工作总结。本项得分10.00分。</w:t>
      </w:r>
    </w:p>
    <w:p>
      <w:pPr>
        <w:ind w:firstLine="640"/>
        <w:rPr>
          <w:rFonts w:hint="eastAsia" w:ascii="仿宋" w:hAnsi="仿宋" w:cs="仿宋"/>
        </w:rPr>
      </w:pPr>
      <w:r>
        <w:rPr>
          <w:rFonts w:hint="eastAsia" w:ascii="仿宋" w:hAnsi="仿宋" w:cs="仿宋"/>
        </w:rPr>
        <w:t>综上所述，项目过程部分满分25.00分，评价得分16.90分。</w:t>
      </w:r>
    </w:p>
    <w:p>
      <w:pPr>
        <w:pStyle w:val="3"/>
        <w:spacing w:before="0" w:after="0"/>
        <w:ind w:firstLine="643"/>
      </w:pPr>
      <w:bookmarkStart w:id="525" w:name="_Toc28515"/>
      <w:r>
        <w:rPr>
          <w:rFonts w:hint="eastAsia"/>
        </w:rPr>
        <w:t>（三）项目产出情况</w:t>
      </w:r>
      <w:bookmarkEnd w:id="525"/>
    </w:p>
    <w:p>
      <w:pPr>
        <w:pStyle w:val="4"/>
        <w:ind w:firstLine="643"/>
        <w:rPr>
          <w:rFonts w:hint="eastAsia"/>
        </w:rPr>
      </w:pPr>
      <w:r>
        <w:rPr>
          <w:rFonts w:hint="eastAsia"/>
        </w:rPr>
        <w:t>1.产出数量（满分12.00分，评价得分12.00分）</w:t>
      </w:r>
    </w:p>
    <w:p>
      <w:pPr>
        <w:ind w:firstLine="640"/>
        <w:rPr>
          <w:rFonts w:hint="eastAsia" w:ascii="仿宋" w:hAnsi="仿宋" w:cs="仿宋"/>
        </w:rPr>
      </w:pPr>
      <w:r>
        <w:rPr>
          <w:rFonts w:hint="eastAsia" w:ascii="仿宋" w:hAnsi="仿宋" w:cs="仿宋"/>
        </w:rPr>
        <w:t>遂宁高新区电子产业园区及配套基础设施建设项目（二期）总占地面积约150亩，建筑总面积约16.2万平方米，主要新建标准厂房总建筑面积约14万平方米，仓库约1万平方米及配套建设园区道路、停车场、管网管线及其他相关附属工程。建设期3年，2023年5月开工，到2023年12月31日止，《遂宁高新区电子产业园区及配套基础设施建设项目（二期）－标准厂房二期第1期进度审核报告》显示工程进度完成合同工程量40%，经评价组实地观察，共计11号楼，1号、2号、3号楼已交付邦普刀具企业投入使用；4号6号8号10号11号楼主体完成，室内装修正在进行，5号7号9号主体在建。本项得分12.00分。</w:t>
      </w:r>
    </w:p>
    <w:p>
      <w:pPr>
        <w:spacing w:line="240" w:lineRule="auto"/>
        <w:ind w:firstLine="640"/>
        <w:jc w:val="left"/>
        <w:rPr>
          <w:rFonts w:hint="eastAsia" w:ascii="仿宋" w:hAnsi="仿宋" w:cs="仿宋"/>
        </w:rPr>
      </w:pPr>
      <w:r>
        <w:rPr>
          <w:rFonts w:hint="eastAsia" w:ascii="仿宋" w:hAnsi="仿宋" w:cs="仿宋"/>
        </w:rPr>
        <w:drawing>
          <wp:anchor distT="0" distB="0" distL="0" distR="0" simplePos="0" relativeHeight="251661312" behindDoc="0" locked="0" layoutInCell="1" allowOverlap="1">
            <wp:simplePos x="0" y="0"/>
            <wp:positionH relativeFrom="column">
              <wp:posOffset>-31750</wp:posOffset>
            </wp:positionH>
            <wp:positionV relativeFrom="paragraph">
              <wp:posOffset>139065</wp:posOffset>
            </wp:positionV>
            <wp:extent cx="5296535" cy="4553585"/>
            <wp:effectExtent l="0" t="0" r="18415" b="18415"/>
            <wp:wrapTopAndBottom/>
            <wp:docPr id="1026" name="图片 4" descr="工地现场"/>
            <wp:cNvGraphicFramePr/>
            <a:graphic xmlns:a="http://schemas.openxmlformats.org/drawingml/2006/main">
              <a:graphicData uri="http://schemas.openxmlformats.org/drawingml/2006/picture">
                <pic:pic xmlns:pic="http://schemas.openxmlformats.org/drawingml/2006/picture">
                  <pic:nvPicPr>
                    <pic:cNvPr id="1026" name="图片 4" descr="工地现场"/>
                    <pic:cNvPicPr/>
                  </pic:nvPicPr>
                  <pic:blipFill>
                    <a:blip r:embed="rId12" cstate="print"/>
                    <a:srcRect/>
                    <a:stretch>
                      <a:fillRect/>
                    </a:stretch>
                  </pic:blipFill>
                  <pic:spPr>
                    <a:xfrm>
                      <a:off x="0" y="0"/>
                      <a:ext cx="5296535" cy="4553585"/>
                    </a:xfrm>
                    <a:prstGeom prst="rect">
                      <a:avLst/>
                    </a:prstGeom>
                  </pic:spPr>
                </pic:pic>
              </a:graphicData>
            </a:graphic>
          </wp:anchor>
        </w:drawing>
      </w:r>
    </w:p>
    <w:p>
      <w:pPr>
        <w:spacing w:line="240" w:lineRule="auto"/>
        <w:ind w:firstLine="640"/>
        <w:jc w:val="center"/>
        <w:rPr>
          <w:rFonts w:hint="eastAsia" w:ascii="仿宋" w:hAnsi="仿宋" w:cs="仿宋"/>
        </w:rPr>
      </w:pPr>
      <w:r>
        <w:rPr>
          <w:rFonts w:hint="eastAsia" w:ascii="仿宋" w:hAnsi="仿宋" w:cs="仿宋"/>
        </w:rPr>
        <w:drawing>
          <wp:inline distT="0" distB="0" distL="0" distR="0">
            <wp:extent cx="4853940" cy="3543935"/>
            <wp:effectExtent l="0" t="0" r="3810" b="18415"/>
            <wp:docPr id="1027" name="图片 6" descr="图片1"/>
            <wp:cNvGraphicFramePr/>
            <a:graphic xmlns:a="http://schemas.openxmlformats.org/drawingml/2006/main">
              <a:graphicData uri="http://schemas.openxmlformats.org/drawingml/2006/picture">
                <pic:pic xmlns:pic="http://schemas.openxmlformats.org/drawingml/2006/picture">
                  <pic:nvPicPr>
                    <pic:cNvPr id="1027" name="图片 6" descr="图片1"/>
                    <pic:cNvPicPr/>
                  </pic:nvPicPr>
                  <pic:blipFill>
                    <a:blip r:embed="rId13" cstate="print"/>
                    <a:srcRect/>
                    <a:stretch>
                      <a:fillRect/>
                    </a:stretch>
                  </pic:blipFill>
                  <pic:spPr>
                    <a:xfrm>
                      <a:off x="0" y="0"/>
                      <a:ext cx="4853940" cy="3543935"/>
                    </a:xfrm>
                    <a:prstGeom prst="rect">
                      <a:avLst/>
                    </a:prstGeom>
                  </pic:spPr>
                </pic:pic>
              </a:graphicData>
            </a:graphic>
          </wp:inline>
        </w:drawing>
      </w:r>
    </w:p>
    <w:p>
      <w:pPr>
        <w:pStyle w:val="4"/>
        <w:ind w:firstLine="643"/>
        <w:rPr>
          <w:rFonts w:hint="eastAsia"/>
        </w:rPr>
      </w:pPr>
      <w:r>
        <w:rPr>
          <w:rFonts w:hint="eastAsia"/>
        </w:rPr>
        <w:t>2.产出质量（满分6.00分，评价得分6.00分）</w:t>
      </w:r>
    </w:p>
    <w:p>
      <w:pPr>
        <w:ind w:firstLine="640"/>
        <w:rPr>
          <w:rFonts w:hint="eastAsia" w:ascii="仿宋" w:hAnsi="仿宋" w:cs="仿宋"/>
        </w:rPr>
      </w:pPr>
      <w:r>
        <w:rPr>
          <w:rFonts w:hint="eastAsia" w:ascii="仿宋" w:hAnsi="仿宋" w:cs="仿宋"/>
        </w:rPr>
        <w:t>截至评价日，本项目实施过程中未发生工程质量问题，工程进度经过建设单位、监理单位、施工单位三方确认。完成工程相关验收工作将与整体项目完成后同步进行，相关工程质量及达标情况目前无法获悉。本项得分6.00分。</w:t>
      </w:r>
    </w:p>
    <w:p>
      <w:pPr>
        <w:pStyle w:val="4"/>
        <w:ind w:firstLine="643"/>
        <w:rPr>
          <w:rFonts w:hint="eastAsia"/>
        </w:rPr>
      </w:pPr>
      <w:r>
        <w:rPr>
          <w:rFonts w:hint="eastAsia"/>
        </w:rPr>
        <w:t>3.产出时效（满分6.00分，评价得分4.00分）</w:t>
      </w:r>
    </w:p>
    <w:p>
      <w:pPr>
        <w:ind w:firstLine="640"/>
        <w:rPr>
          <w:rFonts w:hint="eastAsia" w:ascii="仿宋" w:hAnsi="仿宋" w:cs="仿宋"/>
        </w:rPr>
      </w:pPr>
      <w:r>
        <w:rPr>
          <w:rFonts w:hint="eastAsia" w:ascii="仿宋" w:hAnsi="仿宋" w:cs="仿宋"/>
        </w:rPr>
        <w:t>2023年度预算计划在2023年3月取得开工许可证并按时开工，实际开工令在2023年5月6日取得，达到开工条件，超过了原预算开工时效。截至目前来看，2023年实际产出数量为合同工程量的40%，整体工程进度与规划工程有所提前，未见工程延误情况，也无项目延期风险，项目产出时效情况良好。本项得分4.00分。</w:t>
      </w:r>
    </w:p>
    <w:p>
      <w:pPr>
        <w:pStyle w:val="4"/>
        <w:ind w:firstLine="643"/>
        <w:rPr>
          <w:rFonts w:hint="eastAsia"/>
        </w:rPr>
      </w:pPr>
      <w:r>
        <w:rPr>
          <w:rFonts w:hint="eastAsia"/>
        </w:rPr>
        <w:t>4.产出成本（满分6.00分，评价得分6.00分）</w:t>
      </w:r>
    </w:p>
    <w:p>
      <w:pPr>
        <w:ind w:firstLine="640"/>
        <w:rPr>
          <w:rFonts w:hint="eastAsia" w:ascii="仿宋" w:hAnsi="仿宋" w:cs="仿宋"/>
        </w:rPr>
      </w:pPr>
      <w:r>
        <w:rPr>
          <w:rFonts w:hint="eastAsia" w:ascii="仿宋" w:hAnsi="仿宋" w:cs="仿宋"/>
        </w:rPr>
        <w:t>截至评价日，项目处于建设期，未实施完工结算审计。根据项目投资计划及已完成项目实际投资情况判断项目投资控制在计划投资总额内。如项目（二期）收益与融资自求平衡专项债券实施方案中勘察费预算267.78万元，实际合同为239.76万元。根据目前已发生工程量占比总工程量对比目前支出资金来看，项目实际成本未超出计划成本，预计项目未来总支出不会高于计划总投资数，总体成本能够得到控制，但是最终实际成本节约率的表现要看最终实际工程决算数据。本项得分6.00分。</w:t>
      </w:r>
    </w:p>
    <w:p>
      <w:pPr>
        <w:ind w:firstLine="640"/>
        <w:rPr>
          <w:rFonts w:hint="eastAsia" w:ascii="仿宋" w:hAnsi="仿宋" w:cs="仿宋"/>
        </w:rPr>
      </w:pPr>
      <w:r>
        <w:rPr>
          <w:rFonts w:hint="eastAsia" w:ascii="仿宋" w:hAnsi="仿宋" w:cs="仿宋"/>
        </w:rPr>
        <w:t>综上所述，项目产出部分满分30.00分，评价得分28.00分。</w:t>
      </w:r>
    </w:p>
    <w:p>
      <w:pPr>
        <w:pStyle w:val="3"/>
        <w:spacing w:before="0" w:after="0"/>
        <w:ind w:firstLine="643"/>
      </w:pPr>
      <w:bookmarkStart w:id="526" w:name="_Toc25237"/>
      <w:r>
        <w:rPr>
          <w:rFonts w:hint="eastAsia"/>
        </w:rPr>
        <w:t>（四）项目效益情况</w:t>
      </w:r>
      <w:bookmarkEnd w:id="526"/>
    </w:p>
    <w:p>
      <w:pPr>
        <w:pStyle w:val="4"/>
        <w:ind w:firstLine="643"/>
        <w:rPr>
          <w:rFonts w:hint="eastAsia"/>
        </w:rPr>
      </w:pPr>
      <w:r>
        <w:rPr>
          <w:rFonts w:hint="eastAsia"/>
        </w:rPr>
        <w:t>1.社会效益（满分10.00分，评价得分10.00分）</w:t>
      </w:r>
    </w:p>
    <w:p>
      <w:pPr>
        <w:ind w:firstLine="640"/>
      </w:pPr>
      <w:r>
        <w:rPr>
          <w:rFonts w:hint="eastAsia"/>
        </w:rPr>
        <w:t>本</w:t>
      </w:r>
      <w:r>
        <w:t>项目的建设，</w:t>
      </w:r>
      <w:r>
        <w:rPr>
          <w:rFonts w:hint="eastAsia"/>
        </w:rPr>
        <w:t>将优化高新区的投资环境，吸引社会投资，</w:t>
      </w:r>
      <w:r>
        <w:t>增加了就业机会，缓解当地就业压力</w:t>
      </w:r>
      <w:r>
        <w:rPr>
          <w:rFonts w:hint="eastAsia"/>
        </w:rPr>
        <w:t>。完善当地基础设施，加快城市建设的步伐。项目建设期，本地建筑施工劳动者可以参与工程建设当中，增加当地就业机会。本项得分10.00分。</w:t>
      </w:r>
    </w:p>
    <w:p>
      <w:pPr>
        <w:pStyle w:val="4"/>
        <w:ind w:firstLine="643"/>
        <w:rPr>
          <w:rFonts w:hint="eastAsia"/>
        </w:rPr>
      </w:pPr>
      <w:r>
        <w:rPr>
          <w:rFonts w:hint="eastAsia"/>
        </w:rPr>
        <w:t>2.经济效益（满分10.00分，评价得分10.00分）</w:t>
      </w:r>
    </w:p>
    <w:p>
      <w:pPr>
        <w:widowControl/>
        <w:ind w:firstLine="640"/>
        <w:rPr>
          <w:rFonts w:hint="eastAsia" w:ascii="仿宋" w:hAnsi="仿宋" w:cs="仿宋"/>
          <w:kern w:val="0"/>
          <w:szCs w:val="32"/>
        </w:rPr>
      </w:pPr>
      <w:r>
        <w:rPr>
          <w:rFonts w:ascii="仿宋" w:hAnsi="仿宋" w:cs="仿宋"/>
          <w:kern w:val="0"/>
          <w:szCs w:val="32"/>
        </w:rPr>
        <w:t>该项目的建设期间，</w:t>
      </w:r>
      <w:r>
        <w:rPr>
          <w:rFonts w:hint="eastAsia" w:ascii="仿宋" w:hAnsi="仿宋" w:cs="仿宋"/>
          <w:kern w:val="0"/>
          <w:szCs w:val="32"/>
        </w:rPr>
        <w:t>开发商、</w:t>
      </w:r>
      <w:r>
        <w:rPr>
          <w:rFonts w:ascii="仿宋" w:hAnsi="仿宋" w:cs="仿宋"/>
          <w:kern w:val="0"/>
          <w:szCs w:val="32"/>
        </w:rPr>
        <w:t>材料承销商、施工方从中受益</w:t>
      </w:r>
      <w:r>
        <w:rPr>
          <w:rFonts w:hint="eastAsia" w:ascii="仿宋" w:hAnsi="仿宋" w:cs="仿宋"/>
          <w:kern w:val="0"/>
          <w:szCs w:val="32"/>
        </w:rPr>
        <w:t>，</w:t>
      </w:r>
      <w:r>
        <w:rPr>
          <w:rFonts w:ascii="仿宋" w:hAnsi="仿宋" w:cs="仿宋"/>
          <w:kern w:val="0"/>
          <w:szCs w:val="32"/>
        </w:rPr>
        <w:t>带来石材</w:t>
      </w:r>
      <w:r>
        <w:rPr>
          <w:rFonts w:hint="eastAsia" w:ascii="仿宋" w:hAnsi="仿宋" w:cs="仿宋"/>
          <w:kern w:val="0"/>
          <w:szCs w:val="32"/>
        </w:rPr>
        <w:t>加工企业、水泥生产企业、运输企业、市政施工企业增加收入，周边参与建筑施工的劳动者，增加收入，间接拉动地方经济，</w:t>
      </w:r>
      <w:r>
        <w:rPr>
          <w:rFonts w:hint="eastAsia" w:ascii="仿宋" w:hAnsi="仿宋" w:cs="仿宋"/>
          <w:szCs w:val="32"/>
        </w:rPr>
        <w:t>产业园内的企业活动促进了当地经济的增长，增加了政府税收收入，为地方财政提供了重要支</w:t>
      </w:r>
      <w:r>
        <w:rPr>
          <w:rFonts w:ascii="仿宋" w:hAnsi="仿宋" w:cs="仿宋"/>
          <w:szCs w:val="32"/>
        </w:rPr>
        <w:t>撑</w:t>
      </w:r>
      <w:r>
        <w:rPr>
          <w:rFonts w:hint="eastAsia" w:ascii="仿宋" w:hAnsi="仿宋" w:cs="仿宋"/>
          <w:szCs w:val="32"/>
        </w:rPr>
        <w:t>。</w:t>
      </w:r>
      <w:r>
        <w:rPr>
          <w:rFonts w:hint="eastAsia" w:ascii="仿宋" w:hAnsi="仿宋" w:cs="仿宋"/>
          <w:kern w:val="0"/>
          <w:szCs w:val="32"/>
        </w:rPr>
        <w:t>本项得分10.00分。</w:t>
      </w:r>
    </w:p>
    <w:p>
      <w:pPr>
        <w:pStyle w:val="4"/>
        <w:ind w:firstLine="643"/>
        <w:rPr>
          <w:rFonts w:hint="eastAsia"/>
        </w:rPr>
      </w:pPr>
      <w:r>
        <w:rPr>
          <w:rFonts w:hint="eastAsia"/>
        </w:rPr>
        <w:t>3.可持续性（满分10.00分，评价得分10.00分）</w:t>
      </w:r>
    </w:p>
    <w:p>
      <w:pPr>
        <w:pStyle w:val="5"/>
        <w:ind w:firstLine="643"/>
        <w:rPr>
          <w:rFonts w:hint="eastAsia" w:ascii="仿宋" w:hAnsi="仿宋" w:cs="仿宋"/>
        </w:rPr>
      </w:pPr>
      <w:r>
        <w:rPr>
          <w:rFonts w:hint="eastAsia" w:ascii="仿宋" w:hAnsi="仿宋" w:cs="仿宋"/>
        </w:rPr>
        <w:t>（1）产业集聚与规模效应</w:t>
      </w:r>
    </w:p>
    <w:p>
      <w:pPr>
        <w:ind w:firstLine="640"/>
      </w:pPr>
      <w:r>
        <w:rPr>
          <w:rFonts w:hint="eastAsia"/>
        </w:rPr>
        <w:t>产业园通过吸引和集聚相关企业，形成产业链上下游的紧密合作，提高资源利用效率，降低成本，实现规模效应。</w:t>
      </w:r>
    </w:p>
    <w:p>
      <w:pPr>
        <w:pStyle w:val="5"/>
        <w:ind w:firstLine="643"/>
        <w:rPr>
          <w:rFonts w:hint="eastAsia" w:ascii="仿宋" w:hAnsi="仿宋" w:cs="仿宋"/>
        </w:rPr>
      </w:pPr>
      <w:r>
        <w:rPr>
          <w:rFonts w:hint="eastAsia" w:ascii="仿宋" w:hAnsi="仿宋" w:cs="仿宋"/>
        </w:rPr>
        <w:t>（2）创新与产业升级</w:t>
      </w:r>
    </w:p>
    <w:p>
      <w:pPr>
        <w:ind w:firstLine="640"/>
      </w:pPr>
      <w:r>
        <w:rPr>
          <w:rFonts w:hint="eastAsia"/>
        </w:rPr>
        <w:t>产业园作为创新高地，吸引高新技术企业和研发机构入驻，推动技术创新和产业升级，提升区域竞争力。</w:t>
      </w:r>
    </w:p>
    <w:p>
      <w:pPr>
        <w:ind w:firstLine="640"/>
      </w:pPr>
      <w:r>
        <w:rPr>
          <w:rFonts w:hint="eastAsia"/>
        </w:rPr>
        <w:t>通过产业集聚效应、经济增长与税收贡献、投资回报与盈利能力等经济措施，以及就业与人才吸引、基础设施与公共服务、社区融合与和谐等社会措施，本项目产业园将在经济、社会、文化等全方面、多层次实现可持续发展。本项得分</w:t>
      </w:r>
      <w:r>
        <w:rPr>
          <w:rFonts w:hint="eastAsia" w:ascii="仿宋" w:hAnsi="仿宋" w:cs="仿宋"/>
        </w:rPr>
        <w:t>10.00</w:t>
      </w:r>
      <w:r>
        <w:rPr>
          <w:rFonts w:hint="eastAsia"/>
        </w:rPr>
        <w:t>分。</w:t>
      </w:r>
    </w:p>
    <w:p>
      <w:pPr>
        <w:ind w:firstLine="640"/>
        <w:rPr>
          <w:rFonts w:hint="eastAsia" w:ascii="仿宋" w:hAnsi="仿宋" w:cs="仿宋"/>
        </w:rPr>
      </w:pPr>
      <w:r>
        <w:rPr>
          <w:rFonts w:hint="eastAsia" w:ascii="仿宋" w:hAnsi="仿宋" w:cs="仿宋"/>
        </w:rPr>
        <w:t>综上所述，项目效益部分满分30.00分，评价得分30.00分。</w:t>
      </w:r>
    </w:p>
    <w:p>
      <w:pPr>
        <w:pStyle w:val="2"/>
        <w:spacing w:before="0" w:after="0"/>
        <w:ind w:firstLine="640"/>
      </w:pPr>
      <w:bookmarkStart w:id="527" w:name="_Toc15708"/>
      <w:r>
        <w:rPr>
          <w:rFonts w:hint="eastAsia"/>
        </w:rPr>
        <w:t>五、存在的问题和建议</w:t>
      </w:r>
      <w:bookmarkEnd w:id="527"/>
    </w:p>
    <w:p>
      <w:pPr>
        <w:pStyle w:val="3"/>
        <w:spacing w:before="0" w:after="0"/>
        <w:ind w:firstLine="643"/>
      </w:pPr>
      <w:bookmarkStart w:id="528" w:name="_Toc22751"/>
      <w:r>
        <w:rPr>
          <w:rFonts w:hint="eastAsia"/>
        </w:rPr>
        <w:t>（一）存在的问题</w:t>
      </w:r>
      <w:bookmarkEnd w:id="528"/>
    </w:p>
    <w:p>
      <w:pPr>
        <w:pStyle w:val="4"/>
        <w:ind w:firstLine="643"/>
        <w:rPr>
          <w:rFonts w:hint="eastAsia"/>
        </w:rPr>
      </w:pPr>
      <w:r>
        <w:rPr>
          <w:rFonts w:hint="eastAsia"/>
        </w:rPr>
        <w:t>1.绩效目标设置不合理</w:t>
      </w:r>
    </w:p>
    <w:p>
      <w:pPr>
        <w:ind w:firstLine="640"/>
        <w:rPr>
          <w:rFonts w:hint="eastAsia" w:ascii="仿宋" w:hAnsi="仿宋" w:cs="仿宋"/>
          <w:szCs w:val="32"/>
        </w:rPr>
      </w:pPr>
      <w:r>
        <w:rPr>
          <w:rFonts w:hint="eastAsia" w:ascii="仿宋" w:hAnsi="仿宋" w:cs="仿宋"/>
          <w:szCs w:val="32"/>
        </w:rPr>
        <w:t>2023年度绩效目标设定没有明确当年计划完成的具体工程量，绩效目标设定没有细化量化。产出指标的个别三级指标考核值设置不合理，项目建设总成本，考核值为“≥41,800.00万元”，“≥”不符合财政部要求预算单位厉行节约、习惯过紧日子的政策方针。</w:t>
      </w:r>
    </w:p>
    <w:p>
      <w:pPr>
        <w:pStyle w:val="4"/>
        <w:ind w:firstLine="643"/>
        <w:rPr>
          <w:rFonts w:hint="eastAsia"/>
        </w:rPr>
      </w:pPr>
      <w:r>
        <w:rPr>
          <w:rFonts w:hint="eastAsia"/>
        </w:rPr>
        <w:t>2.债券资金到位及管理</w:t>
      </w:r>
    </w:p>
    <w:p>
      <w:pPr>
        <w:ind w:firstLine="640"/>
        <w:rPr>
          <w:rFonts w:hint="eastAsia" w:ascii="仿宋" w:hAnsi="仿宋" w:cs="仿宋"/>
        </w:rPr>
      </w:pPr>
      <w:r>
        <w:rPr>
          <w:rFonts w:hint="eastAsia" w:ascii="仿宋" w:hAnsi="仿宋" w:cs="仿宋"/>
        </w:rPr>
        <w:t>本项目2023年新增专项债券6,900.00万元，根据《遂宁市财政局关于拨付2023年提前批（第四次）新增地方政府专项债券资金的通知》（遂财债〔2023〕14号），于2023年5月11日下达，遂宁高新区财政金融局于2023年7月18日下达用途变更专项债券资金3,000.00万元，用于本项目工程建设。遂宁高新区电子产业园区及配套基础设施建设项目（二期）项目2023年共计专项债券资金9,900.00万元，实际到位7,330.75万元，到位率74.05%，截至2023年12月31日，专项债券资金没有全部拨付。</w:t>
      </w:r>
    </w:p>
    <w:p>
      <w:pPr>
        <w:ind w:firstLine="640"/>
      </w:pPr>
      <w:r>
        <w:rPr>
          <w:rFonts w:ascii="仿宋" w:hAnsi="仿宋" w:cs="仿宋"/>
          <w:kern w:val="0"/>
          <w:szCs w:val="32"/>
        </w:rPr>
        <w:t>在专项债券资金使用过程中存在专项债资金预付工程款退回过程中未按专项债</w:t>
      </w:r>
      <w:r>
        <w:rPr>
          <w:rFonts w:hint="eastAsia" w:ascii="仿宋" w:hAnsi="仿宋" w:cs="仿宋"/>
          <w:kern w:val="0"/>
          <w:szCs w:val="32"/>
        </w:rPr>
        <w:t>资金</w:t>
      </w:r>
      <w:r>
        <w:rPr>
          <w:rFonts w:ascii="仿宋" w:hAnsi="仿宋" w:cs="仿宋"/>
          <w:kern w:val="0"/>
          <w:szCs w:val="32"/>
        </w:rPr>
        <w:t>管理要求退入专项债资金专户的情况。专项债券资金执行进度不高</w:t>
      </w:r>
      <w:r>
        <w:rPr>
          <w:rFonts w:hint="eastAsia" w:ascii="仿宋" w:hAnsi="仿宋" w:cs="仿宋"/>
          <w:kern w:val="0"/>
          <w:szCs w:val="32"/>
        </w:rPr>
        <w:t>，</w:t>
      </w:r>
      <w:r>
        <w:rPr>
          <w:rFonts w:ascii="仿宋" w:hAnsi="仿宋" w:cs="仿宋"/>
          <w:kern w:val="0"/>
          <w:szCs w:val="32"/>
        </w:rPr>
        <w:t>截至2023年12月31日，专项债资金累计发生支出</w:t>
      </w:r>
      <w:r>
        <w:rPr>
          <w:rFonts w:hint="eastAsia" w:ascii="仿宋" w:hAnsi="仿宋" w:cs="仿宋"/>
        </w:rPr>
        <w:t>3,537.38</w:t>
      </w:r>
      <w:r>
        <w:rPr>
          <w:rFonts w:ascii="仿宋" w:hAnsi="仿宋" w:cs="仿宋"/>
          <w:kern w:val="0"/>
          <w:szCs w:val="32"/>
        </w:rPr>
        <w:t>万元，</w:t>
      </w:r>
      <w:r>
        <w:rPr>
          <w:rFonts w:hint="eastAsia" w:ascii="仿宋" w:hAnsi="仿宋" w:cs="仿宋"/>
        </w:rPr>
        <w:t>资金结余3,793.37万元。</w:t>
      </w:r>
      <w:r>
        <w:rPr>
          <w:rFonts w:ascii="仿宋" w:hAnsi="仿宋" w:cs="仿宋"/>
          <w:kern w:val="0"/>
          <w:szCs w:val="32"/>
        </w:rPr>
        <w:t>执行率48.25%。</w:t>
      </w:r>
    </w:p>
    <w:p>
      <w:pPr>
        <w:pStyle w:val="4"/>
        <w:ind w:firstLine="643"/>
        <w:rPr>
          <w:rFonts w:hint="eastAsia"/>
        </w:rPr>
      </w:pPr>
      <w:r>
        <w:rPr>
          <w:rFonts w:hint="eastAsia"/>
        </w:rPr>
        <w:t>3.绩效管理</w:t>
      </w:r>
    </w:p>
    <w:p>
      <w:pPr>
        <w:ind w:firstLine="640"/>
      </w:pPr>
      <w:r>
        <w:t>遂宁高新区电子产业园区及配套基础设施建设项目（二期）</w:t>
      </w:r>
      <w:r>
        <w:rPr>
          <w:rFonts w:hint="eastAsia"/>
        </w:rPr>
        <w:t>建设单位遂宁天擎工程项目管理有限公司绩效管理理念有待强化。项目绩效管理机制不健全：监督机制缺失，未对项目实施进程做绩效中期监控。项目资金使用完成后，遂宁天擎工程项目管理有限公司未及时开展绩效自评工作，未做自评报告，导致无法准确了解项目实际情况，影响后续决策和改进。</w:t>
      </w:r>
    </w:p>
    <w:p>
      <w:pPr>
        <w:pStyle w:val="3"/>
        <w:spacing w:before="0" w:after="0"/>
        <w:ind w:firstLine="643"/>
      </w:pPr>
      <w:bookmarkStart w:id="529" w:name="_Toc26625"/>
      <w:r>
        <w:rPr>
          <w:rFonts w:hint="eastAsia"/>
        </w:rPr>
        <w:t>（二）有关建议</w:t>
      </w:r>
      <w:bookmarkEnd w:id="529"/>
    </w:p>
    <w:p>
      <w:pPr>
        <w:pStyle w:val="4"/>
        <w:ind w:firstLine="643"/>
        <w:rPr>
          <w:rFonts w:hint="eastAsia"/>
        </w:rPr>
      </w:pPr>
      <w:bookmarkStart w:id="530" w:name="_Toc25510"/>
      <w:bookmarkStart w:id="531" w:name="_Toc5838"/>
      <w:r>
        <w:rPr>
          <w:rFonts w:hint="eastAsia"/>
        </w:rPr>
        <w:t>1.加强绩效管理宣传和培训</w:t>
      </w:r>
    </w:p>
    <w:p>
      <w:pPr>
        <w:ind w:firstLine="640"/>
      </w:pPr>
      <w:r>
        <w:rPr>
          <w:rFonts w:hint="eastAsia"/>
        </w:rPr>
        <w:t>提高全员对绩效管理的认识和重视程度。完善绩效管理机制，建立健全的监督机制和反馈机制。合理设置绩效指标，确保绩效指标全面、客观、量化。建立监控机制：明确监控的主体、对象、内容、方式和频率，建立全面的绩效过程监控机制。定期评估和调整：定期对预算执行情况进行评估和分析，根据评估结果及时调整预算目标和计划，确保预算执行的有效性和合理性。</w:t>
      </w:r>
    </w:p>
    <w:p>
      <w:pPr>
        <w:pStyle w:val="4"/>
        <w:ind w:firstLine="643"/>
        <w:rPr>
          <w:rFonts w:hint="eastAsia"/>
        </w:rPr>
      </w:pPr>
      <w:r>
        <w:rPr>
          <w:rFonts w:hint="eastAsia"/>
        </w:rPr>
        <w:t>2.及时拨付专项债券资金，确保项目正常推进</w:t>
      </w:r>
      <w:bookmarkEnd w:id="530"/>
      <w:bookmarkEnd w:id="531"/>
    </w:p>
    <w:p>
      <w:pPr>
        <w:ind w:firstLine="640"/>
      </w:pPr>
      <w:r>
        <w:rPr>
          <w:rFonts w:hint="eastAsia"/>
        </w:rPr>
        <w:t>建议项目单位加大对专项债券项目的监管力度，及时拨付专项债券资金，加快债券资金执行进度，提高资金使用效率，避免资金闲置，并建立完善的专项债券项目管理机制，以确保项目的顺利实施。</w:t>
      </w:r>
    </w:p>
    <w:p>
      <w:pPr>
        <w:pStyle w:val="4"/>
        <w:ind w:firstLine="643"/>
        <w:rPr>
          <w:rFonts w:hint="eastAsia"/>
        </w:rPr>
      </w:pPr>
      <w:r>
        <w:rPr>
          <w:rFonts w:hint="eastAsia"/>
        </w:rPr>
        <w:t>3.建立项目台账，规范项目管理</w:t>
      </w:r>
    </w:p>
    <w:p>
      <w:pPr>
        <w:ind w:firstLine="640"/>
      </w:pPr>
      <w:r>
        <w:rPr>
          <w:rFonts w:hint="eastAsia"/>
        </w:rPr>
        <w:t>建议项目主管部门和实施单位对项目的实施过程、后期运营加强管理和监控，</w:t>
      </w:r>
      <w:r>
        <w:rPr>
          <w:rFonts w:hint="eastAsia"/>
          <w:lang w:val="en-US" w:eastAsia="zh-CN"/>
        </w:rPr>
        <w:t>加</w:t>
      </w:r>
      <w:r>
        <w:rPr>
          <w:rFonts w:hint="eastAsia"/>
        </w:rPr>
        <w:t>强项目过程管理，强化责任意识，追踪项目进度，</w:t>
      </w:r>
      <w:r>
        <w:rPr>
          <w:rFonts w:hint="eastAsia"/>
          <w:lang w:val="en-US" w:eastAsia="zh-CN"/>
        </w:rPr>
        <w:t>明晰</w:t>
      </w:r>
      <w:r>
        <w:rPr>
          <w:rFonts w:hint="eastAsia"/>
        </w:rPr>
        <w:t>资金支出，强化绩效管理意识，突出结果导向和产出效益，发挥专项债券资金的投资效果。</w:t>
      </w:r>
    </w:p>
    <w:p>
      <w:pPr>
        <w:pStyle w:val="4"/>
        <w:ind w:firstLine="643"/>
        <w:rPr>
          <w:rFonts w:hint="eastAsia"/>
        </w:rPr>
      </w:pPr>
      <w:bookmarkStart w:id="532" w:name="_Toc17435"/>
      <w:bookmarkStart w:id="533" w:name="_Toc9626"/>
      <w:r>
        <w:rPr>
          <w:rFonts w:hint="eastAsia"/>
        </w:rPr>
        <w:t>4.推进施工进度，保障项目早日运营</w:t>
      </w:r>
      <w:bookmarkEnd w:id="532"/>
      <w:bookmarkEnd w:id="533"/>
    </w:p>
    <w:p>
      <w:pPr>
        <w:ind w:firstLine="640"/>
        <w:rPr>
          <w:rFonts w:hint="eastAsia" w:ascii="仿宋" w:hAnsi="仿宋" w:cs="仿宋"/>
          <w:szCs w:val="32"/>
        </w:rPr>
      </w:pPr>
      <w:r>
        <w:rPr>
          <w:rFonts w:hint="eastAsia" w:ascii="仿宋" w:hAnsi="仿宋" w:cs="仿宋"/>
          <w:szCs w:val="32"/>
        </w:rPr>
        <w:t>建议</w:t>
      </w:r>
      <w:r>
        <w:rPr>
          <w:rFonts w:hint="eastAsia" w:ascii="仿宋" w:hAnsi="仿宋" w:cs="仿宋"/>
        </w:rPr>
        <w:t>遂宁天擎工程项目管理有限公司</w:t>
      </w:r>
      <w:r>
        <w:rPr>
          <w:rFonts w:hint="eastAsia" w:ascii="仿宋" w:hAnsi="仿宋" w:cs="仿宋"/>
          <w:szCs w:val="32"/>
        </w:rPr>
        <w:t>进一步明确项目实施计划，压实部门责任，强化项目管理和监管责任。加快项目建设进度，形成实物工作量，在确保工程质量、资金安全的前提下，依法合规加快项目建设进度，避免专项债券资金闲置浪费。落实项目完工，尽早投入运营，产生收益，保障专项债券正常还本付息。</w:t>
      </w:r>
    </w:p>
    <w:p>
      <w:pPr>
        <w:pStyle w:val="2"/>
        <w:spacing w:before="0" w:after="0"/>
        <w:ind w:firstLine="640"/>
      </w:pPr>
      <w:bookmarkStart w:id="534" w:name="_Toc9741"/>
      <w:r>
        <w:rPr>
          <w:rFonts w:hint="eastAsia"/>
        </w:rPr>
        <w:t>六、其他需要说明的问题</w:t>
      </w:r>
      <w:bookmarkEnd w:id="534"/>
    </w:p>
    <w:p>
      <w:pPr>
        <w:ind w:firstLine="640"/>
        <w:rPr>
          <w:rFonts w:hint="eastAsia" w:ascii="仿宋" w:hAnsi="仿宋" w:cs="仿宋"/>
        </w:rPr>
      </w:pPr>
      <w:r>
        <w:rPr>
          <w:rFonts w:hint="eastAsia" w:ascii="仿宋" w:hAnsi="仿宋" w:cs="仿宋"/>
        </w:rPr>
        <w:t>本次绩效评价工作基于项目单位的资料及沟通情况开展，项目资料的完整性和真实性由项目单位负责。评价报告在综合了解相关政策文件、项目实施内容与预算编制等的基础上，结合项目单位提供的项目资料，从项目决策、项目过程、项目产出、项目效益等四方面进行逐一评价。评价报告仅适用涉及遂宁高新区电子产业园区及配套基础设施建设项目（二期）2023年项目专项债券支出的工作内容，超过此范围的内容不作为评价的范围，评价结果仅作为遂宁高新区财政金融局对遂宁高新区电子产业园区及配套基础设施建设项目（二期）2023年度专项债券项目资金绩效评价及结果应用使用，未经许可其他单位和个人不得用作其他用途。</w:t>
      </w:r>
    </w:p>
    <w:p>
      <w:pPr>
        <w:ind w:firstLine="640"/>
        <w:rPr>
          <w:rFonts w:hint="eastAsia" w:ascii="仿宋" w:hAnsi="仿宋" w:cs="仿宋"/>
        </w:rPr>
      </w:pPr>
    </w:p>
    <w:p>
      <w:pPr>
        <w:ind w:firstLine="640"/>
        <w:rPr>
          <w:rFonts w:hint="eastAsia" w:ascii="仿宋" w:hAnsi="仿宋" w:cs="仿宋"/>
        </w:rPr>
      </w:pPr>
    </w:p>
    <w:p>
      <w:pPr>
        <w:ind w:firstLine="640"/>
        <w:rPr>
          <w:rFonts w:hint="eastAsia" w:ascii="仿宋" w:hAnsi="仿宋" w:cs="仿宋"/>
        </w:rPr>
      </w:pPr>
      <w:r>
        <w:rPr>
          <w:rFonts w:hint="eastAsia" w:ascii="仿宋" w:hAnsi="仿宋" w:cs="仿宋"/>
        </w:rPr>
        <w:t>附件：遂宁高新区电子产业园区及配套基础设施建设项目（二期）2023年度专项债券项目资金绩效评价评分表</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spacing w:line="360" w:lineRule="exact"/>
        <w:jc w:val="center"/>
        <w:rPr>
          <w:rFonts w:hint="eastAsia" w:ascii="宋体" w:hAnsi="宋体" w:cs="Times New Roman"/>
          <w:b/>
          <w:bCs/>
          <w:sz w:val="44"/>
          <w:szCs w:val="32"/>
        </w:rPr>
      </w:pPr>
    </w:p>
    <w:p>
      <w:pPr>
        <w:pStyle w:val="15"/>
        <w:spacing w:before="312" w:after="312" w:line="560" w:lineRule="exact"/>
        <w:outlineLvl w:val="9"/>
        <w:rPr>
          <w:rFonts w:hint="eastAsia" w:ascii="宋体" w:hAnsi="宋体" w:eastAsia="宋体" w:cs="宋体"/>
          <w:sz w:val="44"/>
          <w:szCs w:val="44"/>
        </w:rPr>
      </w:pPr>
      <w:bookmarkStart w:id="535" w:name="_Toc13201"/>
      <w:bookmarkStart w:id="536" w:name="_Toc11596"/>
      <w:bookmarkStart w:id="537" w:name="_Toc13869"/>
      <w:bookmarkStart w:id="538" w:name="_Toc27926"/>
      <w:bookmarkStart w:id="539" w:name="_Toc22033"/>
      <w:r>
        <w:rPr>
          <w:rFonts w:hint="eastAsia" w:ascii="宋体" w:hAnsi="宋体" w:eastAsia="宋体" w:cs="宋体"/>
          <w:sz w:val="44"/>
          <w:szCs w:val="44"/>
        </w:rPr>
        <w:t>遂宁高新区城乡统筹与社会保障服务中心</w:t>
      </w:r>
      <w:bookmarkEnd w:id="535"/>
      <w:bookmarkEnd w:id="536"/>
      <w:bookmarkEnd w:id="537"/>
      <w:bookmarkEnd w:id="538"/>
      <w:bookmarkEnd w:id="539"/>
      <w:bookmarkStart w:id="540" w:name="_Toc29493"/>
      <w:bookmarkStart w:id="541" w:name="_Toc30402"/>
      <w:bookmarkStart w:id="542" w:name="_Toc31893"/>
      <w:bookmarkStart w:id="543" w:name="_Toc26552"/>
      <w:bookmarkStart w:id="544" w:name="_Toc29431"/>
      <w:r>
        <w:rPr>
          <w:rFonts w:hint="eastAsia" w:ascii="宋体" w:hAnsi="宋体" w:eastAsia="宋体" w:cs="宋体"/>
          <w:sz w:val="44"/>
          <w:szCs w:val="44"/>
        </w:rPr>
        <w:t>征地拆迁工作经费绩效评价报告</w:t>
      </w:r>
      <w:bookmarkEnd w:id="540"/>
      <w:bookmarkEnd w:id="541"/>
      <w:bookmarkEnd w:id="542"/>
      <w:bookmarkEnd w:id="543"/>
      <w:bookmarkEnd w:id="544"/>
    </w:p>
    <w:p>
      <w:pPr>
        <w:pStyle w:val="14"/>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eastAsia="仿宋"/>
        </w:rPr>
      </w:pPr>
      <w:r>
        <w:rPr>
          <w:rFonts w:hint="eastAsia" w:ascii="仿宋" w:hAnsi="仿宋" w:eastAsia="仿宋" w:cs="仿宋"/>
          <w:sz w:val="32"/>
          <w:szCs w:val="32"/>
        </w:rPr>
        <w:t>为贯彻落实</w:t>
      </w:r>
      <w:r>
        <w:rPr>
          <w:rFonts w:hint="eastAsia" w:ascii="仿宋" w:hAnsi="仿宋" w:eastAsia="仿宋" w:cs="仿宋"/>
          <w:color w:val="000000"/>
          <w:sz w:val="32"/>
          <w:szCs w:val="32"/>
          <w:shd w:val="clear" w:color="auto" w:fill="FFFFFF"/>
        </w:rPr>
        <w:t>《中华人民共和国预算法》《中共四川省委 四川省人民政府关于全面实施预算绩效管理的实施意见》（川委发〔2019〕8号）</w:t>
      </w:r>
      <w:r>
        <w:rPr>
          <w:rFonts w:hint="eastAsia" w:ascii="仿宋" w:hAnsi="仿宋" w:eastAsia="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《中共四川省委办公厅 四川省人民政府办公厅关于深入实施预算绩效管理的通知》（川委厅〔2022〕5号）</w:t>
      </w:r>
      <w:r>
        <w:rPr>
          <w:rFonts w:hint="eastAsia" w:ascii="仿宋" w:hAnsi="仿宋" w:eastAsia="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四川省人民政府〈关于进一步深化预算管理制度改革的实施意见〉》（川府发〔2022〕4号）文件精神，加快建成全方位、全过程、全覆盖的预算绩效管理体系，提高财政资金配置效率和使用效益。根据《财政部关于印发〈项目支出绩效评价管理办法〉的通知》（财预</w:t>
      </w:r>
      <w:r>
        <w:rPr>
          <w:rFonts w:hint="eastAsia" w:ascii="仿宋" w:hAnsi="仿宋" w:eastAsia="仿宋" w:cs="仿宋"/>
          <w:sz w:val="32"/>
          <w:szCs w:val="32"/>
        </w:rPr>
        <w:t>〔2020〕</w:t>
      </w:r>
      <w:r>
        <w:rPr>
          <w:rFonts w:hint="eastAsia" w:ascii="仿宋" w:hAnsi="仿宋" w:eastAsia="仿宋" w:cs="仿宋"/>
          <w:color w:val="000000"/>
          <w:sz w:val="32"/>
          <w:szCs w:val="32"/>
          <w:shd w:val="clear" w:color="auto" w:fill="FFFFFF"/>
        </w:rPr>
        <w:t>10）、</w:t>
      </w:r>
      <w:r>
        <w:rPr>
          <w:rFonts w:hint="eastAsia" w:ascii="仿宋" w:hAnsi="仿宋" w:eastAsia="仿宋" w:cs="仿宋"/>
          <w:sz w:val="32"/>
          <w:szCs w:val="32"/>
        </w:rPr>
        <w:t>遂宁高新区管委会关于印发《遂宁高新区关于调整部分房屋、门面安置政策的实施方案》的通知（遂高管〔2023〕35号）和</w:t>
      </w:r>
      <w:r>
        <w:rPr>
          <w:rFonts w:hint="eastAsia" w:ascii="仿宋" w:hAnsi="仿宋" w:eastAsia="仿宋" w:cs="仿宋"/>
          <w:color w:val="000000"/>
          <w:sz w:val="32"/>
          <w:szCs w:val="32"/>
          <w:shd w:val="clear" w:color="auto" w:fill="FFFFFF"/>
        </w:rPr>
        <w:t>《</w:t>
      </w:r>
      <w:r>
        <w:rPr>
          <w:rFonts w:hint="eastAsia" w:ascii="仿宋" w:hAnsi="仿宋" w:eastAsia="仿宋" w:cs="仿宋"/>
          <w:sz w:val="32"/>
          <w:szCs w:val="32"/>
        </w:rPr>
        <w:t>遂宁市船山区人民政府办公室关于明确中国西部物流港、观音湖征地拆迁工作经费的通知》（遂船府办函〔2010〕246号）等文件有关规定，按照遂宁市高新区绩效评价工作安排，由遂宁高新区财政金融局组织领导，成都金财企服企业管理有限公司接受委托并成立绩效评价工作组，对遂宁市高新区城乡统筹与社会保障服务中心组织实施的征地拆迁工作经费项目进行绩效评价。经过资料评审和综合分析评价，形成本次绩效评价报告，现将有关情况报告如下。</w:t>
      </w:r>
    </w:p>
    <w:p>
      <w:pPr>
        <w:pStyle w:val="2"/>
        <w:ind w:firstLine="643"/>
      </w:pPr>
      <w:bookmarkStart w:id="545" w:name="_Toc10756"/>
      <w:r>
        <w:rPr>
          <w:rFonts w:hint="eastAsia"/>
        </w:rPr>
        <w:t>一、基本情况</w:t>
      </w:r>
      <w:bookmarkEnd w:id="545"/>
    </w:p>
    <w:p>
      <w:pPr>
        <w:pStyle w:val="3"/>
        <w:ind w:firstLine="643"/>
      </w:pPr>
      <w:bookmarkStart w:id="546" w:name="_Toc3563"/>
      <w:r>
        <w:rPr>
          <w:rFonts w:hint="eastAsia"/>
        </w:rPr>
        <w:t>（一）项目概况</w:t>
      </w:r>
      <w:bookmarkEnd w:id="546"/>
    </w:p>
    <w:p>
      <w:pPr>
        <w:pStyle w:val="4"/>
        <w:ind w:firstLine="643"/>
      </w:pPr>
      <w:r>
        <w:rPr>
          <w:rFonts w:hint="eastAsia"/>
        </w:rPr>
        <w:t>1.项目背景</w:t>
      </w:r>
    </w:p>
    <w:p>
      <w:pPr>
        <w:shd w:val="clear" w:color="auto" w:fill="FFFFFF"/>
        <w:spacing w:line="560" w:lineRule="exact"/>
        <w:ind w:firstLine="640" w:firstLineChars="200"/>
        <w:rPr>
          <w:rFonts w:hint="eastAsia" w:ascii="仿宋" w:hAnsi="仿宋" w:eastAsia="仿宋"/>
          <w:sz w:val="32"/>
          <w:szCs w:val="32"/>
        </w:rPr>
      </w:pPr>
      <w:r>
        <w:rPr>
          <w:rFonts w:hint="eastAsia" w:ascii="仿宋" w:hAnsi="仿宋" w:eastAsia="仿宋"/>
          <w:sz w:val="32"/>
          <w:szCs w:val="32"/>
        </w:rPr>
        <w:t>党的十八大以来，以习近平同志为核心的党中央提出要大力推进生态文明建设，扭转生态环境恶化趋势。胡锦涛指出，当前和今后一个时期，要重点抓好四个方面的工作：一是要优化国土空间开发格局；二是要全面促进资源节约；三是要加大自然生态系统和环境保护力度；四是要加强生态文明制度建设。</w:t>
      </w:r>
    </w:p>
    <w:p>
      <w:pPr>
        <w:pStyle w:val="6"/>
        <w:spacing w:line="560" w:lineRule="exact"/>
        <w:ind w:firstLine="640"/>
        <w:rPr>
          <w:rFonts w:hint="eastAsia" w:ascii="仿宋" w:hAnsi="仿宋" w:eastAsia="仿宋"/>
          <w:sz w:val="32"/>
          <w:szCs w:val="32"/>
        </w:rPr>
      </w:pPr>
      <w:r>
        <w:rPr>
          <w:rFonts w:hint="eastAsia" w:ascii="仿宋" w:hAnsi="仿宋" w:eastAsia="仿宋"/>
          <w:sz w:val="32"/>
          <w:szCs w:val="32"/>
        </w:rPr>
        <w:t>优化国土空间开发格局是贯彻新发展理念、推动高质量发展的必然要求。它旨在通过科学规划和合理布局，促进资源节约集约利用，加强生态环境保护，推动区域协调发展，构建安全、和谐、可持续的国土空间体系。这一过程中，征地拆迁作为国土空间调整的重要手段之一，发挥着关键作用。</w:t>
      </w:r>
    </w:p>
    <w:p>
      <w:pPr>
        <w:pStyle w:val="6"/>
        <w:spacing w:line="560" w:lineRule="exact"/>
        <w:ind w:firstLine="640"/>
        <w:rPr>
          <w:rFonts w:hint="eastAsia" w:ascii="仿宋" w:hAnsi="仿宋" w:eastAsia="仿宋"/>
          <w:sz w:val="32"/>
          <w:szCs w:val="32"/>
        </w:rPr>
      </w:pPr>
      <w:r>
        <w:rPr>
          <w:rFonts w:hint="eastAsia" w:ascii="仿宋" w:hAnsi="仿宋" w:eastAsia="仿宋"/>
          <w:sz w:val="32"/>
          <w:szCs w:val="32"/>
        </w:rPr>
        <w:t>征地拆迁工作涉及多个环节，包括征收策划和调查、拆迁安置、征收管理等，这些工作都需要充足的人力、物力和财力资源作为支撑。工作经费的到位，能够确保征收工作的顺利进行，避免因资金短缺而导致工作延误或停滞。充足的工作经费能够确保征地拆迁工作的高质量和高效率。一方面，它有助于吸引和留住优秀的人才，提高征收工作的专业性和规范性；另一方面，它有助于采用先进的技术和设备，提高工作效率和准确性。</w:t>
      </w:r>
    </w:p>
    <w:p>
      <w:pPr>
        <w:pStyle w:val="4"/>
        <w:ind w:firstLine="643"/>
      </w:pPr>
      <w:r>
        <w:rPr>
          <w:rFonts w:hint="eastAsia"/>
        </w:rPr>
        <w:t>2.主要内容及实施情况</w:t>
      </w:r>
    </w:p>
    <w:p>
      <w:pPr>
        <w:spacing w:line="560" w:lineRule="exact"/>
        <w:ind w:firstLine="640" w:firstLineChars="200"/>
        <w:rPr>
          <w:rFonts w:hint="eastAsia" w:ascii="仿宋" w:hAnsi="仿宋" w:eastAsia="仿宋"/>
          <w:sz w:val="32"/>
          <w:szCs w:val="32"/>
        </w:rPr>
      </w:pPr>
      <w:bookmarkStart w:id="547" w:name="_Toc5100"/>
      <w:bookmarkStart w:id="548" w:name="_Toc18707"/>
      <w:bookmarkStart w:id="549" w:name="_Toc9645"/>
      <w:bookmarkStart w:id="550" w:name="_Toc17301"/>
      <w:r>
        <w:rPr>
          <w:rFonts w:hint="eastAsia" w:ascii="仿宋" w:hAnsi="仿宋" w:eastAsia="仿宋"/>
          <w:sz w:val="32"/>
          <w:szCs w:val="32"/>
        </w:rPr>
        <w:t>经查看相关资料，高新区2023年度安排征地拆迁工作经费</w:t>
      </w:r>
      <w:r>
        <w:rPr>
          <w:rFonts w:hint="eastAsia" w:ascii="仿宋" w:hAnsi="仿宋" w:eastAsia="仿宋" w:cs="仿宋"/>
          <w:sz w:val="32"/>
          <w:szCs w:val="32"/>
        </w:rPr>
        <w:t>100.00万</w:t>
      </w:r>
      <w:r>
        <w:rPr>
          <w:rFonts w:hint="eastAsia" w:ascii="仿宋" w:hAnsi="仿宋" w:eastAsia="仿宋"/>
          <w:sz w:val="32"/>
          <w:szCs w:val="32"/>
        </w:rPr>
        <w:t>元，用于开展环湖道路、桃花山公园、高新职校片区、102片区、鹭栖湖公园、雁栖湖小学、遂渝扩容等重点项目征地拆迁、林木工作及房屋安置工作。</w:t>
      </w:r>
    </w:p>
    <w:p>
      <w:pPr>
        <w:spacing w:line="560" w:lineRule="exact"/>
        <w:ind w:firstLine="640" w:firstLineChars="200"/>
        <w:rPr>
          <w:rFonts w:hint="eastAsia" w:ascii="仿宋" w:hAnsi="仿宋" w:eastAsia="仿宋"/>
          <w:sz w:val="32"/>
          <w:szCs w:val="32"/>
        </w:rPr>
      </w:pPr>
      <w:r>
        <w:rPr>
          <w:rFonts w:hint="eastAsia" w:ascii="仿宋" w:hAnsi="仿宋" w:eastAsia="仿宋"/>
          <w:sz w:val="32"/>
          <w:szCs w:val="32"/>
        </w:rPr>
        <w:t>目前已完成西宁街道福光庙村、联升村及经开区北固镇火把堰村修建职校征地拆迁工作，西宁街道北部一期及剩余房源房屋安置工作；保升镇人民政府凉水井二、四期房屋安置工作；西宁街道办事处福光庙8社拆迁工作；保升镇人民政府插板堰村4、5社征收土地、房屋拆迁、林木工作等。截至2023年底，征地拆迁工作已全部完工，项目完工率100.00%。</w:t>
      </w:r>
    </w:p>
    <w:bookmarkEnd w:id="547"/>
    <w:bookmarkEnd w:id="548"/>
    <w:bookmarkEnd w:id="549"/>
    <w:bookmarkEnd w:id="550"/>
    <w:p>
      <w:pPr>
        <w:pStyle w:val="4"/>
        <w:ind w:firstLine="643"/>
      </w:pPr>
      <w:r>
        <w:rPr>
          <w:rFonts w:hint="eastAsia"/>
        </w:rPr>
        <w:t>3.资金投入</w:t>
      </w:r>
    </w:p>
    <w:p>
      <w:pPr>
        <w:spacing w:line="560" w:lineRule="exact"/>
        <w:ind w:firstLine="640" w:firstLineChars="200"/>
        <w:rPr>
          <w:rFonts w:hint="eastAsia" w:ascii="仿宋" w:hAnsi="仿宋" w:eastAsia="仿宋" w:cs="仿宋"/>
          <w:sz w:val="32"/>
          <w:szCs w:val="32"/>
        </w:rPr>
      </w:pPr>
      <w:bookmarkStart w:id="551" w:name="_Toc1540"/>
      <w:bookmarkStart w:id="552" w:name="_Toc13489"/>
      <w:bookmarkStart w:id="553" w:name="_Toc29092"/>
      <w:bookmarkStart w:id="554" w:name="_Toc3414"/>
      <w:r>
        <w:rPr>
          <w:rFonts w:hint="eastAsia" w:ascii="仿宋" w:hAnsi="仿宋" w:eastAsia="仿宋" w:cs="仿宋"/>
          <w:sz w:val="32"/>
          <w:szCs w:val="32"/>
        </w:rPr>
        <w:t>按照综合预算的原则，遂宁高新区城乡统筹与社会保障服务中心所有收入和支出均纳入部门预算管理。2023年度遂宁高新区城乡统筹与社会保障服务中心征地拆迁工作经费预算为100.00万元。</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遂宁高新区财政金融局下达征地拆迁工作经费</w:t>
      </w:r>
      <w:bookmarkEnd w:id="551"/>
      <w:bookmarkEnd w:id="552"/>
      <w:bookmarkEnd w:id="553"/>
      <w:bookmarkEnd w:id="554"/>
      <w:r>
        <w:rPr>
          <w:rFonts w:hint="eastAsia" w:ascii="仿宋" w:hAnsi="仿宋" w:eastAsia="仿宋" w:cs="仿宋"/>
          <w:sz w:val="32"/>
          <w:szCs w:val="32"/>
        </w:rPr>
        <w:t>100.00万元。预算资金到位率为100.00%。</w:t>
      </w:r>
    </w:p>
    <w:p>
      <w:pPr>
        <w:pStyle w:val="4"/>
        <w:ind w:firstLine="643"/>
      </w:pPr>
      <w:r>
        <w:rPr>
          <w:rFonts w:hint="eastAsia"/>
        </w:rPr>
        <w:t>4.资金使用情况</w:t>
      </w:r>
    </w:p>
    <w:p>
      <w:pPr>
        <w:pStyle w:val="6"/>
        <w:spacing w:line="560" w:lineRule="exact"/>
        <w:ind w:firstLine="640"/>
        <w:rPr>
          <w:rFonts w:hint="eastAsia" w:ascii="仿宋" w:hAnsi="仿宋" w:eastAsia="仿宋" w:cs="仿宋"/>
          <w:sz w:val="32"/>
          <w:szCs w:val="32"/>
        </w:rPr>
      </w:pPr>
      <w:r>
        <w:rPr>
          <w:rFonts w:hint="eastAsia" w:ascii="仿宋" w:hAnsi="仿宋" w:eastAsia="仿宋" w:cs="仿宋"/>
          <w:sz w:val="32"/>
          <w:szCs w:val="32"/>
        </w:rPr>
        <w:t>2023年度遂宁高新区城乡统筹与社会保障服务中心征地拆迁工作经费预算为100.00万元，用于解决工作过程中投入的人力物力事宜及治理相关问题。</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保升镇插板堰4社征地工作，核算出征地拆迁工作经费20.06万元。林木工作核算出应拨付工作经费20.70万元。遂宁高新区城乡统筹与社会保障服务中心于2023年1月8日拨付保升镇征地拆迁工作经费40.76万元。</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西宁街道因征地拆迁工作各项费用支出较多，西宁街道财力薄弱，于2022年8月申请征地拆迁工作经费23万元。遂宁高新区城乡统筹与社会保障服务中心于2023年11月16日拨付西宁街道征地拆迁工作经费23.00万元。</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2023年度共计使用工作经费63.76万元，结余36.24万元上缴遂宁高新区财政金融局，资金使用率为63.76%。</w:t>
      </w:r>
    </w:p>
    <w:p>
      <w:pPr>
        <w:pStyle w:val="3"/>
        <w:ind w:firstLine="643"/>
      </w:pPr>
      <w:bookmarkStart w:id="555" w:name="_Toc3155"/>
      <w:r>
        <w:rPr>
          <w:rFonts w:hint="eastAsia"/>
        </w:rPr>
        <w:t>（二）项目绩效目标</w:t>
      </w:r>
      <w:bookmarkEnd w:id="555"/>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2023年完成涉及西宁街道办事处、保升镇人民政府，征地、农户拆除、房屋安置工作。镇（街道）负责各乡房屋土地、青苗设施的征拆工作，并向征拆户支付征拆款，土地征收补偿款支付到村，再由村支付到组或个人。通过项目实施，推动区域发展规划的顺利实施，提升城市形象，改善居民居住环境。</w:t>
      </w:r>
    </w:p>
    <w:p>
      <w:pPr>
        <w:pStyle w:val="2"/>
        <w:ind w:firstLine="643"/>
      </w:pPr>
      <w:bookmarkStart w:id="556" w:name="_Toc20787"/>
      <w:r>
        <w:rPr>
          <w:rFonts w:hint="eastAsia"/>
        </w:rPr>
        <w:t>二、绩效评价工作开展情况</w:t>
      </w:r>
      <w:bookmarkEnd w:id="556"/>
    </w:p>
    <w:p>
      <w:pPr>
        <w:pStyle w:val="3"/>
        <w:ind w:firstLine="643"/>
        <w:jc w:val="both"/>
      </w:pPr>
      <w:bookmarkStart w:id="557" w:name="_Toc116344517"/>
      <w:bookmarkStart w:id="558" w:name="_Toc18167"/>
      <w:r>
        <w:rPr>
          <w:rFonts w:hint="eastAsia"/>
        </w:rPr>
        <w:t>（一）绩效评价目的</w:t>
      </w:r>
      <w:bookmarkEnd w:id="557"/>
      <w:r>
        <w:rPr>
          <w:rFonts w:hint="eastAsia"/>
        </w:rPr>
        <w:t>、对象和范围</w:t>
      </w:r>
      <w:bookmarkEnd w:id="558"/>
    </w:p>
    <w:p>
      <w:pPr>
        <w:pStyle w:val="4"/>
        <w:ind w:firstLine="643"/>
      </w:pPr>
      <w:r>
        <w:rPr>
          <w:rFonts w:hint="eastAsia"/>
        </w:rPr>
        <w:t>1.评价目的</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根据项目绩效目标，运用科学合理的绩效评价指标、评价标准和评价方法，对遂宁高新区城乡统筹与社会保障服务中心征地拆迁工作经费的经济性、效率性和效益性进行客观、公正的评价。通过绩效评价，有效贯彻落实中央关于全面实施预算绩效管理的决策部署，加强资金监督，规范资金的使用，提高资金使用效益，不断强化绩效结果应用。</w:t>
      </w:r>
    </w:p>
    <w:p>
      <w:pPr>
        <w:pStyle w:val="4"/>
        <w:ind w:firstLine="643"/>
      </w:pPr>
      <w:r>
        <w:rPr>
          <w:rFonts w:hint="eastAsia"/>
        </w:rPr>
        <w:t>2.评价对象</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本次评价对象为本次绩效评价项目为城乡统筹与社会保障服务中心部门征地拆迁工作经费。</w:t>
      </w:r>
    </w:p>
    <w:p>
      <w:pPr>
        <w:pStyle w:val="4"/>
        <w:ind w:firstLine="643"/>
      </w:pPr>
      <w:r>
        <w:rPr>
          <w:rFonts w:hint="eastAsia"/>
        </w:rPr>
        <w:t>3.评价范围</w:t>
      </w:r>
      <w:bookmarkStart w:id="559" w:name="_Toc136351479"/>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本次绩效评价范围包括：一是项目决策情况，包括项目设立、项目规划、项目实施结果和绩效目标；二是项目实施管理，包括资金管理和项目实施情况；三是项目预算执行情况，包括预算执行和资金使用；四是项目绩效目标实现情况，包括项目实际产出和效益情况，群众满意度情况。</w:t>
      </w:r>
    </w:p>
    <w:p>
      <w:pPr>
        <w:pStyle w:val="3"/>
        <w:ind w:firstLine="643"/>
        <w:jc w:val="both"/>
      </w:pPr>
      <w:bookmarkStart w:id="560" w:name="_Toc19056"/>
      <w:r>
        <w:rPr>
          <w:rFonts w:hint="eastAsia"/>
        </w:rPr>
        <w:t>（二）绩效评价</w:t>
      </w:r>
      <w:bookmarkEnd w:id="559"/>
      <w:r>
        <w:rPr>
          <w:rFonts w:hint="eastAsia"/>
        </w:rPr>
        <w:t>依据、原则、评价方法和指标体系</w:t>
      </w:r>
      <w:bookmarkEnd w:id="560"/>
    </w:p>
    <w:p>
      <w:pPr>
        <w:pStyle w:val="4"/>
        <w:ind w:firstLine="643"/>
      </w:pPr>
      <w:r>
        <w:rPr>
          <w:rFonts w:hint="eastAsia"/>
        </w:rPr>
        <w:t>1.评价依据</w:t>
      </w:r>
    </w:p>
    <w:p>
      <w:pPr>
        <w:pStyle w:val="7"/>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rPr>
        <w:t>本次绩效评价工作依据绩效评价相关法规、规章制度和征地拆迁工作相关法律法规、规章制度，相关行业标准及专项规范等，具体如下：</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（1）</w:t>
      </w:r>
      <w:r>
        <w:rPr>
          <w:rFonts w:hint="eastAsia" w:ascii="仿宋" w:hAnsi="仿宋" w:eastAsia="仿宋" w:cs="仿宋"/>
          <w:color w:val="000000"/>
          <w:sz w:val="32"/>
          <w:szCs w:val="32"/>
          <w:shd w:val="clear" w:color="auto" w:fill="FFFFFF"/>
        </w:rPr>
        <w:t>《中华人民共和国预算法》</w:t>
      </w:r>
      <w:r>
        <w:rPr>
          <w:rFonts w:hint="eastAsia" w:ascii="仿宋" w:hAnsi="仿宋" w:eastAsia="仿宋" w:cs="仿宋"/>
          <w:sz w:val="32"/>
          <w:szCs w:val="32"/>
        </w:rPr>
        <w:t>；</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（2）《中共中央国务院关于全面实施预算绩效管理的意见》（中发</w:t>
      </w:r>
      <w:r>
        <w:rPr>
          <w:rFonts w:hint="eastAsia" w:ascii="仿宋" w:hAnsi="仿宋" w:eastAsia="仿宋" w:cs="仿宋"/>
          <w:color w:val="000000"/>
          <w:sz w:val="32"/>
          <w:szCs w:val="32"/>
          <w:shd w:val="clear" w:color="auto" w:fill="FFFFFF"/>
        </w:rPr>
        <w:t>〔2018〕</w:t>
      </w:r>
      <w:r>
        <w:rPr>
          <w:rFonts w:hint="eastAsia" w:ascii="仿宋" w:hAnsi="仿宋" w:eastAsia="仿宋" w:cs="仿宋"/>
          <w:sz w:val="32"/>
          <w:szCs w:val="32"/>
        </w:rPr>
        <w:t>34号）；</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（3）《财政部关于印发〈项目支出绩效评价管理办法〉的通知》（财预〔2020〕10号）；</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（4）《中共四川省委办公厅 四川省人民政府办公厅关于深入实施预算绩效管理的通知》（川委厅〔2022〕5号）；</w:t>
      </w:r>
    </w:p>
    <w:p>
      <w:pPr>
        <w:pStyle w:val="6"/>
        <w:spacing w:line="560" w:lineRule="exact"/>
        <w:ind w:firstLine="640"/>
        <w:rPr>
          <w:rFonts w:hint="eastAsia" w:ascii="仿宋" w:hAnsi="仿宋" w:eastAsia="仿宋" w:cs="仿宋"/>
          <w:color w:val="000000"/>
          <w:sz w:val="32"/>
          <w:szCs w:val="32"/>
          <w:shd w:val="clear" w:color="auto" w:fill="FFFFFF"/>
        </w:rPr>
      </w:pPr>
      <w:r>
        <w:rPr>
          <w:rFonts w:hint="eastAsia" w:ascii="仿宋" w:hAnsi="仿宋" w:eastAsia="仿宋" w:cs="仿宋"/>
          <w:sz w:val="32"/>
          <w:szCs w:val="32"/>
        </w:rPr>
        <w:t>（5）</w:t>
      </w:r>
      <w:r>
        <w:rPr>
          <w:rFonts w:hint="eastAsia" w:ascii="仿宋" w:hAnsi="仿宋" w:eastAsia="仿宋" w:cs="仿宋"/>
          <w:color w:val="000000"/>
          <w:sz w:val="32"/>
          <w:szCs w:val="32"/>
          <w:shd w:val="clear" w:color="auto" w:fill="FFFFFF"/>
        </w:rPr>
        <w:t>《遂宁市人民政府印发〈关于进一步深化预算管理制度改革的贯彻意见〉的通知》（遂府函〔2022〕119号）；</w:t>
      </w:r>
    </w:p>
    <w:p>
      <w:pPr>
        <w:widowControl/>
        <w:spacing w:line="56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rPr>
        <w:t>（6）《遂宁高新区关于调整部分房屋、门面安置政策的实施方案》（遂高管〔2023〕35号）</w:t>
      </w:r>
      <w:r>
        <w:rPr>
          <w:rFonts w:hint="eastAsia" w:ascii="仿宋" w:hAnsi="仿宋" w:eastAsia="仿宋" w:cs="仿宋"/>
          <w:sz w:val="32"/>
          <w:szCs w:val="32"/>
          <w:lang w:eastAsia="zh-CN"/>
        </w:rPr>
        <w:t>；</w:t>
      </w:r>
    </w:p>
    <w:p>
      <w:pPr>
        <w:widowControl/>
        <w:spacing w:line="560" w:lineRule="exact"/>
        <w:ind w:firstLine="640" w:firstLineChars="200"/>
        <w:rPr>
          <w:rFonts w:hint="eastAsia" w:ascii="仿宋" w:hAnsi="仿宋" w:eastAsia="仿宋" w:cs="仿宋"/>
          <w:sz w:val="32"/>
          <w:szCs w:val="32"/>
          <w:lang w:eastAsia="zh-CN"/>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7</w:t>
      </w:r>
      <w:r>
        <w:rPr>
          <w:rFonts w:hint="eastAsia" w:ascii="仿宋" w:hAnsi="仿宋" w:eastAsia="仿宋" w:cs="仿宋"/>
          <w:sz w:val="32"/>
          <w:szCs w:val="32"/>
          <w:lang w:eastAsia="zh-CN"/>
        </w:rPr>
        <w:t>）</w:t>
      </w:r>
      <w:r>
        <w:rPr>
          <w:rFonts w:hint="eastAsia" w:ascii="仿宋" w:hAnsi="仿宋" w:eastAsia="仿宋" w:cs="仿宋"/>
          <w:color w:val="000000"/>
          <w:sz w:val="32"/>
          <w:szCs w:val="32"/>
          <w:shd w:val="clear" w:color="auto" w:fill="FFFFFF"/>
        </w:rPr>
        <w:t>《</w:t>
      </w:r>
      <w:r>
        <w:rPr>
          <w:rFonts w:hint="eastAsia" w:ascii="仿宋" w:hAnsi="仿宋" w:eastAsia="仿宋" w:cs="仿宋"/>
          <w:sz w:val="32"/>
          <w:szCs w:val="32"/>
        </w:rPr>
        <w:t>遂宁市船山区人民政府办公室关于明确中国西部物流港、观音湖征地拆迁工作经费的通知》（遂船府办函〔2010〕246号）</w:t>
      </w:r>
      <w:r>
        <w:rPr>
          <w:rFonts w:hint="eastAsia" w:ascii="仿宋" w:hAnsi="仿宋" w:eastAsia="仿宋" w:cs="仿宋"/>
          <w:sz w:val="32"/>
          <w:szCs w:val="32"/>
          <w:lang w:eastAsia="zh-CN"/>
        </w:rPr>
        <w:t>；</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8</w:t>
      </w:r>
      <w:r>
        <w:rPr>
          <w:rFonts w:hint="eastAsia" w:ascii="仿宋" w:hAnsi="仿宋" w:eastAsia="仿宋" w:cs="仿宋"/>
          <w:sz w:val="32"/>
          <w:szCs w:val="32"/>
          <w:lang w:eastAsia="zh-CN"/>
        </w:rPr>
        <w:t>）</w:t>
      </w:r>
      <w:r>
        <w:rPr>
          <w:rFonts w:hint="eastAsia" w:ascii="仿宋" w:hAnsi="仿宋" w:eastAsia="仿宋" w:cs="仿宋"/>
          <w:sz w:val="32"/>
          <w:szCs w:val="32"/>
        </w:rPr>
        <w:t>其他有关政策文件。</w:t>
      </w:r>
    </w:p>
    <w:p>
      <w:pPr>
        <w:pStyle w:val="4"/>
        <w:ind w:firstLine="643"/>
      </w:pPr>
      <w:r>
        <w:rPr>
          <w:rFonts w:hint="eastAsia"/>
        </w:rPr>
        <w:t>2.绩效评价原则</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本次绩效评价本着客观公正、科学规范、绩效相关、公开透明的原则，采用全面评价和重点评价相结合，现场评价与非现场评价相补充的方法，对项目进行综合评价。在评价过程中，结合被评价单位的实际情况，通过听取情况介绍、收集和核实相关材料、检查财务凭证实地走访调查、综合分析等一系列工作程序，在充分社会调查的基础上，形成评价结论。</w:t>
      </w:r>
    </w:p>
    <w:p>
      <w:pPr>
        <w:pStyle w:val="4"/>
        <w:ind w:firstLine="643"/>
      </w:pPr>
      <w:r>
        <w:rPr>
          <w:rFonts w:hint="eastAsia"/>
        </w:rPr>
        <w:t>3.绩效评价方法</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本次绩效评价用到的评价方法包括成本效益法、比较法、因素分析法和公众评价法，具体如下：</w:t>
      </w:r>
    </w:p>
    <w:p>
      <w:pPr>
        <w:pStyle w:val="5"/>
        <w:spacing w:after="0"/>
        <w:ind w:firstLine="643"/>
        <w:rPr>
          <w:rFonts w:hint="eastAsia"/>
        </w:rPr>
      </w:pPr>
      <w:r>
        <w:rPr>
          <w:rFonts w:hint="eastAsia"/>
        </w:rPr>
        <w:t>（1）成本效益法</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成本效益法主要为将项目建设投入与产出、效益进行关联性分析。本项目投入主要为项目工作经费的投入，通过收集征地拆迁工作期间各项支出，结合经批复的总投入估算、概算、预算及完工后最终评审等资料予以确定；通过竣工验收报告等资料对项目产出、效益进行评估。</w:t>
      </w:r>
    </w:p>
    <w:p>
      <w:pPr>
        <w:pStyle w:val="5"/>
        <w:spacing w:after="0"/>
        <w:ind w:firstLine="643"/>
        <w:rPr>
          <w:rFonts w:hint="eastAsia"/>
        </w:rPr>
      </w:pPr>
      <w:r>
        <w:rPr>
          <w:rFonts w:hint="eastAsia"/>
        </w:rPr>
        <w:t>（2）比较法</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比较法是指将实施情况与绩效目标、历史情况、不同部门和地区同类支出情况进行比较的方法。本次绩效评价运用比较法主要为指将实施情况与绩效目标进行对比。</w:t>
      </w:r>
    </w:p>
    <w:p>
      <w:pPr>
        <w:pStyle w:val="5"/>
        <w:spacing w:after="0"/>
        <w:ind w:firstLine="643"/>
        <w:rPr>
          <w:rFonts w:hint="eastAsia"/>
        </w:rPr>
      </w:pPr>
      <w:r>
        <w:rPr>
          <w:rFonts w:hint="eastAsia"/>
        </w:rPr>
        <w:t>（3）因素分析法</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因素分析法是指综合分析影响绩效目标实现、实施效果的内外部因素的方法。本项目将通过评估各类因素对项目绩效目标实现、实施效果的影响程度，在绩效评价时进行相应考虑。</w:t>
      </w:r>
    </w:p>
    <w:p>
      <w:pPr>
        <w:pStyle w:val="5"/>
        <w:spacing w:after="0"/>
        <w:ind w:firstLine="643"/>
        <w:rPr>
          <w:rFonts w:hint="eastAsia"/>
        </w:rPr>
      </w:pPr>
      <w:r>
        <w:rPr>
          <w:rFonts w:hint="eastAsia"/>
        </w:rPr>
        <w:t>（4）公众评价法</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公众评判法是指通过公众问卷及抽样调查等对财政资金支出效果进行评判，评价绩效目标实现程度。本次绩效评价将通过发放调查问卷的方式，调查政府各主要部门满意度和社会公众满意度。</w:t>
      </w:r>
    </w:p>
    <w:p>
      <w:pPr>
        <w:pStyle w:val="4"/>
        <w:ind w:firstLine="643"/>
      </w:pPr>
      <w:bookmarkStart w:id="561" w:name="_Toc136351483"/>
      <w:bookmarkStart w:id="562" w:name="_Toc129683092"/>
      <w:bookmarkStart w:id="563" w:name="_Toc129682481"/>
      <w:r>
        <w:rPr>
          <w:rFonts w:hint="eastAsia"/>
        </w:rPr>
        <w:t>4.评价指标体系</w:t>
      </w:r>
      <w:bookmarkEnd w:id="561"/>
      <w:bookmarkEnd w:id="562"/>
      <w:bookmarkEnd w:id="563"/>
    </w:p>
    <w:p>
      <w:pPr>
        <w:pStyle w:val="5"/>
        <w:spacing w:after="0"/>
        <w:ind w:firstLine="643"/>
        <w:rPr>
          <w:rFonts w:hint="eastAsia"/>
        </w:rPr>
      </w:pPr>
      <w:r>
        <w:rPr>
          <w:rFonts w:hint="eastAsia"/>
        </w:rPr>
        <w:t>（1）本次评价指标的构建思路</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本次绩效评价对象为城乡统筹与社会保障服务中心征地拆迁工作经费，针对绩效指标体系建立是本次绩效评价的一个关键部分，在确定绩效评价指标方面，我们主要考虑到三个重点：一是设置合理的绩效指标，绩效指标要能够准确清晰地反映经费使用效果，需尽量设置为可衡量、可考核的清晰明确的指标，指标值需具有约束力；二是绩效指标体系要综合科学合理地考虑项目从立项决策、执行管理到产出、效益方面的各项细化指标，全面考核不留死角；三是效益指标要评价综合效益实现情况，考察项目带动社会有效投资情况或支持国家重大区域发展战略情况。</w:t>
      </w:r>
    </w:p>
    <w:p>
      <w:pPr>
        <w:widowControl/>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本次绩效评价将基于参照《财政部关于印发〈项目支出绩效评价管理办法〉的通知》（财预〔2020〕10号）中绩效评价要求来设计本次绩效评价指标体系，同时根据我们绩效评价的经验结合项目实际情况，细化了项目决策、管理、产出和效益等方面指标权重，并针对性强化产出效果指标考核的权重。</w:t>
      </w:r>
    </w:p>
    <w:p>
      <w:pPr>
        <w:pStyle w:val="5"/>
        <w:spacing w:after="0"/>
        <w:ind w:firstLine="643"/>
        <w:rPr>
          <w:rFonts w:hint="eastAsia"/>
        </w:rPr>
      </w:pPr>
      <w:bookmarkStart w:id="564" w:name="_Toc115268467"/>
      <w:r>
        <w:rPr>
          <w:rFonts w:hint="eastAsia"/>
        </w:rPr>
        <w:t>（2）</w:t>
      </w:r>
      <w:bookmarkEnd w:id="564"/>
      <w:r>
        <w:rPr>
          <w:rFonts w:hint="eastAsia"/>
        </w:rPr>
        <w:t>指标体系</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根据</w:t>
      </w:r>
      <w:r>
        <w:rPr>
          <w:rFonts w:hint="eastAsia" w:ascii="仿宋" w:hAnsi="仿宋" w:eastAsia="仿宋" w:cs="仿宋"/>
          <w:color w:val="000000"/>
          <w:kern w:val="0"/>
          <w:sz w:val="32"/>
          <w:szCs w:val="32"/>
          <w:lang w:bidi="ar"/>
        </w:rPr>
        <w:t>财政部关于预算绩效管理工作的规定</w:t>
      </w:r>
      <w:r>
        <w:rPr>
          <w:rFonts w:hint="eastAsia" w:ascii="仿宋" w:hAnsi="仿宋" w:eastAsia="仿宋" w:cs="仿宋"/>
          <w:sz w:val="32"/>
          <w:szCs w:val="32"/>
        </w:rPr>
        <w:t>，结合项目内容和工作经费特点，绩效评价组在与专家组充分沟通的基础上，拟定本次绩效评价指标体系。本绩效评价指标体系设决策、管理、产出和效益4个一级指标、11个二级指标、16个三级指标评价项目。指标体系如下：</w:t>
      </w:r>
    </w:p>
    <w:p>
      <w:pPr>
        <w:spacing w:before="156" w:beforeLines="50"/>
        <w:jc w:val="center"/>
        <w:rPr>
          <w:rFonts w:hint="eastAsia" w:ascii="宋体" w:hAnsi="宋体" w:cs="宋体"/>
          <w:b/>
          <w:bCs/>
          <w:sz w:val="28"/>
          <w:szCs w:val="28"/>
        </w:rPr>
      </w:pPr>
      <w:r>
        <w:rPr>
          <w:rFonts w:hint="eastAsia" w:ascii="宋体" w:hAnsi="宋体" w:cs="宋体"/>
          <w:b/>
          <w:bCs/>
          <w:sz w:val="28"/>
          <w:szCs w:val="28"/>
        </w:rPr>
        <w:t>遂宁高新区城乡统筹与社会保障服务中心</w:t>
      </w:r>
    </w:p>
    <w:p>
      <w:pPr>
        <w:spacing w:after="156" w:afterLines="50"/>
        <w:jc w:val="center"/>
        <w:rPr>
          <w:rFonts w:hint="eastAsia" w:ascii="宋体" w:hAnsi="宋体" w:cs="宋体"/>
          <w:b/>
          <w:bCs/>
          <w:sz w:val="28"/>
          <w:szCs w:val="28"/>
        </w:rPr>
      </w:pPr>
      <w:r>
        <w:rPr>
          <w:rFonts w:hint="eastAsia" w:ascii="宋体" w:hAnsi="宋体" w:cs="宋体"/>
          <w:b/>
          <w:bCs/>
          <w:sz w:val="28"/>
          <w:szCs w:val="28"/>
        </w:rPr>
        <w:t>征地拆迁工作经费绩效评价指标体系</w:t>
      </w:r>
    </w:p>
    <w:tbl>
      <w:tblPr>
        <w:tblStyle w:val="17"/>
        <w:tblW w:w="4798" w:type="pct"/>
        <w:jc w:val="center"/>
        <w:tblLayout w:type="autofit"/>
        <w:tblCellMar>
          <w:top w:w="0" w:type="dxa"/>
          <w:left w:w="108" w:type="dxa"/>
          <w:bottom w:w="0" w:type="dxa"/>
          <w:right w:w="108" w:type="dxa"/>
        </w:tblCellMar>
      </w:tblPr>
      <w:tblGrid>
        <w:gridCol w:w="1698"/>
        <w:gridCol w:w="2668"/>
        <w:gridCol w:w="3812"/>
      </w:tblGrid>
      <w:tr>
        <w:tblPrEx>
          <w:tblCellMar>
            <w:top w:w="0" w:type="dxa"/>
            <w:left w:w="108" w:type="dxa"/>
            <w:bottom w:w="0" w:type="dxa"/>
            <w:right w:w="108" w:type="dxa"/>
          </w:tblCellMar>
        </w:tblPrEx>
        <w:trPr>
          <w:trHeight w:val="568" w:hRule="atLeast"/>
          <w:jc w:val="center"/>
        </w:trPr>
        <w:tc>
          <w:tcPr>
            <w:tcW w:w="1038" w:type="pct"/>
            <w:tcBorders>
              <w:top w:val="single" w:color="000000" w:sz="4" w:space="0"/>
              <w:left w:val="single" w:color="000000" w:sz="4" w:space="0"/>
              <w:bottom w:val="nil"/>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一级指标</w:t>
            </w:r>
          </w:p>
        </w:tc>
        <w:tc>
          <w:tcPr>
            <w:tcW w:w="1631" w:type="pct"/>
            <w:tcBorders>
              <w:top w:val="single" w:color="000000" w:sz="4" w:space="0"/>
              <w:left w:val="single" w:color="000000" w:sz="4" w:space="0"/>
              <w:bottom w:val="nil"/>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二级指标</w:t>
            </w:r>
          </w:p>
        </w:tc>
        <w:tc>
          <w:tcPr>
            <w:tcW w:w="2330" w:type="pct"/>
            <w:tcBorders>
              <w:top w:val="single" w:color="000000" w:sz="4" w:space="0"/>
              <w:left w:val="single" w:color="000000" w:sz="4" w:space="0"/>
              <w:bottom w:val="nil"/>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三级指标</w:t>
            </w:r>
          </w:p>
        </w:tc>
      </w:tr>
      <w:tr>
        <w:tblPrEx>
          <w:tblCellMar>
            <w:top w:w="0" w:type="dxa"/>
            <w:left w:w="108" w:type="dxa"/>
            <w:bottom w:w="0" w:type="dxa"/>
            <w:right w:w="108" w:type="dxa"/>
          </w:tblCellMar>
        </w:tblPrEx>
        <w:trPr>
          <w:trHeight w:val="410" w:hRule="exact"/>
          <w:jc w:val="center"/>
        </w:trPr>
        <w:tc>
          <w:tcPr>
            <w:tcW w:w="103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kern w:val="0"/>
                <w:sz w:val="24"/>
                <w:szCs w:val="24"/>
                <w:lang w:bidi="ar"/>
              </w:rPr>
            </w:pPr>
            <w:r>
              <w:rPr>
                <w:rFonts w:hint="eastAsia" w:ascii="宋体" w:hAnsi="宋体" w:cs="宋体"/>
                <w:b/>
                <w:bCs/>
                <w:color w:val="000000"/>
                <w:kern w:val="0"/>
                <w:sz w:val="24"/>
                <w:szCs w:val="24"/>
                <w:lang w:bidi="ar"/>
              </w:rPr>
              <w:t>过程指标</w:t>
            </w:r>
          </w:p>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（20分）</w:t>
            </w:r>
          </w:p>
        </w:tc>
        <w:tc>
          <w:tcPr>
            <w:tcW w:w="163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项目决策（8分）</w:t>
            </w: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程序严密（2分）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color w:val="000000"/>
                <w:sz w:val="24"/>
                <w:szCs w:val="24"/>
              </w:rPr>
            </w:pP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规划合理（2分）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color w:val="000000"/>
                <w:sz w:val="24"/>
                <w:szCs w:val="24"/>
              </w:rPr>
            </w:pP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结果符合（2分）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color w:val="000000"/>
                <w:sz w:val="24"/>
                <w:szCs w:val="24"/>
              </w:rPr>
            </w:pP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目标制定（2分）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项目实施（6分）</w:t>
            </w: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执行有效（3分）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color w:val="000000"/>
                <w:sz w:val="24"/>
                <w:szCs w:val="24"/>
              </w:rPr>
            </w:pP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使用合规（3分）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预算执行（6分）</w:t>
            </w: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预算执行率（3分）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color w:val="000000"/>
                <w:sz w:val="24"/>
                <w:szCs w:val="24"/>
              </w:rPr>
            </w:pP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资金使用率（3分）</w:t>
            </w:r>
          </w:p>
        </w:tc>
      </w:tr>
      <w:tr>
        <w:tblPrEx>
          <w:tblCellMar>
            <w:top w:w="0" w:type="dxa"/>
            <w:left w:w="108" w:type="dxa"/>
            <w:bottom w:w="0" w:type="dxa"/>
            <w:right w:w="108" w:type="dxa"/>
          </w:tblCellMar>
        </w:tblPrEx>
        <w:trPr>
          <w:trHeight w:val="586" w:hRule="exact"/>
          <w:jc w:val="center"/>
        </w:trPr>
        <w:tc>
          <w:tcPr>
            <w:tcW w:w="103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kern w:val="0"/>
                <w:sz w:val="24"/>
                <w:szCs w:val="24"/>
                <w:lang w:bidi="ar"/>
              </w:rPr>
            </w:pPr>
            <w:r>
              <w:rPr>
                <w:rFonts w:hint="eastAsia" w:ascii="宋体" w:hAnsi="宋体" w:cs="宋体"/>
                <w:b/>
                <w:bCs/>
                <w:color w:val="000000"/>
                <w:kern w:val="0"/>
                <w:sz w:val="24"/>
                <w:szCs w:val="24"/>
                <w:lang w:bidi="ar"/>
              </w:rPr>
              <w:t>产出指标</w:t>
            </w:r>
          </w:p>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（40分）</w:t>
            </w:r>
          </w:p>
        </w:tc>
        <w:tc>
          <w:tcPr>
            <w:tcW w:w="16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数量指标（10分）</w:t>
            </w:r>
          </w:p>
        </w:tc>
        <w:tc>
          <w:tcPr>
            <w:tcW w:w="233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征地面积（10分）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质量指标（10分）</w:t>
            </w:r>
          </w:p>
        </w:tc>
        <w:tc>
          <w:tcPr>
            <w:tcW w:w="233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征地拆迁工作质量达标率（10分）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成本指标（10分）</w:t>
            </w:r>
          </w:p>
        </w:tc>
        <w:tc>
          <w:tcPr>
            <w:tcW w:w="233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支付工作经费（10分）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时效指标（10分）</w:t>
            </w:r>
          </w:p>
        </w:tc>
        <w:tc>
          <w:tcPr>
            <w:tcW w:w="233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完成时间（10分）</w:t>
            </w:r>
          </w:p>
        </w:tc>
      </w:tr>
      <w:tr>
        <w:tblPrEx>
          <w:tblCellMar>
            <w:top w:w="0" w:type="dxa"/>
            <w:left w:w="108" w:type="dxa"/>
            <w:bottom w:w="0" w:type="dxa"/>
            <w:right w:w="108" w:type="dxa"/>
          </w:tblCellMar>
        </w:tblPrEx>
        <w:trPr>
          <w:trHeight w:val="410" w:hRule="exact"/>
          <w:jc w:val="center"/>
        </w:trPr>
        <w:tc>
          <w:tcPr>
            <w:tcW w:w="1038"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kern w:val="0"/>
                <w:sz w:val="24"/>
                <w:szCs w:val="24"/>
                <w:lang w:bidi="ar"/>
              </w:rPr>
            </w:pPr>
            <w:r>
              <w:rPr>
                <w:rFonts w:hint="eastAsia" w:ascii="宋体" w:hAnsi="宋体" w:cs="宋体"/>
                <w:b/>
                <w:bCs/>
                <w:color w:val="000000"/>
                <w:kern w:val="0"/>
                <w:sz w:val="24"/>
                <w:szCs w:val="24"/>
                <w:lang w:bidi="ar"/>
              </w:rPr>
              <w:t>效益</w:t>
            </w:r>
          </w:p>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（30分）</w:t>
            </w:r>
          </w:p>
        </w:tc>
        <w:tc>
          <w:tcPr>
            <w:tcW w:w="16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社会效益（10分）</w:t>
            </w:r>
          </w:p>
        </w:tc>
        <w:tc>
          <w:tcPr>
            <w:tcW w:w="233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社会效益（10分）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经济效益（10分）</w:t>
            </w:r>
          </w:p>
        </w:tc>
        <w:tc>
          <w:tcPr>
            <w:tcW w:w="233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经济效益（10分）</w:t>
            </w:r>
          </w:p>
        </w:tc>
      </w:tr>
      <w:tr>
        <w:tblPrEx>
          <w:tblCellMar>
            <w:top w:w="0" w:type="dxa"/>
            <w:left w:w="108" w:type="dxa"/>
            <w:bottom w:w="0" w:type="dxa"/>
            <w:right w:w="108" w:type="dxa"/>
          </w:tblCellMar>
        </w:tblPrEx>
        <w:trPr>
          <w:trHeight w:val="410" w:hRule="exact"/>
          <w:jc w:val="center"/>
        </w:trPr>
        <w:tc>
          <w:tcPr>
            <w:tcW w:w="1038"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c>
          <w:tcPr>
            <w:tcW w:w="1631"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生态效益（10分）</w:t>
            </w:r>
          </w:p>
        </w:tc>
        <w:tc>
          <w:tcPr>
            <w:tcW w:w="233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生态效益（10分）</w:t>
            </w:r>
          </w:p>
        </w:tc>
      </w:tr>
      <w:tr>
        <w:tblPrEx>
          <w:tblCellMar>
            <w:top w:w="0" w:type="dxa"/>
            <w:left w:w="108" w:type="dxa"/>
            <w:bottom w:w="0" w:type="dxa"/>
            <w:right w:w="108" w:type="dxa"/>
          </w:tblCellMar>
        </w:tblPrEx>
        <w:trPr>
          <w:trHeight w:val="558" w:hRule="exact"/>
          <w:jc w:val="center"/>
        </w:trPr>
        <w:tc>
          <w:tcPr>
            <w:tcW w:w="103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kern w:val="0"/>
                <w:sz w:val="24"/>
                <w:szCs w:val="24"/>
                <w:lang w:bidi="ar"/>
              </w:rPr>
            </w:pPr>
            <w:r>
              <w:rPr>
                <w:rFonts w:hint="eastAsia" w:ascii="宋体" w:hAnsi="宋体" w:cs="宋体"/>
                <w:b/>
                <w:bCs/>
                <w:color w:val="000000"/>
                <w:kern w:val="0"/>
                <w:sz w:val="24"/>
                <w:szCs w:val="24"/>
                <w:lang w:bidi="ar"/>
              </w:rPr>
              <w:t>满意度</w:t>
            </w:r>
          </w:p>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（10分）</w:t>
            </w:r>
          </w:p>
        </w:tc>
        <w:tc>
          <w:tcPr>
            <w:tcW w:w="1631"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满意度（10分）</w:t>
            </w: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color w:val="000000"/>
                <w:sz w:val="24"/>
                <w:szCs w:val="24"/>
              </w:rPr>
            </w:pPr>
            <w:r>
              <w:rPr>
                <w:rFonts w:hint="eastAsia" w:ascii="宋体" w:hAnsi="宋体" w:cs="宋体"/>
                <w:color w:val="000000"/>
                <w:kern w:val="0"/>
                <w:sz w:val="24"/>
                <w:szCs w:val="24"/>
                <w:lang w:bidi="ar"/>
              </w:rPr>
              <w:t>满意度（10分）</w:t>
            </w:r>
          </w:p>
        </w:tc>
      </w:tr>
      <w:tr>
        <w:tblPrEx>
          <w:tblCellMar>
            <w:top w:w="0" w:type="dxa"/>
            <w:left w:w="108" w:type="dxa"/>
            <w:bottom w:w="0" w:type="dxa"/>
            <w:right w:w="108" w:type="dxa"/>
          </w:tblCellMar>
        </w:tblPrEx>
        <w:trPr>
          <w:trHeight w:val="577" w:hRule="atLeast"/>
          <w:jc w:val="center"/>
        </w:trPr>
        <w:tc>
          <w:tcPr>
            <w:tcW w:w="103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总分</w:t>
            </w:r>
          </w:p>
        </w:tc>
        <w:tc>
          <w:tcPr>
            <w:tcW w:w="1631"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jc w:val="center"/>
              <w:textAlignment w:val="center"/>
              <w:rPr>
                <w:rFonts w:hint="eastAsia" w:ascii="宋体" w:hAnsi="宋体" w:cs="宋体"/>
                <w:b/>
                <w:bCs/>
                <w:color w:val="000000"/>
                <w:sz w:val="24"/>
                <w:szCs w:val="24"/>
              </w:rPr>
            </w:pPr>
            <w:r>
              <w:rPr>
                <w:rFonts w:hint="eastAsia" w:ascii="宋体" w:hAnsi="宋体" w:cs="宋体"/>
                <w:b/>
                <w:bCs/>
                <w:color w:val="000000"/>
                <w:kern w:val="0"/>
                <w:sz w:val="24"/>
                <w:szCs w:val="24"/>
                <w:lang w:bidi="ar"/>
              </w:rPr>
              <w:t>100分</w:t>
            </w:r>
          </w:p>
        </w:tc>
        <w:tc>
          <w:tcPr>
            <w:tcW w:w="2330"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jc w:val="center"/>
              <w:rPr>
                <w:rFonts w:hint="eastAsia" w:ascii="宋体" w:hAnsi="宋体" w:cs="宋体"/>
                <w:b/>
                <w:bCs/>
                <w:color w:val="000000"/>
                <w:sz w:val="24"/>
                <w:szCs w:val="24"/>
              </w:rPr>
            </w:pPr>
          </w:p>
        </w:tc>
      </w:tr>
    </w:tbl>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（3）评价等级</w:t>
      </w:r>
    </w:p>
    <w:p>
      <w:pPr>
        <w:widowControl/>
        <w:spacing w:line="560" w:lineRule="exact"/>
        <w:ind w:firstLine="640" w:firstLineChars="200"/>
        <w:jc w:val="left"/>
        <w:rPr>
          <w:rFonts w:hint="eastAsia" w:ascii="仿宋" w:hAnsi="仿宋" w:eastAsia="仿宋" w:cs="仿宋"/>
          <w:sz w:val="32"/>
          <w:szCs w:val="32"/>
        </w:rPr>
      </w:pPr>
      <w:r>
        <w:rPr>
          <w:rFonts w:hint="eastAsia" w:ascii="仿宋" w:hAnsi="仿宋" w:eastAsia="仿宋" w:cs="仿宋"/>
          <w:sz w:val="32"/>
          <w:szCs w:val="32"/>
        </w:rPr>
        <w:t>根据</w:t>
      </w:r>
      <w:r>
        <w:rPr>
          <w:rFonts w:hint="eastAsia" w:ascii="仿宋" w:hAnsi="仿宋" w:eastAsia="仿宋" w:cs="仿宋"/>
          <w:color w:val="000000"/>
          <w:kern w:val="0"/>
          <w:sz w:val="32"/>
          <w:szCs w:val="32"/>
          <w:lang w:bidi="ar"/>
        </w:rPr>
        <w:t>财政部关于预算绩效管理工作的规定</w:t>
      </w:r>
      <w:r>
        <w:rPr>
          <w:rFonts w:hint="eastAsia" w:ascii="仿宋" w:hAnsi="仿宋" w:eastAsia="仿宋" w:cs="仿宋"/>
          <w:sz w:val="32"/>
          <w:szCs w:val="32"/>
        </w:rPr>
        <w:t>文件规定，</w:t>
      </w:r>
      <w:r>
        <w:rPr>
          <w:rFonts w:hint="eastAsia" w:ascii="仿宋" w:hAnsi="仿宋" w:eastAsia="仿宋" w:cs="仿宋"/>
          <w:sz w:val="32"/>
          <w:szCs w:val="32"/>
          <w:lang w:val="en-US" w:eastAsia="zh-CN"/>
        </w:rPr>
        <w:t>本次</w:t>
      </w:r>
      <w:r>
        <w:rPr>
          <w:rFonts w:hint="eastAsia" w:ascii="仿宋" w:hAnsi="仿宋" w:eastAsia="仿宋" w:cs="仿宋"/>
          <w:sz w:val="32"/>
          <w:szCs w:val="32"/>
        </w:rPr>
        <w:t>绩效评价结果量化为百分制综合评分，并按照综合评分进行分级。</w:t>
      </w:r>
      <w:r>
        <w:rPr>
          <w:rFonts w:hint="eastAsia" w:ascii="仿宋" w:hAnsi="仿宋" w:eastAsia="仿宋" w:cs="仿宋"/>
          <w:color w:val="000000"/>
          <w:kern w:val="0"/>
          <w:sz w:val="32"/>
          <w:szCs w:val="32"/>
          <w:lang w:bidi="ar"/>
        </w:rPr>
        <w:t>绩效评价结果分4个等级：</w:t>
      </w:r>
    </w:p>
    <w:p>
      <w:pPr>
        <w:widowControl/>
        <w:spacing w:line="560" w:lineRule="exact"/>
        <w:ind w:firstLine="640" w:firstLineChars="200"/>
        <w:jc w:val="left"/>
        <w:rPr>
          <w:rFonts w:hint="eastAsia" w:ascii="仿宋" w:hAnsi="仿宋" w:eastAsia="仿宋" w:cs="仿宋"/>
          <w:sz w:val="32"/>
          <w:szCs w:val="32"/>
        </w:rPr>
      </w:pPr>
      <w:r>
        <w:rPr>
          <w:rFonts w:hint="eastAsia" w:ascii="仿宋" w:hAnsi="仿宋" w:eastAsia="仿宋" w:cs="仿宋"/>
          <w:color w:val="000000"/>
          <w:kern w:val="0"/>
          <w:sz w:val="32"/>
          <w:szCs w:val="32"/>
          <w:lang w:bidi="ar"/>
        </w:rPr>
        <w:t>综合得分在90（含）-100分为“优”；</w:t>
      </w:r>
    </w:p>
    <w:p>
      <w:pPr>
        <w:widowControl/>
        <w:spacing w:line="560" w:lineRule="exact"/>
        <w:ind w:firstLine="640" w:firstLineChars="200"/>
        <w:jc w:val="left"/>
        <w:rPr>
          <w:rFonts w:hint="eastAsia" w:ascii="仿宋" w:hAnsi="仿宋" w:eastAsia="仿宋" w:cs="仿宋"/>
          <w:sz w:val="32"/>
          <w:szCs w:val="32"/>
        </w:rPr>
      </w:pPr>
      <w:r>
        <w:rPr>
          <w:rFonts w:hint="eastAsia" w:ascii="仿宋" w:hAnsi="仿宋" w:eastAsia="仿宋" w:cs="仿宋"/>
          <w:color w:val="000000"/>
          <w:kern w:val="0"/>
          <w:sz w:val="32"/>
          <w:szCs w:val="32"/>
          <w:lang w:bidi="ar"/>
        </w:rPr>
        <w:t>综合得分在80（含）-90分为“良”；</w:t>
      </w:r>
    </w:p>
    <w:p>
      <w:pPr>
        <w:widowControl/>
        <w:spacing w:line="560" w:lineRule="exact"/>
        <w:ind w:firstLine="640" w:firstLineChars="200"/>
        <w:jc w:val="left"/>
        <w:rPr>
          <w:rFonts w:hint="eastAsia" w:ascii="仿宋" w:hAnsi="仿宋" w:eastAsia="仿宋" w:cs="仿宋"/>
          <w:sz w:val="32"/>
          <w:szCs w:val="32"/>
        </w:rPr>
      </w:pPr>
      <w:r>
        <w:rPr>
          <w:rFonts w:hint="eastAsia" w:ascii="仿宋" w:hAnsi="仿宋" w:eastAsia="仿宋" w:cs="仿宋"/>
          <w:color w:val="000000"/>
          <w:kern w:val="0"/>
          <w:sz w:val="32"/>
          <w:szCs w:val="32"/>
          <w:lang w:bidi="ar"/>
        </w:rPr>
        <w:t>综合得分在60（含）-80分为“中”；</w:t>
      </w:r>
    </w:p>
    <w:p>
      <w:pPr>
        <w:widowControl/>
        <w:spacing w:line="560" w:lineRule="exact"/>
        <w:ind w:firstLine="640" w:firstLineChars="200"/>
        <w:jc w:val="left"/>
        <w:rPr>
          <w:rFonts w:hint="eastAsia" w:ascii="仿宋" w:hAnsi="仿宋" w:eastAsia="仿宋" w:cs="仿宋"/>
          <w:sz w:val="32"/>
          <w:szCs w:val="32"/>
        </w:rPr>
      </w:pPr>
      <w:r>
        <w:rPr>
          <w:rFonts w:hint="eastAsia" w:ascii="仿宋" w:hAnsi="仿宋" w:eastAsia="仿宋" w:cs="仿宋"/>
          <w:color w:val="000000"/>
          <w:kern w:val="0"/>
          <w:sz w:val="32"/>
          <w:szCs w:val="32"/>
          <w:lang w:bidi="ar"/>
        </w:rPr>
        <w:t>综合得分在60分以下为“差”。</w:t>
      </w:r>
    </w:p>
    <w:p>
      <w:pPr>
        <w:pStyle w:val="3"/>
        <w:ind w:firstLine="643"/>
      </w:pPr>
      <w:bookmarkStart w:id="565" w:name="_Toc136351484"/>
      <w:bookmarkStart w:id="566" w:name="_Toc15335"/>
      <w:r>
        <w:rPr>
          <w:rFonts w:hint="eastAsia"/>
        </w:rPr>
        <w:t>（三）本次绩效评价的程序</w:t>
      </w:r>
      <w:bookmarkEnd w:id="565"/>
      <w:bookmarkEnd w:id="566"/>
    </w:p>
    <w:p>
      <w:pPr>
        <w:pStyle w:val="4"/>
        <w:ind w:firstLine="643"/>
      </w:pPr>
      <w:bookmarkStart w:id="567" w:name="_Toc136351485"/>
      <w:r>
        <w:rPr>
          <w:rFonts w:hint="eastAsia"/>
        </w:rPr>
        <w:t>1.进驻单位，初步沟通</w:t>
      </w:r>
      <w:bookmarkEnd w:id="567"/>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绩效评价工作组按遂宁高新区财政金融局要求进驻被评价单位，参与现场评价工作会议，听取高新区城乡统筹与社会保障服务中心对征地拆迁工作经费项目的目标设定及完成情况，组织管理制度建立健全及落实情况，预算支出执行情况，财务管理状况，资产管理情况和预算支出执行产生的效益效果等情况介绍。初步了解项目整体进展情况并实地制定评价工作具体方案。</w:t>
      </w:r>
    </w:p>
    <w:p>
      <w:pPr>
        <w:pStyle w:val="4"/>
        <w:ind w:firstLine="643"/>
      </w:pPr>
      <w:r>
        <w:rPr>
          <w:rFonts w:hint="eastAsia"/>
        </w:rPr>
        <w:t>2.收集资料，复核分析</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对被评价单位提供的有关财务资料进行查阅，核实其真实性。包括：财务报表与总账、明细账核对，明细账和记账凭证核对，记账凭证和后附附件的核对，检查账务处理的</w:t>
      </w:r>
      <w:r>
        <w:rPr>
          <w:rFonts w:hint="eastAsia" w:ascii="仿宋" w:hAnsi="仿宋" w:eastAsia="仿宋" w:cs="仿宋"/>
          <w:sz w:val="32"/>
          <w:szCs w:val="32"/>
          <w:lang w:val="en-US" w:eastAsia="zh-CN"/>
        </w:rPr>
        <w:t>规范性</w:t>
      </w:r>
      <w:r>
        <w:rPr>
          <w:rFonts w:hint="eastAsia" w:ascii="仿宋" w:hAnsi="仿宋" w:eastAsia="仿宋" w:cs="仿宋"/>
          <w:sz w:val="32"/>
          <w:szCs w:val="32"/>
        </w:rPr>
        <w:t>；检查工作经费收支数据，与财务资料比对复核，核实资金下达与资金拨付手续；检查征地拆迁工作经费各项管理制度设置的完善性和合理性，落实制度的实际运行状况；检查各项收支审批程序、核实资金是否按来源和预算用途规范管理和运用；检查项目进度和完工资料，核实项目产出的数量、质量及检验验收情况。</w:t>
      </w:r>
    </w:p>
    <w:p>
      <w:pPr>
        <w:pStyle w:val="4"/>
        <w:ind w:firstLine="643"/>
      </w:pPr>
      <w:r>
        <w:rPr>
          <w:rFonts w:hint="eastAsia"/>
        </w:rPr>
        <w:t>3.实地查看，现场评价</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评价组经过现场查看翻阅的项目资料和查看财务账目情况，在项目单位带领下到项目地，实地查看项目的实际完成状态和规模，观察项目现场管理状态，查验项目实施的真实性和规范性。</w:t>
      </w:r>
    </w:p>
    <w:p>
      <w:pPr>
        <w:pStyle w:val="4"/>
        <w:ind w:firstLine="643"/>
      </w:pPr>
      <w:r>
        <w:rPr>
          <w:rFonts w:hint="eastAsia"/>
        </w:rPr>
        <w:t>4.发放调查问卷</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对项目实施情况公众满意度情况进行调查，对具有明确受益对象的评价项目，根据需要收集的评价数据设置调查表并认真做好调查表的发放与回收工作。对回收问卷进行科学统计分析，并通过统计结果分析原因，评价其对项目绩效成果的影响程度。</w:t>
      </w:r>
    </w:p>
    <w:p>
      <w:pPr>
        <w:pStyle w:val="4"/>
        <w:ind w:firstLine="643"/>
      </w:pPr>
      <w:r>
        <w:rPr>
          <w:rFonts w:hint="eastAsia"/>
        </w:rPr>
        <w:t>5.综合分析，客观评价</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根据核实的情况，独立、客观、公正地开展现场评价工作，认真填写现场评价工作底稿，对提供的材料及自评报告，结合现场评价情况进行综合分析重点逐项分析评价项目目标设置情况；项目决策情况；资金管理情况；项目申报、评审情况；资金下达情况；资金使用情况；绩效目标产出完成情况；项目资金使用绩效情况。对各项指标对比分析和归纳总结，初步形成项目综合评价。</w:t>
      </w:r>
    </w:p>
    <w:p>
      <w:pPr>
        <w:pStyle w:val="4"/>
        <w:ind w:firstLine="643"/>
      </w:pPr>
      <w:bookmarkStart w:id="568" w:name="_Toc136351490"/>
      <w:r>
        <w:rPr>
          <w:rFonts w:hint="eastAsia"/>
        </w:rPr>
        <w:t>6.沟通说明，现场评分</w:t>
      </w:r>
      <w:bookmarkEnd w:id="568"/>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针对分析、评价中发现的情况与被评价单位沟通，获取被评价单位的书面情况说明。评价组对各项评价指标进行分析讨论，经反复分析、研究，按预先设计的评价指标体系进行现场评价打分。</w:t>
      </w:r>
    </w:p>
    <w:p>
      <w:pPr>
        <w:pStyle w:val="4"/>
        <w:ind w:firstLine="643"/>
      </w:pPr>
      <w:bookmarkStart w:id="569" w:name="_Toc136351491"/>
      <w:r>
        <w:rPr>
          <w:rFonts w:hint="eastAsia"/>
        </w:rPr>
        <w:t>7.绩效评价报告</w:t>
      </w:r>
      <w:bookmarkEnd w:id="569"/>
    </w:p>
    <w:p>
      <w:pPr>
        <w:pStyle w:val="5"/>
        <w:spacing w:after="0"/>
        <w:ind w:firstLine="643"/>
        <w:rPr>
          <w:rFonts w:hint="eastAsia"/>
        </w:rPr>
      </w:pPr>
      <w:r>
        <w:rPr>
          <w:rFonts w:hint="eastAsia"/>
        </w:rPr>
        <w:t>（1）撰写绩效评价报告</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绩效评价报告的具体格式由遂宁高新区财政金融局统一制定，绩效评价人员按照规定的文本格式和协议要求撰写绩效评价报告，做到依据充分、数据真实、内容完整、客观公正、结论明确、建议可行。</w:t>
      </w:r>
    </w:p>
    <w:p>
      <w:pPr>
        <w:pStyle w:val="5"/>
        <w:spacing w:after="0"/>
        <w:ind w:firstLine="643"/>
        <w:rPr>
          <w:rFonts w:hint="eastAsia"/>
        </w:rPr>
      </w:pPr>
      <w:r>
        <w:rPr>
          <w:rFonts w:hint="eastAsia"/>
        </w:rPr>
        <w:t>（2）绩效评价报告交换意见</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绩效评价报告初稿完成后，由遂宁高新区财政金融局牵头，与被评价单位就报告初稿进行沟通，交换意见。根据反馈的有效意见对评价报告进行修改。如对评价报告存在意见分歧，经协商仍不能取得一致的，评价组在出具正式绩效评价报告时须同时提交被评价单位的不同意见。</w:t>
      </w:r>
    </w:p>
    <w:p>
      <w:pPr>
        <w:pStyle w:val="5"/>
        <w:spacing w:after="0"/>
        <w:ind w:firstLine="643"/>
        <w:rPr>
          <w:rFonts w:hint="eastAsia"/>
        </w:rPr>
      </w:pPr>
      <w:r>
        <w:rPr>
          <w:rFonts w:hint="eastAsia"/>
        </w:rPr>
        <w:t>（3）提交绩效评价报告</w:t>
      </w:r>
      <w:bookmarkStart w:id="570" w:name="_Toc28013"/>
      <w:bookmarkStart w:id="571" w:name="_Toc25733"/>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绩效评价报告在规定时间内、按照规定的格式、要求，提交遂宁高新区财政金融局。</w:t>
      </w:r>
      <w:bookmarkEnd w:id="570"/>
      <w:bookmarkEnd w:id="571"/>
      <w:bookmarkStart w:id="572" w:name="_Toc116344524"/>
    </w:p>
    <w:p>
      <w:pPr>
        <w:pStyle w:val="2"/>
        <w:ind w:firstLine="643"/>
      </w:pPr>
      <w:bookmarkStart w:id="573" w:name="_Toc13646"/>
      <w:r>
        <w:rPr>
          <w:rFonts w:hint="eastAsia"/>
        </w:rPr>
        <w:t>三、综合评价情况及评价结论</w:t>
      </w:r>
      <w:bookmarkEnd w:id="572"/>
      <w:bookmarkEnd w:id="573"/>
      <w:bookmarkStart w:id="574" w:name="_Toc21967"/>
      <w:bookmarkStart w:id="575" w:name="_Toc12385"/>
      <w:bookmarkStart w:id="576" w:name="_Hlk110873017"/>
    </w:p>
    <w:bookmarkEnd w:id="574"/>
    <w:bookmarkEnd w:id="575"/>
    <w:p>
      <w:pPr>
        <w:spacing w:line="560" w:lineRule="exact"/>
        <w:ind w:firstLine="640" w:firstLineChars="200"/>
        <w:rPr>
          <w:rFonts w:hint="eastAsia" w:ascii="仿宋" w:hAnsi="仿宋" w:eastAsia="仿宋" w:cs="仿宋"/>
          <w:sz w:val="32"/>
          <w:szCs w:val="32"/>
        </w:rPr>
      </w:pPr>
      <w:r>
        <w:rPr>
          <w:rFonts w:hint="eastAsia" w:ascii="仿宋" w:hAnsi="仿宋" w:eastAsia="仿宋" w:cs="仿宋"/>
          <w:color w:val="000000"/>
          <w:sz w:val="32"/>
          <w:szCs w:val="32"/>
        </w:rPr>
        <w:t>通过对资料查阅、分析和现场调研及综合分析，高新区</w:t>
      </w:r>
      <w:r>
        <w:rPr>
          <w:rFonts w:hint="eastAsia" w:ascii="仿宋" w:hAnsi="仿宋" w:eastAsia="仿宋" w:cs="仿宋"/>
          <w:sz w:val="32"/>
          <w:szCs w:val="32"/>
        </w:rPr>
        <w:t>城乡统筹与社会保障服务中心征地拆迁工作经费项目立项充分，符合城区发展需要和政策要求。项目实施内容与职责相匹配，征地拆迁工作属于城乡保障职责范围。项目立项程序合规，手续齐全，但在监管方面仍存在一些问题，有待加强。</w:t>
      </w:r>
      <w:r>
        <w:rPr>
          <w:rFonts w:hint="eastAsia" w:ascii="仿宋" w:hAnsi="仿宋" w:eastAsia="仿宋"/>
          <w:sz w:val="32"/>
          <w:szCs w:val="32"/>
        </w:rPr>
        <w:t>项目绩效目标与工作经费内容相关联，总体能够做到科学合理设置，能达到细化量化、可衡量的标准，基本满足绩效管理要求。</w:t>
      </w:r>
      <w:r>
        <w:rPr>
          <w:rFonts w:hint="eastAsia" w:ascii="仿宋" w:hAnsi="仿宋" w:eastAsia="仿宋" w:cs="仿宋"/>
          <w:sz w:val="32"/>
          <w:szCs w:val="32"/>
        </w:rPr>
        <w:t>资金指标已全部下达，资金已全部使用，但部分资金未用于征地拆迁工作，征地拆迁项目资金使用率为63.76%。项</w:t>
      </w:r>
      <w:r>
        <w:rPr>
          <w:rFonts w:hint="eastAsia" w:ascii="仿宋" w:hAnsi="仿宋" w:eastAsia="仿宋"/>
          <w:sz w:val="32"/>
          <w:szCs w:val="32"/>
        </w:rPr>
        <w:t>目资金的使用总体符合国家财经法规和财务管理制度以及有关专项资金管理办法的规定，未发现截留、挤占、挪用、虚列支出等情况。项目已于2023年12月全部完成，</w:t>
      </w:r>
      <w:r>
        <w:rPr>
          <w:rFonts w:hint="eastAsia" w:ascii="仿宋" w:hAnsi="仿宋" w:eastAsia="仿宋" w:cs="仿宋"/>
          <w:sz w:val="32"/>
          <w:szCs w:val="32"/>
        </w:rPr>
        <w:t>目前来看项目已经兼具社会、经济效益和生态效益。</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经绩效评价组从过程指标、产出指标、效益指标、满意度指标四方面进行综合评议，本项目绩效评价综合评分为87.50分，综合绩效评定结论为“良”。</w:t>
      </w:r>
    </w:p>
    <w:p>
      <w:pPr>
        <w:widowControl/>
        <w:spacing w:before="156" w:beforeLines="50" w:after="156" w:afterLines="50"/>
        <w:jc w:val="center"/>
        <w:rPr>
          <w:rFonts w:hint="eastAsia" w:ascii="宋体" w:hAnsi="宋体" w:cs="宋体"/>
          <w:b/>
          <w:bCs/>
          <w:sz w:val="28"/>
          <w:szCs w:val="28"/>
        </w:rPr>
      </w:pPr>
      <w:r>
        <w:rPr>
          <w:rFonts w:hint="eastAsia" w:ascii="宋体" w:hAnsi="宋体" w:cs="宋体"/>
          <w:b/>
          <w:bCs/>
          <w:sz w:val="28"/>
          <w:szCs w:val="28"/>
        </w:rPr>
        <w:t>绩效评价分值表</w:t>
      </w:r>
    </w:p>
    <w:bookmarkEnd w:id="576"/>
    <w:tbl>
      <w:tblPr>
        <w:tblStyle w:val="1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0"/>
        <w:gridCol w:w="1991"/>
        <w:gridCol w:w="2550"/>
        <w:gridCol w:w="19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68"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bookmarkStart w:id="577" w:name="_Toc116344525"/>
            <w:r>
              <w:rPr>
                <w:rFonts w:hint="eastAsia" w:ascii="宋体" w:hAnsi="宋体" w:cs="宋体"/>
                <w:b/>
                <w:bCs/>
                <w:color w:val="000000"/>
                <w:kern w:val="0"/>
                <w:sz w:val="24"/>
                <w:szCs w:val="24"/>
              </w:rPr>
              <w:t>项目</w:t>
            </w:r>
          </w:p>
        </w:tc>
        <w:tc>
          <w:tcPr>
            <w:tcW w:w="1168"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r>
              <w:rPr>
                <w:rFonts w:hint="eastAsia" w:ascii="宋体" w:hAnsi="宋体" w:cs="宋体"/>
                <w:b/>
                <w:bCs/>
                <w:color w:val="000000"/>
                <w:kern w:val="0"/>
                <w:sz w:val="24"/>
                <w:szCs w:val="24"/>
              </w:rPr>
              <w:t>分值</w:t>
            </w:r>
          </w:p>
        </w:tc>
        <w:tc>
          <w:tcPr>
            <w:tcW w:w="1496"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r>
              <w:rPr>
                <w:rFonts w:hint="eastAsia" w:ascii="宋体" w:hAnsi="宋体" w:cs="宋体"/>
                <w:b/>
                <w:bCs/>
                <w:color w:val="000000"/>
                <w:kern w:val="0"/>
                <w:sz w:val="24"/>
                <w:szCs w:val="24"/>
              </w:rPr>
              <w:t>得分</w:t>
            </w:r>
          </w:p>
        </w:tc>
        <w:tc>
          <w:tcPr>
            <w:tcW w:w="1168"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r>
              <w:rPr>
                <w:rFonts w:hint="eastAsia" w:ascii="宋体" w:hAnsi="宋体" w:cs="宋体"/>
                <w:b/>
                <w:bCs/>
                <w:color w:val="000000"/>
                <w:kern w:val="0"/>
                <w:sz w:val="24"/>
                <w:szCs w:val="24"/>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过程</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20.00</w:t>
            </w:r>
          </w:p>
        </w:tc>
        <w:tc>
          <w:tcPr>
            <w:tcW w:w="1496"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12.80</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64.00%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产出</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40.00</w:t>
            </w:r>
          </w:p>
        </w:tc>
        <w:tc>
          <w:tcPr>
            <w:tcW w:w="1496"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38.00</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95.00%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效益</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30.00</w:t>
            </w:r>
          </w:p>
        </w:tc>
        <w:tc>
          <w:tcPr>
            <w:tcW w:w="1496"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30.00</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满意度</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10.00</w:t>
            </w:r>
          </w:p>
        </w:tc>
        <w:tc>
          <w:tcPr>
            <w:tcW w:w="1496"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6.70</w:t>
            </w:r>
          </w:p>
        </w:tc>
        <w:tc>
          <w:tcPr>
            <w:tcW w:w="1168" w:type="pct"/>
            <w:shd w:val="clear" w:color="auto" w:fill="auto"/>
            <w:noWrap/>
            <w:vAlign w:val="center"/>
          </w:tcPr>
          <w:p>
            <w:pPr>
              <w:widowControl/>
              <w:spacing w:line="240" w:lineRule="auto"/>
              <w:jc w:val="center"/>
              <w:rPr>
                <w:rFonts w:hint="eastAsia" w:ascii="宋体" w:hAnsi="宋体" w:cs="宋体"/>
                <w:color w:val="000000"/>
                <w:kern w:val="0"/>
                <w:sz w:val="24"/>
                <w:szCs w:val="24"/>
              </w:rPr>
            </w:pPr>
            <w:r>
              <w:rPr>
                <w:rFonts w:hint="eastAsia" w:ascii="宋体" w:hAnsi="宋体" w:cs="宋体"/>
                <w:color w:val="000000"/>
                <w:kern w:val="0"/>
                <w:sz w:val="24"/>
                <w:szCs w:val="24"/>
              </w:rPr>
              <w:t>67.00%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168"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r>
              <w:rPr>
                <w:rFonts w:hint="eastAsia" w:ascii="宋体" w:hAnsi="宋体" w:cs="宋体"/>
                <w:b/>
                <w:bCs/>
                <w:color w:val="000000"/>
                <w:kern w:val="0"/>
                <w:sz w:val="24"/>
                <w:szCs w:val="24"/>
              </w:rPr>
              <w:t>合计</w:t>
            </w:r>
          </w:p>
        </w:tc>
        <w:tc>
          <w:tcPr>
            <w:tcW w:w="1168"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r>
              <w:rPr>
                <w:rFonts w:hint="eastAsia" w:ascii="宋体" w:hAnsi="宋体" w:cs="宋体"/>
                <w:b/>
                <w:bCs/>
                <w:color w:val="000000"/>
                <w:kern w:val="0"/>
                <w:sz w:val="24"/>
                <w:szCs w:val="24"/>
              </w:rPr>
              <w:t>100.00</w:t>
            </w:r>
          </w:p>
        </w:tc>
        <w:tc>
          <w:tcPr>
            <w:tcW w:w="1496"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r>
              <w:rPr>
                <w:rFonts w:hint="eastAsia" w:ascii="宋体" w:hAnsi="宋体" w:cs="宋体"/>
                <w:b/>
                <w:bCs/>
                <w:color w:val="000000"/>
                <w:kern w:val="0"/>
                <w:sz w:val="24"/>
                <w:szCs w:val="24"/>
              </w:rPr>
              <w:t>87.50</w:t>
            </w:r>
          </w:p>
        </w:tc>
        <w:tc>
          <w:tcPr>
            <w:tcW w:w="1168" w:type="pct"/>
            <w:shd w:val="clear" w:color="auto" w:fill="auto"/>
            <w:noWrap/>
            <w:vAlign w:val="center"/>
          </w:tcPr>
          <w:p>
            <w:pPr>
              <w:widowControl/>
              <w:spacing w:line="240" w:lineRule="auto"/>
              <w:jc w:val="center"/>
              <w:rPr>
                <w:rFonts w:hint="eastAsia" w:ascii="宋体" w:hAnsi="宋体" w:cs="宋体"/>
                <w:b/>
                <w:bCs/>
                <w:color w:val="000000"/>
                <w:kern w:val="0"/>
                <w:sz w:val="24"/>
                <w:szCs w:val="24"/>
              </w:rPr>
            </w:pPr>
            <w:r>
              <w:rPr>
                <w:rFonts w:hint="eastAsia" w:ascii="宋体" w:hAnsi="宋体" w:cs="宋体"/>
                <w:b/>
                <w:bCs/>
                <w:color w:val="000000"/>
                <w:kern w:val="0"/>
                <w:sz w:val="24"/>
                <w:szCs w:val="24"/>
              </w:rPr>
              <w:t>87.50%</w:t>
            </w:r>
          </w:p>
        </w:tc>
      </w:tr>
      <w:bookmarkEnd w:id="577"/>
    </w:tbl>
    <w:p>
      <w:pPr>
        <w:pStyle w:val="2"/>
        <w:ind w:firstLine="643"/>
      </w:pPr>
      <w:bookmarkStart w:id="578" w:name="_Toc136351493"/>
      <w:bookmarkStart w:id="579" w:name="_Toc23399"/>
      <w:r>
        <w:rPr>
          <w:rFonts w:hint="eastAsia"/>
        </w:rPr>
        <w:t>四、绩效评价指标分析</w:t>
      </w:r>
      <w:bookmarkEnd w:id="578"/>
      <w:bookmarkEnd w:id="579"/>
      <w:bookmarkStart w:id="580" w:name="_Toc136351494"/>
    </w:p>
    <w:p>
      <w:pPr>
        <w:pStyle w:val="3"/>
        <w:ind w:firstLine="643"/>
      </w:pPr>
      <w:bookmarkStart w:id="581" w:name="_Toc32543"/>
      <w:r>
        <w:rPr>
          <w:rFonts w:hint="eastAsia"/>
        </w:rPr>
        <w:t>（一）项目过程情况</w:t>
      </w:r>
      <w:bookmarkEnd w:id="580"/>
      <w:bookmarkEnd w:id="581"/>
    </w:p>
    <w:p>
      <w:pPr>
        <w:pStyle w:val="4"/>
        <w:ind w:firstLine="643"/>
      </w:pPr>
      <w:bookmarkStart w:id="582" w:name="_Toc129683104"/>
      <w:bookmarkStart w:id="583" w:name="_Toc129682493"/>
      <w:bookmarkStart w:id="584" w:name="_Toc136351495"/>
      <w:r>
        <w:rPr>
          <w:rFonts w:hint="eastAsia"/>
        </w:rPr>
        <w:t>1.项目</w:t>
      </w:r>
      <w:bookmarkEnd w:id="582"/>
      <w:bookmarkEnd w:id="583"/>
      <w:r>
        <w:rPr>
          <w:rFonts w:hint="eastAsia"/>
        </w:rPr>
        <w:t>决策</w:t>
      </w:r>
      <w:bookmarkEnd w:id="584"/>
    </w:p>
    <w:p>
      <w:pPr>
        <w:spacing w:line="560" w:lineRule="exact"/>
        <w:ind w:firstLine="640" w:firstLineChars="200"/>
        <w:rPr>
          <w:rFonts w:hint="eastAsia" w:ascii="仿宋" w:hAnsi="仿宋" w:eastAsia="仿宋" w:cs="仿宋"/>
          <w:color w:val="000000"/>
          <w:kern w:val="0"/>
          <w:sz w:val="32"/>
          <w:szCs w:val="32"/>
          <w:lang w:bidi="ar"/>
        </w:rPr>
      </w:pPr>
      <w:r>
        <w:rPr>
          <w:rFonts w:hint="eastAsia" w:ascii="仿宋" w:hAnsi="仿宋" w:eastAsia="仿宋" w:cs="仿宋"/>
          <w:sz w:val="32"/>
          <w:szCs w:val="32"/>
        </w:rPr>
        <w:t>遂宁高新区城乡统筹与社会保障服务中心征地拆迁项目</w:t>
      </w:r>
      <w:r>
        <w:rPr>
          <w:rFonts w:hint="eastAsia" w:ascii="仿宋" w:hAnsi="仿宋" w:eastAsia="仿宋"/>
          <w:sz w:val="32"/>
          <w:szCs w:val="32"/>
        </w:rPr>
        <w:t>是贯彻</w:t>
      </w:r>
      <w:r>
        <w:rPr>
          <w:rFonts w:ascii="仿宋" w:hAnsi="仿宋" w:eastAsia="仿宋" w:cs="仿宋"/>
          <w:color w:val="000000"/>
          <w:kern w:val="0"/>
          <w:sz w:val="32"/>
          <w:szCs w:val="32"/>
          <w:lang w:bidi="ar"/>
        </w:rPr>
        <w:t>《遂宁市国民经济和社会发展第十四个五</w:t>
      </w:r>
      <w:r>
        <w:rPr>
          <w:rFonts w:hint="eastAsia" w:ascii="仿宋" w:hAnsi="仿宋" w:eastAsia="仿宋" w:cs="仿宋"/>
          <w:color w:val="000000"/>
          <w:kern w:val="0"/>
          <w:sz w:val="32"/>
          <w:szCs w:val="32"/>
          <w:lang w:bidi="ar"/>
        </w:rPr>
        <w:t>年规划纲要》的文件精神，</w:t>
      </w:r>
      <w:r>
        <w:rPr>
          <w:rFonts w:hint="eastAsia" w:ascii="仿宋" w:hAnsi="仿宋" w:eastAsia="仿宋"/>
          <w:sz w:val="32"/>
          <w:szCs w:val="32"/>
        </w:rPr>
        <w:t>项目立项内容与城乡保障中心“</w:t>
      </w:r>
      <w:r>
        <w:rPr>
          <w:rFonts w:hint="eastAsia" w:ascii="仿宋" w:hAnsi="仿宋" w:eastAsia="仿宋" w:cs="仿宋"/>
          <w:sz w:val="32"/>
          <w:szCs w:val="32"/>
        </w:rPr>
        <w:t>主要承担园区城乡统筹、新农村建设、乡村振兴、社会保障、医疗保障、劳动保障、就业促进、农民工服务、征地补偿、房屋征收与安置等方面的事务性工作</w:t>
      </w:r>
      <w:r>
        <w:rPr>
          <w:rFonts w:hint="eastAsia" w:ascii="仿宋" w:hAnsi="仿宋" w:eastAsia="仿宋"/>
          <w:sz w:val="32"/>
          <w:szCs w:val="32"/>
        </w:rPr>
        <w:t>”等职责内容相匹配，属于本部门职权内行政事项。项目按照规定向财政部门申报年度项目计划并报县政府批准。</w:t>
      </w:r>
      <w:r>
        <w:rPr>
          <w:rFonts w:hint="eastAsia" w:ascii="仿宋" w:hAnsi="仿宋" w:eastAsia="仿宋" w:cs="仿宋"/>
          <w:color w:val="000000"/>
          <w:kern w:val="0"/>
          <w:sz w:val="32"/>
          <w:szCs w:val="32"/>
          <w:lang w:bidi="ar"/>
        </w:rPr>
        <w:t>项目立项依据充分、过程规范，立项内容符合国家政策、发展规划要求；项目预算编制科学合理，预算内容符合项目实际需求，预算额度测算依据充分。</w:t>
      </w:r>
    </w:p>
    <w:p>
      <w:pPr>
        <w:widowControl/>
        <w:spacing w:line="560" w:lineRule="exact"/>
        <w:ind w:firstLine="640" w:firstLineChars="200"/>
        <w:rPr>
          <w:rFonts w:hint="eastAsia" w:ascii="仿宋" w:hAnsi="仿宋" w:eastAsia="仿宋"/>
          <w:sz w:val="32"/>
          <w:szCs w:val="32"/>
          <w:highlight w:val="yellow"/>
        </w:rPr>
      </w:pPr>
      <w:r>
        <w:rPr>
          <w:rFonts w:hint="eastAsia" w:ascii="仿宋" w:hAnsi="仿宋" w:eastAsia="仿宋"/>
          <w:sz w:val="32"/>
          <w:szCs w:val="32"/>
        </w:rPr>
        <w:t>项目绩效目标</w:t>
      </w:r>
      <w:r>
        <w:rPr>
          <w:rFonts w:hint="eastAsia" w:ascii="仿宋" w:hAnsi="仿宋" w:eastAsia="仿宋" w:cs="仿宋"/>
          <w:color w:val="000000"/>
          <w:kern w:val="0"/>
          <w:sz w:val="32"/>
          <w:szCs w:val="32"/>
          <w:lang w:bidi="ar"/>
        </w:rPr>
        <w:t>设置清晰、明确，预算绩效目标指标数值设置和考核存在不够科学合理之处。</w:t>
      </w:r>
      <w:r>
        <w:rPr>
          <w:rFonts w:hint="eastAsia" w:ascii="仿宋" w:hAnsi="仿宋" w:eastAsia="仿宋"/>
          <w:sz w:val="32"/>
          <w:szCs w:val="32"/>
        </w:rPr>
        <w:t>如质量指标：定向用于开展征地拆迁工作定性为优良差，只能反映工作经费用于征地拆迁工作，不能衡量征地拆迁工作完成情况；经济效益指标：资金使用无重大违规违纪问题小于1起，只能反映资金使用过程无重大违规违纪现象，未明确经济效益问题；时效指标：及时兑付资金=100%，未明确考核资金兑付及时性还是资金兑付率。</w:t>
      </w:r>
    </w:p>
    <w:p>
      <w:pPr>
        <w:pStyle w:val="4"/>
        <w:ind w:firstLine="643"/>
      </w:pPr>
      <w:r>
        <w:rPr>
          <w:rFonts w:hint="eastAsia"/>
        </w:rPr>
        <w:t>2.项目实施</w:t>
      </w:r>
    </w:p>
    <w:p>
      <w:pPr>
        <w:adjustRightInd w:val="0"/>
        <w:snapToGrid w:val="0"/>
        <w:spacing w:line="560" w:lineRule="exact"/>
        <w:ind w:firstLine="640" w:firstLineChars="200"/>
        <w:rPr>
          <w:rFonts w:hint="eastAsia" w:ascii="仿宋" w:hAnsi="仿宋" w:eastAsia="仿宋"/>
          <w:sz w:val="32"/>
          <w:szCs w:val="32"/>
        </w:rPr>
      </w:pPr>
      <w:r>
        <w:rPr>
          <w:rFonts w:hint="eastAsia" w:ascii="仿宋" w:hAnsi="仿宋" w:eastAsia="仿宋"/>
          <w:sz w:val="32"/>
          <w:szCs w:val="32"/>
        </w:rPr>
        <w:t>项目依法发布征地拆迁公告，执行评审程序。项目立项程序合规，立项申请批复资料完备，开工严格按照流程实施，执行了必要的监理程序，已完工项目执行验收程序，验收流程和验收文件合规。</w:t>
      </w:r>
    </w:p>
    <w:p>
      <w:pPr>
        <w:spacing w:line="560" w:lineRule="exact"/>
        <w:ind w:firstLine="640" w:firstLineChars="200"/>
        <w:rPr>
          <w:rFonts w:hint="eastAsia" w:ascii="仿宋" w:hAnsi="仿宋" w:eastAsia="仿宋" w:cs="仿宋"/>
          <w:color w:val="000000"/>
          <w:kern w:val="0"/>
          <w:sz w:val="32"/>
          <w:szCs w:val="32"/>
          <w:lang w:bidi="ar"/>
        </w:rPr>
      </w:pPr>
      <w:r>
        <w:rPr>
          <w:rFonts w:hint="eastAsia" w:ascii="仿宋" w:hAnsi="仿宋" w:eastAsia="仿宋" w:cs="仿宋"/>
          <w:color w:val="000000"/>
          <w:kern w:val="0"/>
          <w:sz w:val="32"/>
          <w:szCs w:val="32"/>
          <w:lang w:bidi="ar"/>
        </w:rPr>
        <w:t>项目过程执行较规范，资金管理制度健全，审批程序和手续完整。</w:t>
      </w:r>
      <w:r>
        <w:rPr>
          <w:rFonts w:hint="eastAsia" w:ascii="仿宋" w:hAnsi="仿宋" w:eastAsia="仿宋"/>
          <w:sz w:val="32"/>
          <w:szCs w:val="32"/>
        </w:rPr>
        <w:t>2023年度</w:t>
      </w:r>
      <w:r>
        <w:rPr>
          <w:rFonts w:hint="eastAsia" w:ascii="仿宋" w:hAnsi="仿宋" w:eastAsia="仿宋" w:cs="仿宋"/>
          <w:sz w:val="32"/>
          <w:szCs w:val="32"/>
        </w:rPr>
        <w:t>共计使用工作经费63.76万元，结余</w:t>
      </w:r>
      <w:r>
        <w:rPr>
          <w:rFonts w:hint="eastAsia" w:ascii="仿宋" w:hAnsi="仿宋" w:eastAsia="仿宋"/>
          <w:sz w:val="32"/>
          <w:szCs w:val="32"/>
        </w:rPr>
        <w:t>工作经费36.24万元上缴遂宁高新财政金融局。项目资金使用符合国家财经法规和财务管理制度及有关专项资金管理办法规定，资金拨付有完整的审批程序和手续，符合项目预算批复或合同规定用途，不存在截留、挤占、挪用、虚列支出等情况。</w:t>
      </w:r>
    </w:p>
    <w:p>
      <w:pPr>
        <w:pStyle w:val="4"/>
        <w:ind w:firstLine="643"/>
      </w:pPr>
      <w:r>
        <w:rPr>
          <w:rFonts w:hint="eastAsia"/>
        </w:rPr>
        <w:t>3.预算执行</w:t>
      </w:r>
    </w:p>
    <w:p>
      <w:pPr>
        <w:spacing w:line="560" w:lineRule="exact"/>
        <w:ind w:firstLine="640" w:firstLineChars="200"/>
        <w:rPr>
          <w:sz w:val="32"/>
          <w:szCs w:val="32"/>
        </w:rPr>
      </w:pPr>
      <w:r>
        <w:rPr>
          <w:rFonts w:hint="eastAsia" w:ascii="仿宋" w:hAnsi="仿宋" w:eastAsia="仿宋" w:cs="仿宋"/>
          <w:sz w:val="32"/>
          <w:szCs w:val="32"/>
        </w:rPr>
        <w:t>2023年初项目预算资金100.00万元，遂宁高新区财政金融局已下达</w:t>
      </w:r>
      <w:r>
        <w:rPr>
          <w:rFonts w:hint="eastAsia" w:ascii="仿宋" w:hAnsi="仿宋" w:eastAsia="仿宋" w:cs="仿宋"/>
          <w:kern w:val="0"/>
          <w:sz w:val="32"/>
          <w:szCs w:val="32"/>
        </w:rPr>
        <w:t>征地拆迁工作经费100.00万元。</w:t>
      </w:r>
      <w:r>
        <w:rPr>
          <w:rFonts w:hint="eastAsia" w:ascii="仿宋" w:hAnsi="仿宋" w:eastAsia="仿宋" w:cs="仿宋"/>
          <w:sz w:val="32"/>
          <w:szCs w:val="32"/>
        </w:rPr>
        <w:t>遂宁高新区城乡统筹与社会保障服务中心拨付街道办工作经费63.76万元，</w:t>
      </w:r>
      <w:r>
        <w:rPr>
          <w:rFonts w:hint="eastAsia" w:ascii="仿宋" w:hAnsi="仿宋" w:eastAsia="仿宋" w:cs="仿宋"/>
          <w:kern w:val="0"/>
          <w:sz w:val="32"/>
          <w:szCs w:val="32"/>
        </w:rPr>
        <w:t>预算执行率63.76%。</w:t>
      </w:r>
    </w:p>
    <w:p>
      <w:pPr>
        <w:spacing w:line="560" w:lineRule="exact"/>
        <w:ind w:firstLine="640" w:firstLineChars="200"/>
        <w:rPr>
          <w:rFonts w:hint="eastAsia" w:ascii="仿宋" w:hAnsi="仿宋" w:eastAsia="仿宋" w:cs="仿宋"/>
          <w:sz w:val="32"/>
          <w:szCs w:val="32"/>
        </w:rPr>
      </w:pPr>
      <w:r>
        <w:rPr>
          <w:rFonts w:hint="eastAsia" w:ascii="仿宋" w:hAnsi="仿宋" w:eastAsia="仿宋"/>
          <w:sz w:val="32"/>
          <w:szCs w:val="32"/>
        </w:rPr>
        <w:t>2023年度已</w:t>
      </w:r>
      <w:r>
        <w:rPr>
          <w:rFonts w:hint="eastAsia" w:ascii="仿宋" w:hAnsi="仿宋" w:eastAsia="仿宋" w:cs="仿宋"/>
          <w:sz w:val="32"/>
          <w:szCs w:val="32"/>
        </w:rPr>
        <w:t>拨付保升镇征地拆迁工作经费40.76万元，西宁街道征地拆迁工作经费23.00万元。共计使用工作经费63.76万元，资金使用率63.76%。</w:t>
      </w:r>
    </w:p>
    <w:p>
      <w:pPr>
        <w:spacing w:line="560" w:lineRule="exact"/>
        <w:ind w:firstLine="640" w:firstLineChars="200"/>
        <w:rPr>
          <w:rFonts w:hint="eastAsia" w:ascii="仿宋" w:hAnsi="仿宋" w:eastAsia="仿宋" w:cs="仿宋"/>
          <w:kern w:val="0"/>
          <w:sz w:val="32"/>
          <w:szCs w:val="32"/>
        </w:rPr>
      </w:pPr>
      <w:r>
        <w:rPr>
          <w:rFonts w:hint="eastAsia" w:ascii="仿宋" w:hAnsi="仿宋" w:eastAsia="仿宋" w:cs="仿宋"/>
          <w:kern w:val="0"/>
          <w:sz w:val="32"/>
          <w:szCs w:val="32"/>
        </w:rPr>
        <w:t>综上所述，过程指标总分20.00分，评价得分12.80分。</w:t>
      </w:r>
    </w:p>
    <w:p>
      <w:pPr>
        <w:pStyle w:val="3"/>
        <w:numPr>
          <w:ilvl w:val="0"/>
          <w:numId w:val="2"/>
        </w:numPr>
        <w:ind w:firstLine="643"/>
      </w:pPr>
      <w:bookmarkStart w:id="585" w:name="_Toc11035"/>
      <w:r>
        <w:rPr>
          <w:rFonts w:hint="eastAsia"/>
        </w:rPr>
        <w:t>项目产出情况</w:t>
      </w:r>
      <w:bookmarkEnd w:id="585"/>
    </w:p>
    <w:p>
      <w:pPr>
        <w:pStyle w:val="4"/>
        <w:ind w:firstLine="643"/>
      </w:pPr>
      <w:r>
        <w:rPr>
          <w:rFonts w:hint="eastAsia"/>
        </w:rPr>
        <w:t>1.数量指标</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截至2023年12月31日，遂宁高新区城乡统筹与社会保障服务中心征地拆迁工作经费所涉及项目已经全部完成，本次完成西宁街道福光庙村、联升村及经开区北固镇火把堰村拆迁土地面积609.08亩，西宁街道办事处福光庙8社拆迁面积约7500㎡，保升镇人民政府插板堰村4、5社征收土地1459.247㎡、房屋拆迁3.9万㎡等。</w:t>
      </w:r>
    </w:p>
    <w:p>
      <w:pPr>
        <w:pStyle w:val="4"/>
        <w:ind w:firstLine="643"/>
      </w:pPr>
      <w:r>
        <w:rPr>
          <w:rFonts w:hint="eastAsia"/>
        </w:rPr>
        <w:t>2.质量指标</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经查阅该项目相关文件资料及现场勘探，</w:t>
      </w:r>
      <w:r>
        <w:rPr>
          <w:rFonts w:hint="eastAsia" w:ascii="仿宋" w:hAnsi="仿宋" w:eastAsia="仿宋" w:cs="仿宋"/>
          <w:color w:val="000000" w:themeColor="text1"/>
          <w:sz w:val="32"/>
          <w:szCs w:val="32"/>
          <w14:textFill>
            <w14:solidFill>
              <w14:schemeClr w14:val="tx1"/>
            </w14:solidFill>
          </w14:textFill>
        </w:rPr>
        <w:t>单位</w:t>
      </w:r>
      <w:r>
        <w:rPr>
          <w:rFonts w:hint="eastAsia" w:ascii="仿宋" w:hAnsi="仿宋" w:eastAsia="仿宋" w:cs="仿宋"/>
          <w:sz w:val="32"/>
          <w:szCs w:val="32"/>
        </w:rPr>
        <w:t>对工程质量严格把关，针对发现的问题及时整改。项目单位依法履行竣工验收</w:t>
      </w:r>
      <w:r>
        <w:rPr>
          <w:rFonts w:hint="eastAsia" w:ascii="仿宋" w:hAnsi="仿宋" w:eastAsia="仿宋" w:cs="仿宋"/>
          <w:color w:val="000000" w:themeColor="text1"/>
          <w:sz w:val="32"/>
          <w:szCs w:val="32"/>
          <w14:textFill>
            <w14:solidFill>
              <w14:schemeClr w14:val="tx1"/>
            </w14:solidFill>
          </w14:textFill>
        </w:rPr>
        <w:t>手续，验收结论为“合格”，征地拆迁工作质量达标率100.00%。</w:t>
      </w:r>
    </w:p>
    <w:p>
      <w:pPr>
        <w:pStyle w:val="4"/>
        <w:ind w:firstLine="643"/>
      </w:pPr>
      <w:r>
        <w:rPr>
          <w:rFonts w:hint="eastAsia"/>
        </w:rPr>
        <w:t>3.成本指标</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2023年遂宁高新区城乡统筹与社会保障服务中心预算安排100.00万元，用于征地拆迁工作经费。</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保升镇完成插板堰4社征地工作802.23亩，按征地拆迁工作经费计算标准250.00元/亩，核算出征地拆迁工作经费20.06万元。林木工作中非耕地林木实际支出222.09万元，耕地林木实际支出73.66万元，按照实际支出金额的7%拨付工作经费，核算出应拨付工作经费20.70万元。遂宁高新区城乡统筹与社会保障服务中心于2023年1月8日拨付保升镇征地拆迁工作经费40.76万元。</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2023年11月16日拨付西宁街道申请的征地拆迁工作经费23.00万元。</w:t>
      </w:r>
    </w:p>
    <w:p>
      <w:pPr>
        <w:pStyle w:val="7"/>
        <w:spacing w:line="560" w:lineRule="exact"/>
        <w:ind w:firstLine="640" w:firstLineChars="200"/>
        <w:jc w:val="both"/>
        <w:rPr>
          <w:rFonts w:hint="eastAsia" w:ascii="仿宋" w:hAnsi="仿宋" w:eastAsia="仿宋" w:cs="仿宋"/>
          <w:sz w:val="32"/>
          <w:szCs w:val="32"/>
        </w:rPr>
      </w:pPr>
      <w:r>
        <w:rPr>
          <w:rFonts w:hint="eastAsia" w:ascii="仿宋" w:hAnsi="仿宋" w:eastAsia="仿宋" w:cs="仿宋"/>
          <w:sz w:val="32"/>
          <w:szCs w:val="32"/>
        </w:rPr>
        <w:t>2023年度共使用征地拆迁工作经费63.76万元，成本核算依据充分，成本控制良好。</w:t>
      </w:r>
    </w:p>
    <w:p>
      <w:pPr>
        <w:pStyle w:val="4"/>
        <w:ind w:firstLine="643"/>
      </w:pPr>
      <w:r>
        <w:rPr>
          <w:rFonts w:hint="eastAsia"/>
        </w:rPr>
        <w:t>4.时效指标</w:t>
      </w:r>
    </w:p>
    <w:p>
      <w:pPr>
        <w:pStyle w:val="6"/>
        <w:spacing w:line="560" w:lineRule="exact"/>
        <w:ind w:firstLine="640"/>
        <w:rPr>
          <w:rFonts w:hint="eastAsia" w:ascii="仿宋" w:hAnsi="仿宋" w:eastAsia="仿宋" w:cs="仿宋"/>
          <w:sz w:val="32"/>
          <w:szCs w:val="32"/>
        </w:rPr>
      </w:pPr>
      <w:r>
        <w:rPr>
          <w:rFonts w:hint="eastAsia" w:ascii="仿宋" w:hAnsi="仿宋" w:eastAsia="仿宋"/>
          <w:sz w:val="32"/>
          <w:szCs w:val="32"/>
        </w:rPr>
        <w:t>截至2023年底，征地拆迁工作已全部完工。但</w:t>
      </w:r>
      <w:r>
        <w:rPr>
          <w:rFonts w:hint="eastAsia" w:ascii="仿宋" w:hAnsi="仿宋" w:eastAsia="仿宋" w:cs="仿宋"/>
          <w:sz w:val="32"/>
          <w:szCs w:val="32"/>
        </w:rPr>
        <w:t>项目资金支付不及时，项目时效性不足。</w:t>
      </w:r>
    </w:p>
    <w:p>
      <w:pPr>
        <w:pStyle w:val="6"/>
        <w:spacing w:line="560" w:lineRule="exact"/>
        <w:ind w:firstLine="640"/>
        <w:rPr>
          <w:rFonts w:hint="eastAsia" w:ascii="仿宋" w:hAnsi="仿宋" w:eastAsia="仿宋" w:cs="仿宋"/>
          <w:sz w:val="32"/>
          <w:szCs w:val="32"/>
        </w:rPr>
      </w:pPr>
      <w:r>
        <w:rPr>
          <w:rFonts w:hint="eastAsia" w:ascii="仿宋" w:hAnsi="仿宋" w:eastAsia="仿宋"/>
          <w:sz w:val="32"/>
          <w:szCs w:val="32"/>
        </w:rPr>
        <w:t>西宁街道福光庙村、联升村及经开区北固镇火把堰村修建职校征地拆迁工作共征地609.08亩，</w:t>
      </w:r>
      <w:r>
        <w:rPr>
          <w:rFonts w:hint="eastAsia" w:ascii="仿宋" w:hAnsi="仿宋" w:eastAsia="仿宋" w:cs="仿宋"/>
          <w:sz w:val="32"/>
          <w:szCs w:val="32"/>
        </w:rPr>
        <w:t>已于2022年11月全部完成。根据遂船府办函〔2010〕246号文件中关于征地工作经费拨付标准500.00元/亩，核算出征地工作经费为30.45万元，截至2023年12月31日尚未支付。</w:t>
      </w:r>
    </w:p>
    <w:p>
      <w:pPr>
        <w:pStyle w:val="6"/>
        <w:spacing w:line="560" w:lineRule="exact"/>
        <w:ind w:firstLine="640"/>
        <w:rPr>
          <w:rFonts w:hint="eastAsia" w:ascii="仿宋" w:hAnsi="仿宋" w:eastAsia="仿宋" w:cs="仿宋"/>
          <w:sz w:val="32"/>
          <w:szCs w:val="32"/>
        </w:rPr>
      </w:pPr>
      <w:r>
        <w:rPr>
          <w:rFonts w:hint="eastAsia" w:ascii="仿宋" w:hAnsi="仿宋" w:eastAsia="仿宋"/>
          <w:sz w:val="32"/>
          <w:szCs w:val="32"/>
        </w:rPr>
        <w:t>保升镇人民政府凉水井二、四期</w:t>
      </w:r>
      <w:r>
        <w:rPr>
          <w:rFonts w:hint="eastAsia" w:ascii="仿宋" w:hAnsi="仿宋" w:eastAsia="仿宋" w:cs="仿宋"/>
          <w:sz w:val="32"/>
          <w:szCs w:val="32"/>
        </w:rPr>
        <w:t>2240套房屋安置工作共有200515.13 ㎡，</w:t>
      </w:r>
      <w:r>
        <w:rPr>
          <w:rFonts w:hint="eastAsia" w:ascii="仿宋" w:hAnsi="仿宋" w:eastAsia="仿宋"/>
          <w:sz w:val="32"/>
          <w:szCs w:val="32"/>
        </w:rPr>
        <w:t>已于2023年12月之前完成。</w:t>
      </w:r>
      <w:r>
        <w:rPr>
          <w:rFonts w:hint="eastAsia" w:ascii="仿宋" w:hAnsi="仿宋" w:eastAsia="仿宋" w:cs="仿宋"/>
          <w:sz w:val="32"/>
          <w:szCs w:val="32"/>
        </w:rPr>
        <w:t>根据遂高管〔2023〕35号文件精神，工作经费标准为1元/平方米，核算出工作经费为20.05万元，截至2023年12月31日尚未支付。</w:t>
      </w:r>
    </w:p>
    <w:p>
      <w:pPr>
        <w:pStyle w:val="7"/>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 w:hAnsi="仿宋" w:eastAsia="仿宋" w:cs="仿宋"/>
          <w:sz w:val="32"/>
          <w:szCs w:val="32"/>
        </w:rPr>
      </w:pPr>
      <w:r>
        <w:rPr>
          <w:rFonts w:hint="eastAsia" w:ascii="仿宋" w:hAnsi="仿宋" w:eastAsia="仿宋" w:cs="仿宋"/>
          <w:sz w:val="32"/>
          <w:szCs w:val="32"/>
        </w:rPr>
        <w:t>支付工作不够及时，滞后于项目实施进度。</w:t>
      </w:r>
    </w:p>
    <w:p>
      <w:pPr>
        <w:spacing w:line="560" w:lineRule="exact"/>
        <w:ind w:firstLine="640" w:firstLineChars="200"/>
        <w:rPr>
          <w:rFonts w:hint="eastAsia" w:ascii="仿宋" w:hAnsi="仿宋" w:eastAsia="仿宋" w:cs="仿宋"/>
          <w:color w:val="000000"/>
          <w:kern w:val="0"/>
          <w:sz w:val="32"/>
          <w:szCs w:val="32"/>
        </w:rPr>
      </w:pPr>
      <w:r>
        <w:rPr>
          <w:rFonts w:hint="eastAsia" w:ascii="仿宋" w:hAnsi="仿宋" w:eastAsia="仿宋" w:cs="仿宋"/>
          <w:kern w:val="0"/>
          <w:sz w:val="32"/>
          <w:szCs w:val="32"/>
        </w:rPr>
        <w:t>综上所述，</w:t>
      </w:r>
      <w:r>
        <w:rPr>
          <w:rFonts w:hint="eastAsia" w:ascii="仿宋" w:hAnsi="仿宋" w:eastAsia="仿宋" w:cs="仿宋"/>
          <w:color w:val="000000"/>
          <w:kern w:val="0"/>
          <w:sz w:val="32"/>
          <w:szCs w:val="32"/>
        </w:rPr>
        <w:t>产出指标总分40.00分，评价得分38.00分。</w:t>
      </w:r>
    </w:p>
    <w:p>
      <w:pPr>
        <w:pStyle w:val="3"/>
        <w:ind w:firstLine="643"/>
      </w:pPr>
      <w:bookmarkStart w:id="586" w:name="_Toc136351502"/>
      <w:bookmarkStart w:id="587" w:name="_Toc5679"/>
      <w:r>
        <w:rPr>
          <w:rFonts w:hint="eastAsia"/>
        </w:rPr>
        <w:t>（三）项目效益情况</w:t>
      </w:r>
      <w:bookmarkEnd w:id="586"/>
      <w:bookmarkEnd w:id="587"/>
    </w:p>
    <w:p>
      <w:pPr>
        <w:pStyle w:val="4"/>
        <w:ind w:firstLine="643"/>
      </w:pPr>
      <w:bookmarkStart w:id="588" w:name="_Toc136351504"/>
      <w:bookmarkStart w:id="589" w:name="_Toc129682502"/>
      <w:bookmarkStart w:id="590" w:name="_Toc129683113"/>
      <w:r>
        <w:rPr>
          <w:rFonts w:hint="eastAsia"/>
        </w:rPr>
        <w:t>1.社会效益</w:t>
      </w:r>
      <w:bookmarkEnd w:id="588"/>
      <w:bookmarkEnd w:id="589"/>
      <w:bookmarkEnd w:id="590"/>
    </w:p>
    <w:p>
      <w:pPr>
        <w:spacing w:line="560" w:lineRule="exact"/>
        <w:ind w:firstLine="640" w:firstLineChars="200"/>
        <w:rPr>
          <w:rFonts w:hint="eastAsia" w:ascii="仿宋" w:hAnsi="仿宋" w:eastAsia="仿宋" w:cs="仿宋"/>
          <w:sz w:val="32"/>
          <w:szCs w:val="32"/>
        </w:rPr>
      </w:pPr>
      <w:bookmarkStart w:id="591" w:name="_Toc129682501"/>
      <w:bookmarkStart w:id="592" w:name="_Toc136351503"/>
      <w:bookmarkStart w:id="593" w:name="_Toc129683112"/>
      <w:r>
        <w:rPr>
          <w:rFonts w:hint="eastAsia" w:ascii="仿宋" w:hAnsi="仿宋" w:eastAsia="仿宋" w:cs="仿宋"/>
          <w:sz w:val="32"/>
          <w:szCs w:val="32"/>
        </w:rPr>
        <w:t>征地拆迁后，通过对土地资源的重新规划和配置，可以优化土地利用结构，减少土地浪费，提高土地利用效率，实现土地资源的可持续利用。征地拆迁后的土地可以用于建设各种公共设施，如公园、绿地、医院、学校等，提升城市的基础设施水平，为居民提供更好的生活环境。</w:t>
      </w:r>
    </w:p>
    <w:p>
      <w:pPr>
        <w:pStyle w:val="4"/>
        <w:ind w:firstLine="643"/>
      </w:pPr>
      <w:r>
        <w:rPr>
          <w:rFonts w:hint="eastAsia"/>
        </w:rPr>
        <w:t>2.经济效益</w:t>
      </w:r>
      <w:bookmarkEnd w:id="591"/>
      <w:bookmarkEnd w:id="592"/>
      <w:bookmarkEnd w:id="593"/>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征地拆迁后的土地开发往往需要大量的劳动力参与，从而创造了大量的就业机会。这有助于缓解当地的就业压力，提高居民的收入水平。同时，拆迁后的土地可以用于商业、住宅和办公等用途，推动了城市经济的发展。新的商业中心和住宅区的建设，居民还可以获得更多的就业机会和创业机会，能够吸引更多的投资和消费，进一步促进个人和家庭的经济增长，促进地区经济的繁荣。</w:t>
      </w:r>
    </w:p>
    <w:p>
      <w:pPr>
        <w:pStyle w:val="4"/>
        <w:ind w:firstLine="643"/>
      </w:pPr>
      <w:r>
        <w:rPr>
          <w:rFonts w:hint="eastAsia"/>
        </w:rPr>
        <w:t>3.生态效益</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征地拆迁后，通过合理的规划和建设，可以有效恢复生态绿化功能，增加城市绿地面积，提高城市生态环境质量。如建设生态公园、湿地公园等，这些项目不仅美化了城市环境，还为人们提供了休闲娱乐的好去处，同时又有助于推动绿色发展和生态文明建设。</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color w:val="000000"/>
          <w:kern w:val="0"/>
          <w:sz w:val="32"/>
          <w:szCs w:val="32"/>
        </w:rPr>
        <w:t>综上所述，效益指标总分30.00分，评价得分30.00分。</w:t>
      </w:r>
    </w:p>
    <w:p>
      <w:pPr>
        <w:pStyle w:val="3"/>
        <w:ind w:firstLine="643"/>
      </w:pPr>
      <w:bookmarkStart w:id="594" w:name="_Toc10889"/>
      <w:r>
        <w:rPr>
          <w:rFonts w:hint="eastAsia"/>
        </w:rPr>
        <w:t>（四）项目满意度情况</w:t>
      </w:r>
      <w:bookmarkEnd w:id="594"/>
    </w:p>
    <w:p>
      <w:pPr>
        <w:spacing w:line="560" w:lineRule="exact"/>
        <w:ind w:firstLine="640" w:firstLineChars="200"/>
        <w:rPr>
          <w:rStyle w:val="22"/>
          <w:rFonts w:hint="eastAsia" w:ascii="仿宋" w:hAnsi="仿宋" w:eastAsia="仿宋" w:cs="仿宋"/>
          <w:sz w:val="32"/>
          <w:szCs w:val="32"/>
        </w:rPr>
      </w:pPr>
      <w:r>
        <w:rPr>
          <w:rFonts w:hint="eastAsia" w:ascii="仿宋" w:hAnsi="仿宋" w:eastAsia="仿宋" w:cs="仿宋"/>
          <w:sz w:val="32"/>
          <w:szCs w:val="32"/>
        </w:rPr>
        <w:t>本次绩效评价针对满意度指标，设计了满意度指标调查问卷。调查问卷采用无记名的形式，共计设计10个</w:t>
      </w:r>
      <w:r>
        <w:rPr>
          <w:rStyle w:val="22"/>
          <w:rFonts w:hint="eastAsia" w:ascii="仿宋" w:hAnsi="仿宋" w:eastAsia="仿宋" w:cs="仿宋"/>
          <w:sz w:val="32"/>
          <w:szCs w:val="32"/>
        </w:rPr>
        <w:t>调查</w:t>
      </w:r>
      <w:r>
        <w:rPr>
          <w:rFonts w:hint="eastAsia" w:ascii="仿宋" w:hAnsi="仿宋" w:eastAsia="仿宋" w:cs="仿宋"/>
          <w:sz w:val="32"/>
          <w:szCs w:val="32"/>
        </w:rPr>
        <w:t>项目，调查内容涵盖了对政策、工作进展情况、工作执行情况、程序、负责人职责权限、安全风险、保障范围、管理制度、工作态度及意见反馈等方面。本次调查主要针对征地拆迁周边居民和征地拆迁工作人员两类群体，为保障调查的全面性和客观性，周边居民占比80.00%，工作人员占比20.00%。发放问卷30份，收回有效问卷30份，经过统计，综合满意度为88.40%。</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综上所述，满意度指标总分10.00分，评价得分6.70分。</w:t>
      </w:r>
    </w:p>
    <w:p>
      <w:pPr>
        <w:pStyle w:val="2"/>
        <w:ind w:firstLine="643"/>
      </w:pPr>
      <w:bookmarkStart w:id="595" w:name="_Toc17578"/>
      <w:r>
        <w:rPr>
          <w:rFonts w:hint="eastAsia"/>
        </w:rPr>
        <w:t>五、存在的问题和建议</w:t>
      </w:r>
      <w:bookmarkEnd w:id="595"/>
    </w:p>
    <w:p>
      <w:pPr>
        <w:pStyle w:val="3"/>
        <w:ind w:firstLine="643"/>
      </w:pPr>
      <w:bookmarkStart w:id="596" w:name="_Toc136351508"/>
      <w:bookmarkStart w:id="597" w:name="_Toc10471"/>
      <w:r>
        <w:rPr>
          <w:rFonts w:hint="eastAsia"/>
        </w:rPr>
        <w:t>（一）存在的问题</w:t>
      </w:r>
      <w:bookmarkEnd w:id="596"/>
      <w:bookmarkEnd w:id="597"/>
    </w:p>
    <w:p>
      <w:pPr>
        <w:pStyle w:val="4"/>
        <w:ind w:firstLine="643"/>
      </w:pPr>
      <w:r>
        <w:rPr>
          <w:rFonts w:hint="eastAsia"/>
        </w:rPr>
        <w:t>1.绩效目标管理不足</w:t>
      </w:r>
    </w:p>
    <w:p>
      <w:pPr>
        <w:widowControl/>
        <w:spacing w:line="560" w:lineRule="exact"/>
        <w:ind w:firstLine="640" w:firstLineChars="200"/>
      </w:pPr>
      <w:r>
        <w:rPr>
          <w:rFonts w:hint="eastAsia" w:ascii="仿宋" w:hAnsi="仿宋" w:eastAsia="仿宋" w:cs="仿宋"/>
          <w:color w:val="000000"/>
          <w:kern w:val="0"/>
          <w:sz w:val="32"/>
          <w:szCs w:val="32"/>
          <w:lang w:bidi="ar"/>
        </w:rPr>
        <w:t>预算绩效目标指标数值设置和考核存在不够科学合理之处。</w:t>
      </w:r>
      <w:r>
        <w:rPr>
          <w:rFonts w:hint="eastAsia" w:ascii="仿宋" w:hAnsi="仿宋" w:eastAsia="仿宋"/>
          <w:sz w:val="32"/>
          <w:szCs w:val="32"/>
        </w:rPr>
        <w:t>如质量指标：定向用于开展征地拆迁工作定性为优良差；经济效益指标：资金使用无重大违规违纪问题小于1起；时效指标：及时兑付资金=100%。</w:t>
      </w:r>
    </w:p>
    <w:p>
      <w:pPr>
        <w:pStyle w:val="4"/>
        <w:ind w:firstLine="643"/>
      </w:pPr>
      <w:bookmarkStart w:id="598" w:name="_Toc136351509"/>
      <w:bookmarkStart w:id="599" w:name="_Toc129682508"/>
      <w:bookmarkStart w:id="600" w:name="_Toc129683119"/>
      <w:r>
        <w:rPr>
          <w:rFonts w:hint="eastAsia"/>
        </w:rPr>
        <w:t>2.</w:t>
      </w:r>
      <w:bookmarkEnd w:id="598"/>
      <w:bookmarkEnd w:id="599"/>
      <w:bookmarkEnd w:id="600"/>
      <w:r>
        <w:rPr>
          <w:rFonts w:hint="eastAsia"/>
        </w:rPr>
        <w:t>项目支付进度滞后</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西宁街道福光庙村、联升村及经开区北固镇火把堰村拆迁已于2022年11月完成，</w:t>
      </w:r>
      <w:r>
        <w:rPr>
          <w:rFonts w:hint="eastAsia" w:ascii="仿宋" w:hAnsi="仿宋" w:eastAsia="仿宋"/>
          <w:sz w:val="32"/>
          <w:szCs w:val="32"/>
        </w:rPr>
        <w:t>保升镇人民政府凉水井二、四期房屋安置工作已于2023年12月之前完成，</w:t>
      </w:r>
      <w:r>
        <w:rPr>
          <w:rFonts w:hint="eastAsia" w:ascii="仿宋" w:hAnsi="仿宋" w:eastAsia="仿宋" w:cs="仿宋"/>
          <w:sz w:val="32"/>
          <w:szCs w:val="32"/>
        </w:rPr>
        <w:t>截至2023年12月工作经费尚未支付。</w:t>
      </w:r>
    </w:p>
    <w:p>
      <w:pPr>
        <w:pStyle w:val="4"/>
        <w:ind w:firstLine="643"/>
      </w:pPr>
      <w:r>
        <w:rPr>
          <w:rFonts w:hint="eastAsia"/>
        </w:rPr>
        <w:t>3.监管力度存在不足</w:t>
      </w:r>
    </w:p>
    <w:p>
      <w:pPr>
        <w:spacing w:line="560" w:lineRule="exact"/>
        <w:ind w:firstLine="640" w:firstLineChars="200"/>
        <w:rPr>
          <w:rFonts w:hint="eastAsia" w:ascii="仿宋" w:hAnsi="仿宋" w:eastAsia="仿宋" w:cs="仿宋"/>
          <w:sz w:val="32"/>
          <w:szCs w:val="32"/>
        </w:rPr>
      </w:pPr>
      <w:bookmarkStart w:id="601" w:name="_Toc136351517"/>
      <w:r>
        <w:rPr>
          <w:rFonts w:hint="eastAsia" w:ascii="仿宋" w:hAnsi="仿宋" w:eastAsia="仿宋" w:cs="仿宋"/>
          <w:sz w:val="32"/>
          <w:szCs w:val="32"/>
        </w:rPr>
        <w:t>城乡保障中心主要负责将征地款拨付到镇（街道），未直接参与和监管土地补偿款下拨到组、分配到个人的过程，导致对补偿款的最终落实情况缺乏有效监管。</w:t>
      </w:r>
    </w:p>
    <w:p>
      <w:pPr>
        <w:pStyle w:val="3"/>
        <w:numPr>
          <w:ilvl w:val="0"/>
          <w:numId w:val="2"/>
        </w:numPr>
        <w:ind w:firstLine="643"/>
      </w:pPr>
      <w:bookmarkStart w:id="602" w:name="_Toc31681"/>
      <w:r>
        <w:rPr>
          <w:rFonts w:hint="eastAsia"/>
        </w:rPr>
        <w:t>有关建议</w:t>
      </w:r>
      <w:bookmarkEnd w:id="601"/>
      <w:bookmarkEnd w:id="602"/>
    </w:p>
    <w:p>
      <w:pPr>
        <w:pStyle w:val="4"/>
        <w:ind w:firstLine="643"/>
      </w:pPr>
      <w:r>
        <w:rPr>
          <w:rFonts w:hint="eastAsia"/>
        </w:rPr>
        <w:t>1.加强绩效目标管理</w:t>
      </w:r>
    </w:p>
    <w:p>
      <w:pPr>
        <w:spacing w:line="560" w:lineRule="exact"/>
        <w:ind w:firstLine="640" w:firstLineChars="200"/>
      </w:pPr>
      <w:r>
        <w:rPr>
          <w:rFonts w:hint="eastAsia" w:ascii="仿宋" w:hAnsi="仿宋" w:eastAsia="仿宋" w:cs="仿宋"/>
          <w:sz w:val="32"/>
          <w:szCs w:val="32"/>
        </w:rPr>
        <w:t>建立科学合理的绩效指标框架。健全绩效指标和规范体系，采用科学合理的评价指标和评价规范。对业务部门进行项目绩效目标申报、绩效目标实施与检查、绩效目标自评等全过程的业务培训，包括指标值的选取与设置、过程的监控和事后的绩效目标评价等内容，增强预算单位绩效目标管理意识和能力。</w:t>
      </w:r>
    </w:p>
    <w:p>
      <w:pPr>
        <w:pStyle w:val="4"/>
        <w:ind w:firstLine="643"/>
      </w:pPr>
      <w:bookmarkStart w:id="603" w:name="_Toc136351523"/>
      <w:r>
        <w:rPr>
          <w:rFonts w:hint="eastAsia"/>
        </w:rPr>
        <w:t>2.建立健全监督机制</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lang w:val="en-US" w:eastAsia="zh-CN"/>
        </w:rPr>
        <w:t>建</w:t>
      </w:r>
      <w:r>
        <w:rPr>
          <w:rFonts w:hint="eastAsia" w:ascii="仿宋" w:hAnsi="仿宋" w:eastAsia="仿宋" w:cs="仿宋"/>
          <w:sz w:val="32"/>
          <w:szCs w:val="32"/>
        </w:rPr>
        <w:t>立健全监管协调机制，加强信息共享和协同配合，形成监管合力；对监管部门和监管人员的工作进行全程监督，确保监管工作公正、透明、高效。形成全方位、多层次的监管体系，以有效提升监管效能和水平。</w:t>
      </w:r>
    </w:p>
    <w:p>
      <w:pPr>
        <w:pStyle w:val="2"/>
        <w:ind w:firstLine="643"/>
      </w:pPr>
      <w:bookmarkStart w:id="604" w:name="_Toc32299"/>
      <w:r>
        <w:rPr>
          <w:rFonts w:hint="eastAsia"/>
        </w:rPr>
        <w:t>六、</w:t>
      </w:r>
      <w:bookmarkEnd w:id="603"/>
      <w:r>
        <w:rPr>
          <w:rFonts w:hint="eastAsia"/>
        </w:rPr>
        <w:t>绩效评价报告使用限制等其他需要说明的问题</w:t>
      </w:r>
      <w:bookmarkEnd w:id="604"/>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本次绩效评价工作基于项目单位的资料及沟通情况开展，项目资料的完整性和真实性由项目单位负责。评价组在综合了解相关政策文件、项目实施内容及预算编制工作等的基础上，结合项目单位提供的资料逐项评价，评价结果仅作为遂宁高新区财政金融局对遂宁高新区城乡统筹与社会保障服务中心征地拆迁项目工作经费绩效评价及结果应用方面使用，未经许可其他单位和个人不得用作其他用途。</w:t>
      </w:r>
    </w:p>
    <w:p>
      <w:pPr>
        <w:pStyle w:val="2"/>
        <w:ind w:firstLine="643"/>
        <w:rPr>
          <w:rFonts w:hint="eastAsia"/>
        </w:rPr>
      </w:pPr>
      <w:bookmarkStart w:id="605" w:name="_Toc22774"/>
      <w:r>
        <w:rPr>
          <w:rFonts w:hint="eastAsia"/>
          <w:lang w:val="en-US" w:eastAsia="zh-CN"/>
        </w:rPr>
        <w:t>七、相关</w:t>
      </w:r>
      <w:r>
        <w:rPr>
          <w:rFonts w:hint="eastAsia"/>
        </w:rPr>
        <w:t>附件</w:t>
      </w:r>
      <w:bookmarkEnd w:id="605"/>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《遂宁高新区城乡统筹与社会保障服务中心2023年征地拆迁工作经费绩效评</w:t>
      </w:r>
      <w:r>
        <w:rPr>
          <w:rFonts w:hint="eastAsia" w:ascii="仿宋" w:hAnsi="仿宋" w:eastAsia="仿宋" w:cs="仿宋"/>
          <w:sz w:val="32"/>
          <w:szCs w:val="32"/>
          <w:lang w:val="en-US" w:eastAsia="zh-CN"/>
        </w:rPr>
        <w:t>分</w:t>
      </w:r>
      <w:r>
        <w:rPr>
          <w:rFonts w:hint="eastAsia" w:ascii="仿宋" w:hAnsi="仿宋" w:eastAsia="仿宋" w:cs="仿宋"/>
          <w:sz w:val="32"/>
          <w:szCs w:val="32"/>
        </w:rPr>
        <w:t>表》</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spacing w:before="312" w:beforeLines="100" w:after="312" w:afterLines="100" w:line="600" w:lineRule="exact"/>
        <w:ind w:firstLine="643"/>
        <w:outlineLvl w:val="9"/>
        <w:rPr>
          <w:rFonts w:hint="eastAsia" w:ascii="宋体" w:hAnsi="宋体" w:eastAsia="宋体" w:cs="宋体"/>
          <w:b/>
          <w:kern w:val="2"/>
          <w:sz w:val="32"/>
          <w:szCs w:val="32"/>
          <w:lang w:val="en-US" w:eastAsia="zh-CN" w:bidi="ar-SA"/>
        </w:rPr>
        <w:sectPr>
          <w:footerReference r:id="rId8" w:type="default"/>
          <w:pgSz w:w="11906" w:h="16838"/>
          <w:pgMar w:top="1440" w:right="1800" w:bottom="1440" w:left="1800" w:header="851" w:footer="992" w:gutter="0"/>
          <w:pgNumType w:fmt="decimal" w:start="1"/>
          <w:cols w:space="0" w:num="1"/>
          <w:docGrid w:type="lines" w:linePitch="312" w:charSpace="0"/>
        </w:sectPr>
      </w:pPr>
      <w:bookmarkStart w:id="606" w:name="_Toc25627"/>
    </w:p>
    <w:p>
      <w:pPr>
        <w:keepNext w:val="0"/>
        <w:keepLines w:val="0"/>
        <w:pageBreakBefore w:val="0"/>
        <w:widowControl w:val="0"/>
        <w:kinsoku/>
        <w:wordWrap/>
        <w:overflowPunct/>
        <w:topLinePunct w:val="0"/>
        <w:autoSpaceDE/>
        <w:autoSpaceDN/>
        <w:bidi w:val="0"/>
        <w:adjustRightInd/>
        <w:snapToGrid/>
        <w:spacing w:after="313" w:afterLines="100"/>
        <w:ind w:firstLine="0" w:firstLineChars="0"/>
        <w:jc w:val="center"/>
        <w:textAlignment w:val="auto"/>
        <w:outlineLvl w:val="0"/>
        <w:rPr>
          <w:rFonts w:hint="eastAsia" w:ascii="宋体" w:hAnsi="宋体" w:eastAsia="宋体" w:cs="宋体"/>
          <w:b/>
          <w:sz w:val="44"/>
          <w:szCs w:val="44"/>
        </w:rPr>
      </w:pPr>
      <w:bookmarkStart w:id="607" w:name="_Toc5892"/>
      <w:bookmarkStart w:id="608" w:name="_Toc5446"/>
      <w:bookmarkStart w:id="609" w:name="_Toc3189"/>
      <w:bookmarkStart w:id="610" w:name="_Toc17389"/>
      <w:bookmarkStart w:id="611" w:name="_Toc29599"/>
      <w:bookmarkStart w:id="612" w:name="_Toc2470"/>
      <w:bookmarkStart w:id="613" w:name="_Toc25309"/>
      <w:bookmarkStart w:id="614" w:name="_Toc17338"/>
      <w:bookmarkStart w:id="615" w:name="_Toc3616"/>
      <w:bookmarkStart w:id="616" w:name="_Toc26716"/>
      <w:bookmarkStart w:id="617" w:name="_Toc18644"/>
      <w:r>
        <w:rPr>
          <w:rFonts w:hint="eastAsia" w:ascii="宋体" w:hAnsi="宋体" w:eastAsia="宋体" w:cs="宋体"/>
          <w:b/>
          <w:sz w:val="44"/>
          <w:szCs w:val="44"/>
        </w:rPr>
        <w:t>遂宁高新区第一次全国自然灾害综合风险普查服务项目资金绩效评价报告</w:t>
      </w:r>
      <w:bookmarkEnd w:id="606"/>
      <w:bookmarkEnd w:id="607"/>
      <w:bookmarkEnd w:id="608"/>
      <w:bookmarkEnd w:id="609"/>
      <w:bookmarkEnd w:id="610"/>
      <w:bookmarkEnd w:id="611"/>
      <w:bookmarkEnd w:id="612"/>
      <w:bookmarkEnd w:id="613"/>
      <w:bookmarkEnd w:id="614"/>
      <w:bookmarkEnd w:id="615"/>
      <w:bookmarkEnd w:id="616"/>
      <w:bookmarkEnd w:id="617"/>
    </w:p>
    <w:p>
      <w:pPr>
        <w:ind w:firstLine="640"/>
        <w:rPr>
          <w:rFonts w:hint="eastAsia" w:ascii="仿宋" w:hAnsi="仿宋" w:cs="仿宋"/>
          <w:color w:val="000000" w:themeColor="text1"/>
          <w14:textFill>
            <w14:solidFill>
              <w14:schemeClr w14:val="tx1"/>
            </w14:solidFill>
          </w14:textFill>
        </w:rPr>
      </w:pPr>
      <w:bookmarkStart w:id="618" w:name="_Toc17030"/>
      <w:bookmarkStart w:id="619" w:name="_Toc5144"/>
      <w:bookmarkStart w:id="620" w:name="_Toc18875"/>
      <w:bookmarkStart w:id="621" w:name="_Toc24583"/>
      <w:r>
        <w:rPr>
          <w:rFonts w:hint="eastAsia" w:ascii="仿宋" w:hAnsi="仿宋" w:eastAsia="仿宋" w:cs="仿宋"/>
          <w:sz w:val="32"/>
          <w:szCs w:val="32"/>
        </w:rPr>
        <w:t>为贯彻落实</w:t>
      </w:r>
      <w:r>
        <w:rPr>
          <w:rFonts w:hint="eastAsia" w:ascii="仿宋" w:hAnsi="仿宋" w:eastAsia="仿宋" w:cs="仿宋"/>
          <w:color w:val="000000"/>
          <w:sz w:val="32"/>
          <w:szCs w:val="32"/>
          <w:shd w:val="clear" w:color="auto" w:fill="FFFFFF"/>
        </w:rPr>
        <w:t>《中华人民共和国预算法》《中共中央国务院关于全面实施预算绩效管理的意见》（中发〔2018〕34号）、《中共四川省委四川省人民政府关于全面实施预算绩效管理的实施意见》（川委发〔2019〕8号）和《中共四川省委办公厅四川省人民政府办公厅关于深入实施预算绩效管理的通知》（川委厅〔2022〕5号）文件精神，推进实施预算绩效管理工作，提高财政资金配置效率和使用效益。根据《财政部关于印发&lt;项目支出绩效评价管理办法&gt;的通知》（财预</w:t>
      </w:r>
      <w:r>
        <w:rPr>
          <w:rFonts w:hint="eastAsia" w:ascii="仿宋" w:hAnsi="仿宋" w:eastAsia="仿宋" w:cs="仿宋"/>
          <w:sz w:val="32"/>
          <w:szCs w:val="32"/>
        </w:rPr>
        <w:t>〔2020〕</w:t>
      </w:r>
      <w:r>
        <w:rPr>
          <w:rFonts w:hint="eastAsia" w:ascii="仿宋" w:hAnsi="仿宋" w:eastAsia="仿宋" w:cs="仿宋"/>
          <w:color w:val="000000"/>
          <w:sz w:val="32"/>
          <w:szCs w:val="32"/>
          <w:shd w:val="clear" w:color="auto" w:fill="FFFFFF"/>
        </w:rPr>
        <w:t>10号）、《四川省财政厅关于印发&lt;四川省省级项目支出绩效管理办法&gt;的通知》（川财绩〔2019〕14号）和《遂宁高新区财政金融局关于开展2024年部门、政策和项目支出重点绩效评价工作的通知》（遂高管财发〔2024〕9号）等文件要求，由遂宁高新区财政金融局组织和领导，成都金财企服企业管理有限公司接受委托并组建绩效评价组，</w:t>
      </w:r>
      <w:r>
        <w:rPr>
          <w:rFonts w:hint="eastAsia" w:ascii="仿宋" w:hAnsi="仿宋" w:cs="仿宋"/>
          <w:color w:val="000000" w:themeColor="text1"/>
          <w14:textFill>
            <w14:solidFill>
              <w14:schemeClr w14:val="tx1"/>
            </w14:solidFill>
          </w14:textFill>
        </w:rPr>
        <w:t>对遂宁市应急管理局遂宁高新区分局（以下简称“应急分局”）采购全国自然灾害综合风险普查服务项目</w:t>
      </w:r>
      <w:r>
        <w:rPr>
          <w:rFonts w:hint="eastAsia" w:ascii="仿宋" w:hAnsi="仿宋" w:cs="仿宋"/>
          <w:color w:val="000000" w:themeColor="text1"/>
          <w:lang w:val="en-US" w:eastAsia="zh-CN"/>
          <w14:textFill>
            <w14:solidFill>
              <w14:schemeClr w14:val="tx1"/>
            </w14:solidFill>
          </w14:textFill>
        </w:rPr>
        <w:t>资金</w:t>
      </w:r>
      <w:r>
        <w:rPr>
          <w:rFonts w:hint="eastAsia" w:ascii="仿宋" w:hAnsi="仿宋" w:cs="仿宋"/>
          <w:color w:val="000000" w:themeColor="text1"/>
          <w14:textFill>
            <w14:solidFill>
              <w14:schemeClr w14:val="tx1"/>
            </w14:solidFill>
          </w14:textFill>
        </w:rPr>
        <w:t>（以下简称“本项目”）进行绩效评价。经过资料评审和综合分析评价，形成本次绩效评价报告，现将有关情况报告如下。</w:t>
      </w:r>
      <w:bookmarkEnd w:id="618"/>
      <w:bookmarkEnd w:id="619"/>
      <w:bookmarkEnd w:id="620"/>
      <w:bookmarkEnd w:id="621"/>
    </w:p>
    <w:p>
      <w:pPr>
        <w:pStyle w:val="2"/>
        <w:numPr>
          <w:ilvl w:val="0"/>
          <w:numId w:val="3"/>
        </w:numPr>
        <w:ind w:firstLine="643"/>
        <w:rPr>
          <w:b w:val="0"/>
          <w:bCs/>
        </w:rPr>
      </w:pPr>
      <w:bookmarkStart w:id="622" w:name="_Toc6870"/>
      <w:r>
        <w:rPr>
          <w:rFonts w:hint="eastAsia"/>
          <w:b w:val="0"/>
          <w:bCs/>
        </w:rPr>
        <w:t>基本情况</w:t>
      </w:r>
      <w:bookmarkEnd w:id="622"/>
    </w:p>
    <w:p>
      <w:pPr>
        <w:pStyle w:val="3"/>
        <w:ind w:firstLine="643"/>
      </w:pPr>
      <w:bookmarkStart w:id="623" w:name="_Toc18771"/>
      <w:r>
        <w:rPr>
          <w:rFonts w:hint="eastAsia"/>
        </w:rPr>
        <w:t>（一）项目概况</w:t>
      </w:r>
      <w:bookmarkEnd w:id="623"/>
    </w:p>
    <w:p>
      <w:pPr>
        <w:pStyle w:val="4"/>
        <w:ind w:firstLine="643"/>
        <w:rPr>
          <w:rFonts w:hint="eastAsia"/>
        </w:rPr>
      </w:pPr>
      <w:r>
        <w:rPr>
          <w:rFonts w:hint="eastAsia"/>
        </w:rPr>
        <w:t>1.项目背景</w:t>
      </w:r>
    </w:p>
    <w:p>
      <w:pPr>
        <w:ind w:firstLine="640"/>
        <w:rPr>
          <w:rFonts w:hint="eastAsia" w:ascii="仿宋" w:hAnsi="仿宋" w:cs="仿宋"/>
        </w:rPr>
      </w:pPr>
      <w:r>
        <w:rPr>
          <w:rFonts w:hint="eastAsia" w:ascii="仿宋" w:hAnsi="仿宋" w:cs="仿宋"/>
          <w:kern w:val="0"/>
          <w:szCs w:val="32"/>
          <w:lang w:bidi="ar"/>
        </w:rPr>
        <w:t>为贯彻落实习近平总书记关于提高自然灾害防治能力重要论述精神，认真落实党中央国务院、省委省政府决策部署，按照</w:t>
      </w:r>
      <w:r>
        <w:rPr>
          <w:rFonts w:hint="eastAsia" w:ascii="仿宋" w:hAnsi="仿宋" w:cs="仿宋"/>
        </w:rPr>
        <w:t>《国务院第一次全国自然灾害综合风险普查领导小组办公室关于印发〈第一次全国自然灾害综合风险普查实施方案（试点版）〉的通知》（国灾险普办发〔2020〕13号）、《四川省人民政府办公厅关于开展四川省第一次全国自然灾害综合风险普查的通知》（川办发〔2020〕58号）以及《遂宁市人民政府办公室关于开展遂宁市第一次全国自然灾害综合风险普查的通知》（遂府办函〔2020〕52号）以及《遂宁市第一次全国自然灾害综合风险普查综合要素调查实施方案》（遂灾普办〔2021〕3号）等文件要求，结合园区实际，开展遂宁高新区第一次全国自然灾害综合风险普查相关工作。</w:t>
      </w:r>
    </w:p>
    <w:p>
      <w:pPr>
        <w:ind w:firstLine="640"/>
      </w:pPr>
      <w:r>
        <w:rPr>
          <w:rFonts w:hint="eastAsia" w:ascii="仿宋" w:hAnsi="仿宋" w:cs="仿宋"/>
        </w:rPr>
        <w:t>在遂宁市第一次全国自然灾害综合风险普查领导小组</w:t>
      </w:r>
      <w:r>
        <w:rPr>
          <w:rFonts w:hint="eastAsia"/>
        </w:rPr>
        <w:t>办公室统一部署下，各级应急管理部门牵头，会同有关部门组织开展综合要素调查，全面获取主要灾害致灾信息、承灾体信息、历史灾害信息，通过摸清全市灾害风险隐患底数，查明重点区域抗灾能力，建立分类型、分区域的国家自然灾害综合风险与减灾能力省级分数据库。开展主要灾害风险评估和综合风险评估，编制自然灾害系列风险图；修订主要灾种区划，编制综合风险区划和灾害综合防治区划。</w:t>
      </w:r>
      <w:r>
        <w:rPr>
          <w:rFonts w:hint="eastAsia"/>
          <w:color w:val="000000" w:themeColor="text1"/>
          <w14:textFill>
            <w14:solidFill>
              <w14:schemeClr w14:val="tx1"/>
            </w14:solidFill>
          </w14:textFill>
        </w:rPr>
        <w:t>为客观认识全市灾害综合风险水平，形成自然灾害防治建议，及时做好应对防范措施减少（降低）灾害损失提供权威的灾害风险信息和科学决策依据。有利于制定科</w:t>
      </w:r>
      <w:r>
        <w:rPr>
          <w:rFonts w:hint="eastAsia"/>
        </w:rPr>
        <w:t>学实用的灾害综合防治区划，筑牢防灾减灾救灾人民防线，保证人民的生命安全、财产安全和社会安定，为全省有效开展自然灾害防治和应急管理、切实保障经济社会高质量发展提供权威的灾害风险信息和科学决策依据。</w:t>
      </w:r>
    </w:p>
    <w:p>
      <w:pPr>
        <w:pStyle w:val="4"/>
        <w:ind w:firstLine="643"/>
        <w:rPr>
          <w:rFonts w:hint="eastAsia"/>
        </w:rPr>
      </w:pPr>
      <w:bookmarkStart w:id="624" w:name="_Toc6517"/>
      <w:bookmarkStart w:id="625" w:name="_Toc129682468"/>
      <w:bookmarkStart w:id="626" w:name="_Toc29859"/>
      <w:bookmarkStart w:id="627" w:name="_Toc129683079"/>
      <w:bookmarkStart w:id="628" w:name="_Toc30075"/>
      <w:bookmarkStart w:id="629" w:name="_Toc136351470"/>
      <w:bookmarkStart w:id="630" w:name="_Toc5846"/>
      <w:r>
        <w:rPr>
          <w:rFonts w:hint="eastAsia"/>
        </w:rPr>
        <w:t>2.主要内容</w:t>
      </w:r>
      <w:bookmarkEnd w:id="624"/>
      <w:bookmarkEnd w:id="625"/>
      <w:bookmarkEnd w:id="626"/>
      <w:bookmarkEnd w:id="627"/>
      <w:bookmarkEnd w:id="628"/>
      <w:bookmarkEnd w:id="629"/>
      <w:bookmarkEnd w:id="630"/>
      <w:r>
        <w:rPr>
          <w:rFonts w:hint="eastAsia"/>
        </w:rPr>
        <w:t>及实施情况</w:t>
      </w:r>
    </w:p>
    <w:p>
      <w:pPr>
        <w:pStyle w:val="5"/>
        <w:ind w:firstLine="643"/>
        <w:rPr>
          <w:rFonts w:hint="eastAsia"/>
        </w:rPr>
      </w:pPr>
      <w:r>
        <w:rPr>
          <w:rFonts w:hint="eastAsia"/>
        </w:rPr>
        <w:t>（1）项目主要内容</w:t>
      </w:r>
    </w:p>
    <w:p>
      <w:pPr>
        <w:ind w:firstLine="640"/>
      </w:pPr>
      <w:r>
        <w:rPr>
          <w:rFonts w:hint="eastAsia" w:ascii="仿宋" w:hAnsi="仿宋" w:cs="仿宋"/>
        </w:rPr>
        <w:t>本项目为聘请第三方专业技术团队参与协助开展风险普查，全面落实四川省遂宁市高新区自然灾害风险普查工作任务。完成主要灾害致灾因子－水旱灾害（含洪水重点隐患）调查、承灾体－公共服务设施调查、承灾体-危险化学品、承灾体－交通设施调查、承灾体－房屋建筑调查、承灾体－市政设施调查、历史灾害调查、综合减灾能力调查、普查专班（技术指导）等具体实施工作，协助各级部门完成主要灾害致灾因子－气象灾害、主要灾害致灾因子－地震灾害、主要灾害致灾因子-地质灾害（含重点隐患）调查、主要灾</w:t>
      </w:r>
      <w:r>
        <w:rPr>
          <w:rFonts w:hint="eastAsia"/>
        </w:rPr>
        <w:t>害致灾因子－森林和草原火</w:t>
      </w:r>
      <w:r>
        <w:rPr>
          <w:rFonts w:hint="eastAsia" w:ascii="仿宋" w:hAnsi="仿宋" w:cs="仿宋"/>
        </w:rPr>
        <w:t>灾（含重点隐患）调查等</w:t>
      </w:r>
      <w:r>
        <w:rPr>
          <w:rFonts w:hint="eastAsia"/>
        </w:rPr>
        <w:t>工作，汇总形成高新区自然灾害综合风险普查基础调查成果。</w:t>
      </w:r>
      <w:bookmarkStart w:id="631" w:name="_Toc24438"/>
      <w:bookmarkStart w:id="632" w:name="_Toc16160"/>
      <w:bookmarkStart w:id="633" w:name="_Toc31811"/>
      <w:bookmarkStart w:id="634" w:name="_Toc32611"/>
      <w:bookmarkStart w:id="635" w:name="_Toc136351471"/>
      <w:bookmarkStart w:id="636" w:name="_Toc129682469"/>
      <w:bookmarkStart w:id="637" w:name="_Toc129683080"/>
    </w:p>
    <w:bookmarkEnd w:id="631"/>
    <w:bookmarkEnd w:id="632"/>
    <w:bookmarkEnd w:id="633"/>
    <w:bookmarkEnd w:id="634"/>
    <w:p>
      <w:pPr>
        <w:pStyle w:val="5"/>
        <w:ind w:firstLine="643"/>
        <w:rPr>
          <w:rFonts w:hint="eastAsia"/>
        </w:rPr>
      </w:pPr>
      <w:bookmarkStart w:id="638" w:name="_Toc31972"/>
      <w:bookmarkStart w:id="639" w:name="_Toc11169"/>
      <w:bookmarkStart w:id="640" w:name="_Toc29249"/>
      <w:bookmarkStart w:id="641" w:name="_Toc27695"/>
      <w:r>
        <w:rPr>
          <w:rFonts w:hint="eastAsia"/>
        </w:rPr>
        <w:t>（2）项目实施情况</w:t>
      </w:r>
      <w:bookmarkEnd w:id="635"/>
      <w:bookmarkEnd w:id="636"/>
      <w:bookmarkEnd w:id="637"/>
      <w:bookmarkEnd w:id="638"/>
      <w:bookmarkEnd w:id="639"/>
      <w:bookmarkEnd w:id="640"/>
      <w:bookmarkEnd w:id="641"/>
    </w:p>
    <w:p>
      <w:pPr>
        <w:ind w:firstLine="640"/>
        <w:rPr>
          <w:rFonts w:hint="eastAsia" w:ascii="仿宋" w:hAnsi="仿宋" w:cs="仿宋"/>
        </w:rPr>
      </w:pPr>
      <w:bookmarkStart w:id="642" w:name="_Toc129683081"/>
      <w:bookmarkStart w:id="643" w:name="_Toc136351472"/>
      <w:bookmarkStart w:id="644" w:name="_Toc129682470"/>
      <w:r>
        <w:rPr>
          <w:rFonts w:hint="eastAsia" w:ascii="仿宋" w:hAnsi="仿宋" w:cs="仿宋"/>
        </w:rPr>
        <w:t>高新区已全部完成应急板块、公路板块、水旱灾害自然灾害综合风险普查调查工作。自然灾害承灾体47条、综合减灾能力221条、国省干道4条、农村公路227.94公里、桥梁39座、风险点20处、水库、堤防、供水情况、抗旱工程及非工程能力、城镇水源情况/旱情及旱灾损失，并已将数据录入系统。</w:t>
      </w:r>
    </w:p>
    <w:p>
      <w:pPr>
        <w:ind w:firstLine="482"/>
        <w:jc w:val="center"/>
        <w:rPr>
          <w:rFonts w:hint="eastAsia" w:ascii="仿宋" w:hAnsi="仿宋" w:cs="仿宋"/>
          <w:sz w:val="24"/>
          <w:szCs w:val="24"/>
        </w:rPr>
      </w:pPr>
      <w:r>
        <w:rPr>
          <w:rFonts w:hint="eastAsia" w:ascii="宋体" w:hAnsi="宋体" w:eastAsia="宋体" w:cs="宋体"/>
          <w:b/>
          <w:bCs/>
          <w:sz w:val="24"/>
          <w:szCs w:val="24"/>
        </w:rPr>
        <w:t>高新区风险普查任务已完成清单</w:t>
      </w:r>
    </w:p>
    <w:tbl>
      <w:tblPr>
        <w:tblStyle w:val="18"/>
        <w:tblpPr w:leftFromText="180" w:rightFromText="180" w:vertAnchor="text" w:horzAnchor="page" w:tblpX="1980" w:tblpY="464"/>
        <w:tblOverlap w:val="never"/>
        <w:tblW w:w="81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4"/>
        <w:gridCol w:w="1842"/>
        <w:gridCol w:w="3165"/>
        <w:gridCol w:w="11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8139" w:type="dxa"/>
            <w:gridSpan w:val="4"/>
            <w:vAlign w:val="center"/>
          </w:tcPr>
          <w:p>
            <w:pPr>
              <w:spacing w:line="240" w:lineRule="auto"/>
              <w:ind w:firstLine="482"/>
              <w:jc w:val="center"/>
              <w:rPr>
                <w:rFonts w:hint="eastAsia" w:ascii="宋体" w:hAnsi="宋体" w:eastAsia="宋体" w:cs="宋体"/>
                <w:sz w:val="20"/>
                <w:szCs w:val="20"/>
              </w:rPr>
            </w:pPr>
            <w:r>
              <w:rPr>
                <w:rFonts w:hint="eastAsia" w:ascii="宋体" w:hAnsi="宋体" w:eastAsia="宋体" w:cs="宋体"/>
                <w:b/>
                <w:bCs/>
                <w:sz w:val="20"/>
                <w:szCs w:val="20"/>
              </w:rPr>
              <w:t>应急部分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restart"/>
            <w:vAlign w:val="center"/>
          </w:tcPr>
          <w:p>
            <w:pPr>
              <w:spacing w:line="240" w:lineRule="auto"/>
              <w:ind w:firstLine="480"/>
              <w:rPr>
                <w:rFonts w:hint="eastAsia" w:ascii="宋体" w:hAnsi="宋体" w:eastAsia="宋体" w:cs="宋体"/>
                <w:sz w:val="20"/>
                <w:szCs w:val="20"/>
              </w:rPr>
            </w:pPr>
            <w:r>
              <w:rPr>
                <w:rFonts w:hint="eastAsia" w:ascii="宋体" w:hAnsi="宋体" w:eastAsia="宋体" w:cs="宋体"/>
                <w:sz w:val="20"/>
                <w:szCs w:val="20"/>
              </w:rPr>
              <w:t>承灾体</w:t>
            </w:r>
          </w:p>
        </w:tc>
        <w:tc>
          <w:tcPr>
            <w:tcW w:w="1842" w:type="dxa"/>
            <w:vMerge w:val="restart"/>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公共服务设施</w:t>
            </w:r>
          </w:p>
        </w:tc>
        <w:tc>
          <w:tcPr>
            <w:tcW w:w="3165" w:type="dxa"/>
            <w:vAlign w:val="center"/>
          </w:tcPr>
          <w:p>
            <w:pPr>
              <w:spacing w:line="240" w:lineRule="auto"/>
              <w:ind w:firstLine="480"/>
              <w:jc w:val="center"/>
              <w:rPr>
                <w:rFonts w:hint="eastAsia" w:ascii="宋体" w:hAnsi="宋体" w:eastAsia="宋体" w:cs="宋体"/>
                <w:sz w:val="20"/>
                <w:szCs w:val="20"/>
              </w:rPr>
            </w:pPr>
            <w:r>
              <w:rPr>
                <w:rFonts w:hint="eastAsia" w:ascii="宋体" w:hAnsi="宋体" w:eastAsia="宋体" w:cs="宋体"/>
                <w:sz w:val="20"/>
                <w:szCs w:val="20"/>
              </w:rPr>
              <w:t>学校</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26所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Merge w:val="continue"/>
            <w:vAlign w:val="center"/>
          </w:tcPr>
          <w:p>
            <w:pPr>
              <w:spacing w:line="240" w:lineRule="auto"/>
              <w:ind w:firstLine="480"/>
              <w:jc w:val="center"/>
              <w:rPr>
                <w:rFonts w:hint="eastAsia" w:ascii="宋体" w:hAnsi="宋体" w:eastAsia="宋体" w:cs="宋体"/>
                <w:sz w:val="20"/>
                <w:szCs w:val="20"/>
              </w:rPr>
            </w:pP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医疗卫生机构</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5所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Merge w:val="continue"/>
            <w:vAlign w:val="center"/>
          </w:tcPr>
          <w:p>
            <w:pPr>
              <w:spacing w:line="240" w:lineRule="auto"/>
              <w:ind w:firstLine="480"/>
              <w:jc w:val="center"/>
              <w:rPr>
                <w:rFonts w:hint="eastAsia" w:ascii="宋体" w:hAnsi="宋体" w:eastAsia="宋体" w:cs="宋体"/>
                <w:sz w:val="20"/>
                <w:szCs w:val="20"/>
              </w:rPr>
            </w:pP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提供住宿的社会服务机构</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3所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Merge w:val="continue"/>
            <w:vAlign w:val="center"/>
          </w:tcPr>
          <w:p>
            <w:pPr>
              <w:spacing w:line="240" w:lineRule="auto"/>
              <w:ind w:firstLine="480"/>
              <w:jc w:val="center"/>
              <w:rPr>
                <w:rFonts w:hint="eastAsia" w:ascii="宋体" w:hAnsi="宋体" w:eastAsia="宋体" w:cs="宋体"/>
                <w:sz w:val="20"/>
                <w:szCs w:val="20"/>
              </w:rPr>
            </w:pP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大型超市、百货店和亿元以上商品交易市场</w:t>
            </w:r>
          </w:p>
        </w:tc>
        <w:tc>
          <w:tcPr>
            <w:tcW w:w="1138" w:type="dxa"/>
            <w:vAlign w:val="center"/>
          </w:tcPr>
          <w:p>
            <w:pPr>
              <w:tabs>
                <w:tab w:val="left" w:pos="960"/>
              </w:tabs>
              <w:spacing w:line="240" w:lineRule="auto"/>
              <w:ind w:firstLine="200" w:firstLineChars="100"/>
              <w:rPr>
                <w:rFonts w:hint="eastAsia" w:ascii="宋体" w:hAnsi="宋体" w:eastAsia="宋体" w:cs="宋体"/>
                <w:sz w:val="20"/>
                <w:szCs w:val="20"/>
              </w:rPr>
            </w:pPr>
            <w:r>
              <w:rPr>
                <w:rFonts w:hint="eastAsia" w:ascii="宋体" w:hAnsi="宋体" w:eastAsia="宋体" w:cs="宋体"/>
                <w:sz w:val="20"/>
                <w:szCs w:val="20"/>
              </w:rPr>
              <w:t>4处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危险化学品自然灾害承灾体</w:t>
            </w: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加油加气加氢站</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9个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restart"/>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综合减灾能力</w:t>
            </w:r>
          </w:p>
        </w:tc>
        <w:tc>
          <w:tcPr>
            <w:tcW w:w="1842" w:type="dxa"/>
            <w:vMerge w:val="restart"/>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政府减灾能力调查</w:t>
            </w: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政府灾害管理能力</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4处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Merge w:val="continue"/>
            <w:vAlign w:val="center"/>
          </w:tcPr>
          <w:p>
            <w:pPr>
              <w:spacing w:line="240" w:lineRule="auto"/>
              <w:ind w:firstLine="480"/>
              <w:jc w:val="center"/>
              <w:rPr>
                <w:rFonts w:hint="eastAsia" w:ascii="宋体" w:hAnsi="宋体" w:eastAsia="宋体" w:cs="宋体"/>
                <w:sz w:val="20"/>
                <w:szCs w:val="20"/>
              </w:rPr>
            </w:pP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救灾物资储备库（点）</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5个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Merge w:val="continue"/>
            <w:vAlign w:val="center"/>
          </w:tcPr>
          <w:p>
            <w:pPr>
              <w:spacing w:line="240" w:lineRule="auto"/>
              <w:ind w:firstLine="480"/>
              <w:jc w:val="center"/>
              <w:rPr>
                <w:rFonts w:hint="eastAsia" w:ascii="宋体" w:hAnsi="宋体" w:eastAsia="宋体" w:cs="宋体"/>
                <w:sz w:val="20"/>
                <w:szCs w:val="20"/>
              </w:rPr>
            </w:pP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应急避难场所</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1处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Merge w:val="restart"/>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乡镇与社区减灾能力</w:t>
            </w: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乡镇（街道减灾能力）</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4个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1842" w:type="dxa"/>
            <w:vMerge w:val="continue"/>
            <w:vAlign w:val="center"/>
          </w:tcPr>
          <w:p>
            <w:pPr>
              <w:spacing w:line="240" w:lineRule="auto"/>
              <w:ind w:firstLine="480"/>
              <w:jc w:val="center"/>
              <w:rPr>
                <w:rFonts w:hint="eastAsia" w:ascii="宋体" w:hAnsi="宋体" w:eastAsia="宋体" w:cs="宋体"/>
                <w:sz w:val="20"/>
                <w:szCs w:val="20"/>
              </w:rPr>
            </w:pPr>
          </w:p>
        </w:tc>
        <w:tc>
          <w:tcPr>
            <w:tcW w:w="3165" w:type="dxa"/>
            <w:vAlign w:val="center"/>
          </w:tcPr>
          <w:p>
            <w:pPr>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社区（行政村）减灾能力</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46个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exact"/>
        </w:trPr>
        <w:tc>
          <w:tcPr>
            <w:tcW w:w="1994" w:type="dxa"/>
            <w:vMerge w:val="continue"/>
            <w:vAlign w:val="center"/>
          </w:tcPr>
          <w:p>
            <w:pPr>
              <w:spacing w:line="240" w:lineRule="auto"/>
              <w:ind w:firstLine="480"/>
              <w:jc w:val="center"/>
              <w:rPr>
                <w:rFonts w:hint="eastAsia" w:ascii="宋体" w:hAnsi="宋体" w:eastAsia="宋体" w:cs="宋体"/>
                <w:sz w:val="20"/>
                <w:szCs w:val="20"/>
              </w:rPr>
            </w:pPr>
          </w:p>
        </w:tc>
        <w:tc>
          <w:tcPr>
            <w:tcW w:w="5007" w:type="dxa"/>
            <w:gridSpan w:val="2"/>
            <w:vAlign w:val="center"/>
          </w:tcPr>
          <w:p>
            <w:pPr>
              <w:spacing w:line="240" w:lineRule="auto"/>
              <w:ind w:firstLine="480"/>
              <w:jc w:val="center"/>
              <w:rPr>
                <w:rFonts w:hint="eastAsia" w:ascii="宋体" w:hAnsi="宋体" w:eastAsia="宋体" w:cs="宋体"/>
                <w:sz w:val="20"/>
                <w:szCs w:val="20"/>
              </w:rPr>
            </w:pPr>
            <w:r>
              <w:rPr>
                <w:rFonts w:hint="eastAsia" w:ascii="宋体" w:hAnsi="宋体" w:eastAsia="宋体" w:cs="宋体"/>
                <w:sz w:val="20"/>
                <w:szCs w:val="20"/>
              </w:rPr>
              <w:t>家庭减灾能力</w:t>
            </w:r>
          </w:p>
        </w:tc>
        <w:tc>
          <w:tcPr>
            <w:tcW w:w="1138" w:type="dxa"/>
            <w:vAlign w:val="center"/>
          </w:tcPr>
          <w:p>
            <w:pPr>
              <w:tabs>
                <w:tab w:val="left" w:pos="960"/>
              </w:tabs>
              <w:spacing w:line="240" w:lineRule="auto"/>
              <w:ind w:firstLine="0" w:firstLineChars="0"/>
              <w:jc w:val="center"/>
              <w:rPr>
                <w:rFonts w:hint="eastAsia" w:ascii="宋体" w:hAnsi="宋体" w:eastAsia="宋体" w:cs="宋体"/>
                <w:sz w:val="20"/>
                <w:szCs w:val="20"/>
              </w:rPr>
            </w:pPr>
            <w:r>
              <w:rPr>
                <w:rFonts w:hint="eastAsia" w:ascii="宋体" w:hAnsi="宋体" w:eastAsia="宋体" w:cs="宋体"/>
                <w:sz w:val="20"/>
                <w:szCs w:val="20"/>
              </w:rPr>
              <w:t>161户</w:t>
            </w:r>
          </w:p>
        </w:tc>
      </w:tr>
    </w:tbl>
    <w:p>
      <w:pPr>
        <w:ind w:firstLine="640"/>
        <w:rPr>
          <w:rFonts w:hint="eastAsia" w:ascii="仿宋" w:hAnsi="仿宋" w:cs="仿宋"/>
        </w:rPr>
      </w:pPr>
      <w:r>
        <w:rPr>
          <w:rFonts w:hint="eastAsia" w:ascii="仿宋" w:hAnsi="仿宋" w:cs="仿宋"/>
        </w:rPr>
        <w:t>备注：医疗卫生机构原为6处，其中一处未建成，被排除普查范围；宗教活动场所原为5处，5处最大节假日人流量皆小于调查范围；政府灾害管理能力原为2处，后增加至4处；应急避难场所原为3处，根据省级要求排除2处；家庭减灾能力原为133户，根据省级抽查结果增加至160户。</w:t>
      </w:r>
    </w:p>
    <w:tbl>
      <w:tblPr>
        <w:tblStyle w:val="18"/>
        <w:tblpPr w:leftFromText="180" w:rightFromText="180" w:vertAnchor="text" w:horzAnchor="page" w:tblpX="2049" w:tblpY="415"/>
        <w:tblOverlap w:val="never"/>
        <w:tblW w:w="818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40"/>
        <w:gridCol w:w="1590"/>
        <w:gridCol w:w="54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8182" w:type="dxa"/>
            <w:gridSpan w:val="3"/>
            <w:vAlign w:val="center"/>
          </w:tcPr>
          <w:p>
            <w:pPr>
              <w:spacing w:line="240" w:lineRule="auto"/>
              <w:ind w:firstLine="482"/>
              <w:jc w:val="center"/>
              <w:rPr>
                <w:rFonts w:hint="eastAsia" w:ascii="宋体" w:hAnsi="宋体" w:eastAsia="宋体" w:cs="宋体"/>
                <w:sz w:val="24"/>
                <w:szCs w:val="24"/>
              </w:rPr>
            </w:pPr>
            <w:r>
              <w:rPr>
                <w:rFonts w:hint="eastAsia" w:ascii="宋体" w:hAnsi="宋体" w:eastAsia="宋体" w:cs="宋体"/>
                <w:b/>
                <w:bCs/>
                <w:sz w:val="24"/>
                <w:szCs w:val="24"/>
              </w:rPr>
              <w:t>水利部分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140" w:type="dxa"/>
            <w:vMerge w:val="restar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水旱灾害调查</w:t>
            </w:r>
          </w:p>
        </w:tc>
        <w:tc>
          <w:tcPr>
            <w:tcW w:w="1590" w:type="dxa"/>
            <w:vMerge w:val="restar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洪水灾害隐患调查</w:t>
            </w:r>
          </w:p>
        </w:tc>
        <w:tc>
          <w:tcPr>
            <w:tcW w:w="5452"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水库（水电站）大坝安全隐患调查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140" w:type="dxa"/>
            <w:vMerge w:val="continue"/>
            <w:vAlign w:val="center"/>
          </w:tcPr>
          <w:p>
            <w:pPr>
              <w:spacing w:line="240" w:lineRule="auto"/>
              <w:ind w:firstLine="480"/>
              <w:jc w:val="center"/>
              <w:rPr>
                <w:rFonts w:hint="eastAsia" w:ascii="宋体" w:hAnsi="宋体" w:eastAsia="宋体" w:cs="宋体"/>
                <w:sz w:val="24"/>
                <w:szCs w:val="24"/>
              </w:rPr>
            </w:pPr>
          </w:p>
        </w:tc>
        <w:tc>
          <w:tcPr>
            <w:tcW w:w="1590" w:type="dxa"/>
            <w:vMerge w:val="continue"/>
            <w:vAlign w:val="center"/>
          </w:tcPr>
          <w:p>
            <w:pPr>
              <w:spacing w:line="240" w:lineRule="auto"/>
              <w:ind w:firstLine="480"/>
              <w:jc w:val="center"/>
              <w:rPr>
                <w:rFonts w:hint="eastAsia" w:ascii="宋体" w:hAnsi="宋体" w:eastAsia="宋体" w:cs="宋体"/>
                <w:sz w:val="24"/>
                <w:szCs w:val="24"/>
              </w:rPr>
            </w:pPr>
          </w:p>
        </w:tc>
        <w:tc>
          <w:tcPr>
            <w:tcW w:w="5452"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堤防工程安全隐患调查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7" w:hRule="exact"/>
        </w:trPr>
        <w:tc>
          <w:tcPr>
            <w:tcW w:w="1140" w:type="dxa"/>
            <w:vMerge w:val="continue"/>
            <w:vAlign w:val="center"/>
          </w:tcPr>
          <w:p>
            <w:pPr>
              <w:spacing w:line="240" w:lineRule="auto"/>
              <w:ind w:firstLine="480"/>
              <w:jc w:val="center"/>
              <w:rPr>
                <w:rFonts w:hint="eastAsia" w:ascii="宋体" w:hAnsi="宋体" w:eastAsia="宋体" w:cs="宋体"/>
                <w:sz w:val="24"/>
                <w:szCs w:val="24"/>
              </w:rPr>
            </w:pPr>
          </w:p>
        </w:tc>
        <w:tc>
          <w:tcPr>
            <w:tcW w:w="1590" w:type="dxa"/>
            <w:vMerge w:val="restar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干旱灾害风险调查</w:t>
            </w:r>
          </w:p>
        </w:tc>
        <w:tc>
          <w:tcPr>
            <w:tcW w:w="5452" w:type="dxa"/>
            <w:vAlign w:val="center"/>
          </w:tcPr>
          <w:p>
            <w:pPr>
              <w:spacing w:line="240" w:lineRule="auto"/>
              <w:ind w:firstLine="0" w:firstLineChars="0"/>
              <w:jc w:val="center"/>
              <w:rPr>
                <w:rFonts w:hint="eastAsia" w:ascii="宋体" w:hAnsi="宋体" w:eastAsia="宋体" w:cs="宋体"/>
                <w:sz w:val="24"/>
                <w:szCs w:val="24"/>
              </w:rPr>
            </w:pPr>
            <w:bookmarkStart w:id="645" w:name="_Toc30223"/>
            <w:bookmarkStart w:id="646" w:name="_Toc23376"/>
            <w:bookmarkStart w:id="647" w:name="_Toc17404"/>
            <w:bookmarkStart w:id="648" w:name="_Toc28981"/>
            <w:r>
              <w:rPr>
                <w:rFonts w:hint="eastAsia" w:ascii="宋体" w:hAnsi="宋体" w:eastAsia="宋体" w:cs="宋体"/>
                <w:sz w:val="24"/>
                <w:szCs w:val="24"/>
              </w:rPr>
              <w:t>2017—2020年供用水情况调查表</w:t>
            </w:r>
            <w:bookmarkEnd w:id="645"/>
            <w:bookmarkEnd w:id="646"/>
            <w:bookmarkEnd w:id="647"/>
            <w:bookmarkEnd w:id="648"/>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140" w:type="dxa"/>
            <w:vMerge w:val="continue"/>
            <w:vAlign w:val="center"/>
          </w:tcPr>
          <w:p>
            <w:pPr>
              <w:spacing w:line="240" w:lineRule="auto"/>
              <w:ind w:firstLine="480"/>
              <w:jc w:val="center"/>
              <w:rPr>
                <w:rFonts w:hint="eastAsia" w:ascii="宋体" w:hAnsi="宋体" w:eastAsia="宋体" w:cs="宋体"/>
                <w:sz w:val="24"/>
                <w:szCs w:val="24"/>
              </w:rPr>
            </w:pPr>
          </w:p>
        </w:tc>
        <w:tc>
          <w:tcPr>
            <w:tcW w:w="1590" w:type="dxa"/>
            <w:vMerge w:val="continue"/>
            <w:vAlign w:val="center"/>
          </w:tcPr>
          <w:p>
            <w:pPr>
              <w:spacing w:line="240" w:lineRule="auto"/>
              <w:ind w:firstLine="480"/>
              <w:jc w:val="center"/>
              <w:rPr>
                <w:rFonts w:hint="eastAsia" w:ascii="宋体" w:hAnsi="宋体" w:eastAsia="宋体" w:cs="宋体"/>
                <w:sz w:val="24"/>
                <w:szCs w:val="24"/>
              </w:rPr>
            </w:pPr>
          </w:p>
        </w:tc>
        <w:tc>
          <w:tcPr>
            <w:tcW w:w="5452" w:type="dxa"/>
            <w:vAlign w:val="center"/>
          </w:tcPr>
          <w:p>
            <w:pPr>
              <w:spacing w:line="240" w:lineRule="auto"/>
              <w:ind w:firstLine="0" w:firstLineChars="0"/>
              <w:jc w:val="center"/>
              <w:rPr>
                <w:rFonts w:hint="eastAsia" w:ascii="宋体" w:hAnsi="宋体" w:eastAsia="宋体" w:cs="宋体"/>
                <w:sz w:val="24"/>
                <w:szCs w:val="24"/>
              </w:rPr>
            </w:pPr>
            <w:bookmarkStart w:id="649" w:name="_Toc28579"/>
            <w:bookmarkStart w:id="650" w:name="_Toc5048"/>
            <w:bookmarkStart w:id="651" w:name="_Toc30234"/>
            <w:bookmarkStart w:id="652" w:name="_Toc1229"/>
            <w:r>
              <w:rPr>
                <w:rFonts w:hint="eastAsia" w:ascii="宋体" w:hAnsi="宋体" w:eastAsia="宋体" w:cs="宋体"/>
                <w:sz w:val="24"/>
                <w:szCs w:val="24"/>
              </w:rPr>
              <w:t>2020年抗旱工程及非工程能力调查表</w:t>
            </w:r>
            <w:bookmarkEnd w:id="649"/>
            <w:bookmarkEnd w:id="650"/>
            <w:bookmarkEnd w:id="651"/>
            <w:bookmarkEnd w:id="65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140" w:type="dxa"/>
            <w:vMerge w:val="continue"/>
            <w:vAlign w:val="center"/>
          </w:tcPr>
          <w:p>
            <w:pPr>
              <w:spacing w:line="240" w:lineRule="auto"/>
              <w:ind w:firstLine="480"/>
              <w:jc w:val="center"/>
              <w:rPr>
                <w:rFonts w:hint="eastAsia" w:ascii="宋体" w:hAnsi="宋体" w:eastAsia="宋体" w:cs="宋体"/>
                <w:sz w:val="24"/>
                <w:szCs w:val="24"/>
              </w:rPr>
            </w:pPr>
          </w:p>
        </w:tc>
        <w:tc>
          <w:tcPr>
            <w:tcW w:w="1590" w:type="dxa"/>
            <w:vMerge w:val="continue"/>
            <w:vAlign w:val="center"/>
          </w:tcPr>
          <w:p>
            <w:pPr>
              <w:spacing w:line="240" w:lineRule="auto"/>
              <w:ind w:firstLine="480"/>
              <w:jc w:val="center"/>
              <w:rPr>
                <w:rFonts w:hint="eastAsia" w:ascii="宋体" w:hAnsi="宋体" w:eastAsia="宋体" w:cs="宋体"/>
                <w:sz w:val="24"/>
                <w:szCs w:val="24"/>
              </w:rPr>
            </w:pPr>
          </w:p>
        </w:tc>
        <w:tc>
          <w:tcPr>
            <w:tcW w:w="5452" w:type="dxa"/>
            <w:vAlign w:val="center"/>
          </w:tcPr>
          <w:p>
            <w:pPr>
              <w:spacing w:line="240" w:lineRule="auto"/>
              <w:ind w:firstLine="0" w:firstLineChars="0"/>
              <w:jc w:val="center"/>
              <w:rPr>
                <w:rFonts w:hint="eastAsia" w:ascii="宋体" w:hAnsi="宋体" w:eastAsia="宋体" w:cs="宋体"/>
                <w:sz w:val="24"/>
                <w:szCs w:val="24"/>
              </w:rPr>
            </w:pPr>
            <w:bookmarkStart w:id="653" w:name="_Toc7419"/>
            <w:bookmarkStart w:id="654" w:name="_Toc31200"/>
            <w:bookmarkStart w:id="655" w:name="_Toc10087"/>
            <w:bookmarkStart w:id="656" w:name="_Toc32152"/>
            <w:r>
              <w:rPr>
                <w:rFonts w:hint="eastAsia" w:ascii="宋体" w:hAnsi="宋体" w:eastAsia="宋体" w:cs="宋体"/>
                <w:sz w:val="24"/>
                <w:szCs w:val="24"/>
              </w:rPr>
              <w:t>2020年城镇水源情况调查表</w:t>
            </w:r>
            <w:bookmarkEnd w:id="653"/>
            <w:bookmarkEnd w:id="654"/>
            <w:bookmarkEnd w:id="655"/>
            <w:bookmarkEnd w:id="656"/>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140" w:type="dxa"/>
            <w:vMerge w:val="continue"/>
            <w:vAlign w:val="center"/>
          </w:tcPr>
          <w:p>
            <w:pPr>
              <w:spacing w:line="240" w:lineRule="auto"/>
              <w:ind w:firstLine="480"/>
              <w:jc w:val="center"/>
              <w:rPr>
                <w:rFonts w:hint="eastAsia" w:ascii="宋体" w:hAnsi="宋体" w:eastAsia="宋体" w:cs="宋体"/>
                <w:sz w:val="24"/>
                <w:szCs w:val="24"/>
              </w:rPr>
            </w:pPr>
          </w:p>
        </w:tc>
        <w:tc>
          <w:tcPr>
            <w:tcW w:w="1590" w:type="dxa"/>
            <w:vMerge w:val="continue"/>
            <w:vAlign w:val="center"/>
          </w:tcPr>
          <w:p>
            <w:pPr>
              <w:spacing w:line="240" w:lineRule="auto"/>
              <w:ind w:firstLine="480"/>
              <w:jc w:val="center"/>
              <w:rPr>
                <w:rFonts w:hint="eastAsia" w:ascii="宋体" w:hAnsi="宋体" w:eastAsia="宋体" w:cs="宋体"/>
                <w:sz w:val="24"/>
                <w:szCs w:val="24"/>
              </w:rPr>
            </w:pPr>
          </w:p>
        </w:tc>
        <w:tc>
          <w:tcPr>
            <w:tcW w:w="5452" w:type="dxa"/>
            <w:vAlign w:val="center"/>
          </w:tcPr>
          <w:p>
            <w:pPr>
              <w:spacing w:line="240" w:lineRule="auto"/>
              <w:ind w:firstLine="0" w:firstLineChars="0"/>
              <w:jc w:val="center"/>
              <w:rPr>
                <w:rFonts w:hint="eastAsia" w:ascii="宋体" w:hAnsi="宋体" w:eastAsia="宋体" w:cs="宋体"/>
                <w:sz w:val="24"/>
                <w:szCs w:val="24"/>
              </w:rPr>
            </w:pPr>
            <w:bookmarkStart w:id="657" w:name="_Toc2479"/>
            <w:bookmarkStart w:id="658" w:name="_Toc19923"/>
            <w:bookmarkStart w:id="659" w:name="_Toc15639"/>
            <w:bookmarkStart w:id="660" w:name="_Toc26538"/>
            <w:r>
              <w:rPr>
                <w:rFonts w:hint="eastAsia" w:ascii="宋体" w:hAnsi="宋体" w:eastAsia="宋体" w:cs="宋体"/>
                <w:sz w:val="24"/>
                <w:szCs w:val="24"/>
              </w:rPr>
              <w:t>2008～2020年旱情及旱灾损失调查表</w:t>
            </w:r>
            <w:bookmarkEnd w:id="657"/>
            <w:bookmarkEnd w:id="658"/>
            <w:bookmarkEnd w:id="659"/>
            <w:bookmarkEnd w:id="660"/>
          </w:p>
        </w:tc>
      </w:tr>
    </w:tbl>
    <w:tbl>
      <w:tblPr>
        <w:tblStyle w:val="18"/>
        <w:tblpPr w:leftFromText="180" w:rightFromText="180" w:vertAnchor="text" w:horzAnchor="page" w:tblpX="2031" w:tblpY="543"/>
        <w:tblOverlap w:val="never"/>
        <w:tblW w:w="821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03"/>
        <w:gridCol w:w="1133"/>
        <w:gridCol w:w="3187"/>
        <w:gridCol w:w="23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8213" w:type="dxa"/>
            <w:gridSpan w:val="4"/>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b/>
                <w:bCs/>
                <w:sz w:val="24"/>
                <w:szCs w:val="24"/>
              </w:rPr>
              <w:t>公路承灾体部分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503" w:type="dxa"/>
            <w:vMerge w:val="restar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国省干道</w:t>
            </w:r>
          </w:p>
        </w:tc>
        <w:tc>
          <w:tcPr>
            <w:tcW w:w="1133" w:type="dxa"/>
            <w:vMerge w:val="restar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国道</w:t>
            </w:r>
          </w:p>
        </w:tc>
        <w:tc>
          <w:tcPr>
            <w:tcW w:w="3187"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G246</w:t>
            </w:r>
          </w:p>
        </w:tc>
        <w:tc>
          <w:tcPr>
            <w:tcW w:w="2390"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6.86公里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503" w:type="dxa"/>
            <w:vMerge w:val="continue"/>
            <w:vAlign w:val="center"/>
          </w:tcPr>
          <w:p>
            <w:pPr>
              <w:spacing w:line="240" w:lineRule="auto"/>
              <w:ind w:firstLine="0" w:firstLineChars="0"/>
              <w:jc w:val="center"/>
              <w:rPr>
                <w:rFonts w:hint="eastAsia" w:ascii="宋体" w:hAnsi="宋体" w:eastAsia="宋体" w:cs="宋体"/>
                <w:sz w:val="24"/>
                <w:szCs w:val="24"/>
              </w:rPr>
            </w:pPr>
          </w:p>
        </w:tc>
        <w:tc>
          <w:tcPr>
            <w:tcW w:w="1133" w:type="dxa"/>
            <w:vMerge w:val="continue"/>
            <w:vAlign w:val="center"/>
          </w:tcPr>
          <w:p>
            <w:pPr>
              <w:spacing w:line="240" w:lineRule="auto"/>
              <w:ind w:firstLine="0" w:firstLineChars="0"/>
              <w:jc w:val="center"/>
              <w:rPr>
                <w:rFonts w:hint="eastAsia" w:ascii="宋体" w:hAnsi="宋体" w:eastAsia="宋体" w:cs="宋体"/>
                <w:sz w:val="24"/>
                <w:szCs w:val="24"/>
              </w:rPr>
            </w:pPr>
          </w:p>
        </w:tc>
        <w:tc>
          <w:tcPr>
            <w:tcW w:w="3187"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G247</w:t>
            </w:r>
          </w:p>
        </w:tc>
        <w:tc>
          <w:tcPr>
            <w:tcW w:w="2390"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14.39公里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503" w:type="dxa"/>
            <w:vMerge w:val="continue"/>
            <w:vAlign w:val="center"/>
          </w:tcPr>
          <w:p>
            <w:pPr>
              <w:spacing w:line="240" w:lineRule="auto"/>
              <w:ind w:firstLine="0" w:firstLineChars="0"/>
              <w:jc w:val="center"/>
              <w:rPr>
                <w:rFonts w:hint="eastAsia" w:ascii="宋体" w:hAnsi="宋体" w:eastAsia="宋体" w:cs="宋体"/>
                <w:sz w:val="24"/>
                <w:szCs w:val="24"/>
              </w:rPr>
            </w:pPr>
          </w:p>
        </w:tc>
        <w:tc>
          <w:tcPr>
            <w:tcW w:w="1133" w:type="dxa"/>
            <w:vMerge w:val="continue"/>
            <w:vAlign w:val="center"/>
          </w:tcPr>
          <w:p>
            <w:pPr>
              <w:spacing w:line="240" w:lineRule="auto"/>
              <w:ind w:firstLine="0" w:firstLineChars="0"/>
              <w:jc w:val="center"/>
              <w:rPr>
                <w:rFonts w:hint="eastAsia" w:ascii="宋体" w:hAnsi="宋体" w:eastAsia="宋体" w:cs="宋体"/>
                <w:sz w:val="24"/>
                <w:szCs w:val="24"/>
              </w:rPr>
            </w:pPr>
          </w:p>
        </w:tc>
        <w:tc>
          <w:tcPr>
            <w:tcW w:w="3187"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G318</w:t>
            </w:r>
          </w:p>
        </w:tc>
        <w:tc>
          <w:tcPr>
            <w:tcW w:w="2390"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3.57公里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503" w:type="dxa"/>
            <w:vMerge w:val="continue"/>
            <w:vAlign w:val="center"/>
          </w:tcPr>
          <w:p>
            <w:pPr>
              <w:spacing w:line="240" w:lineRule="auto"/>
              <w:ind w:firstLine="0" w:firstLineChars="0"/>
              <w:jc w:val="center"/>
              <w:rPr>
                <w:rFonts w:hint="eastAsia" w:ascii="宋体" w:hAnsi="宋体" w:eastAsia="宋体" w:cs="宋体"/>
                <w:sz w:val="24"/>
                <w:szCs w:val="24"/>
              </w:rPr>
            </w:pPr>
          </w:p>
        </w:tc>
        <w:tc>
          <w:tcPr>
            <w:tcW w:w="1133"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省道</w:t>
            </w:r>
          </w:p>
        </w:tc>
        <w:tc>
          <w:tcPr>
            <w:tcW w:w="3187"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S207</w:t>
            </w:r>
          </w:p>
        </w:tc>
        <w:tc>
          <w:tcPr>
            <w:tcW w:w="2390"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18.75公里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503"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农村公路</w:t>
            </w:r>
          </w:p>
        </w:tc>
        <w:tc>
          <w:tcPr>
            <w:tcW w:w="4320" w:type="dxa"/>
            <w:gridSpan w:val="2"/>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乡道及农村公路</w:t>
            </w:r>
          </w:p>
        </w:tc>
        <w:tc>
          <w:tcPr>
            <w:tcW w:w="2390"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227.94公里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503"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桥梁</w:t>
            </w:r>
          </w:p>
        </w:tc>
        <w:tc>
          <w:tcPr>
            <w:tcW w:w="4320" w:type="dxa"/>
            <w:gridSpan w:val="2"/>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国省干道及农村公路上的桥梁</w:t>
            </w:r>
          </w:p>
        </w:tc>
        <w:tc>
          <w:tcPr>
            <w:tcW w:w="2390"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39座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0" w:hRule="exact"/>
        </w:trPr>
        <w:tc>
          <w:tcPr>
            <w:tcW w:w="1503"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风险点</w:t>
            </w:r>
          </w:p>
        </w:tc>
        <w:tc>
          <w:tcPr>
            <w:tcW w:w="4320" w:type="dxa"/>
            <w:gridSpan w:val="2"/>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高边坡及风险点</w:t>
            </w:r>
          </w:p>
        </w:tc>
        <w:tc>
          <w:tcPr>
            <w:tcW w:w="2390" w:type="dxa"/>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20处</w:t>
            </w:r>
          </w:p>
        </w:tc>
      </w:tr>
    </w:tbl>
    <w:p>
      <w:pPr>
        <w:ind w:firstLine="0" w:firstLineChars="0"/>
        <w:rPr>
          <w:rFonts w:hint="eastAsia" w:ascii="仿宋" w:hAnsi="仿宋" w:cs="仿宋"/>
          <w:sz w:val="24"/>
          <w:szCs w:val="24"/>
        </w:rPr>
      </w:pPr>
    </w:p>
    <w:bookmarkEnd w:id="642"/>
    <w:bookmarkEnd w:id="643"/>
    <w:bookmarkEnd w:id="644"/>
    <w:p>
      <w:pPr>
        <w:pStyle w:val="4"/>
        <w:ind w:firstLine="643"/>
        <w:rPr>
          <w:rFonts w:hint="eastAsia"/>
        </w:rPr>
      </w:pPr>
      <w:r>
        <w:rPr>
          <w:rFonts w:hint="eastAsia"/>
        </w:rPr>
        <w:t>3.资金投入</w:t>
      </w:r>
    </w:p>
    <w:p>
      <w:pPr>
        <w:ind w:firstLine="640"/>
        <w:rPr>
          <w:rFonts w:hint="eastAsia" w:ascii="仿宋" w:hAnsi="仿宋" w:cs="仿宋"/>
        </w:rPr>
      </w:pPr>
      <w:bookmarkStart w:id="661" w:name="_Toc29455"/>
      <w:bookmarkStart w:id="662" w:name="_Toc31975"/>
      <w:bookmarkStart w:id="663" w:name="_Toc8461"/>
      <w:bookmarkStart w:id="664" w:name="_Toc15457"/>
      <w:r>
        <w:rPr>
          <w:rFonts w:hint="eastAsia" w:ascii="仿宋" w:hAnsi="仿宋" w:cs="仿宋"/>
        </w:rPr>
        <w:t>按照综合预算的原则，遂宁高新区应急分局所有收入和支出均纳入部门预算管理。2023年度遂宁市高新区应急分局自然灾害风险普查项目预算为117.00万元。</w:t>
      </w:r>
      <w:bookmarkEnd w:id="661"/>
      <w:bookmarkEnd w:id="662"/>
      <w:bookmarkEnd w:id="663"/>
      <w:bookmarkEnd w:id="664"/>
    </w:p>
    <w:p>
      <w:pPr>
        <w:pStyle w:val="6"/>
        <w:ind w:firstLine="640"/>
        <w:rPr>
          <w:color w:val="000000" w:themeColor="text1"/>
          <w14:textFill>
            <w14:solidFill>
              <w14:schemeClr w14:val="tx1"/>
            </w14:solidFill>
          </w14:textFill>
        </w:rPr>
      </w:pPr>
      <w:r>
        <w:rPr>
          <w:rFonts w:hint="eastAsia"/>
          <w:color w:val="000000" w:themeColor="text1"/>
          <w14:textFill>
            <w14:solidFill>
              <w14:schemeClr w14:val="tx1"/>
            </w14:solidFill>
          </w14:textFill>
        </w:rPr>
        <w:t>遂宁高新区财政金融局下达</w:t>
      </w:r>
      <w:r>
        <w:rPr>
          <w:rFonts w:hint="eastAsia" w:ascii="仿宋" w:hAnsi="仿宋" w:cs="仿宋"/>
          <w:color w:val="000000" w:themeColor="text1"/>
          <w14:textFill>
            <w14:solidFill>
              <w14:schemeClr w14:val="tx1"/>
            </w14:solidFill>
          </w14:textFill>
        </w:rPr>
        <w:t>自然灾害风险普查资金117.00万元，资金到位率100%，资金到位及时。</w:t>
      </w:r>
    </w:p>
    <w:p>
      <w:pPr>
        <w:pStyle w:val="4"/>
        <w:ind w:firstLine="643"/>
        <w:rPr>
          <w:rFonts w:hint="eastAsia"/>
        </w:rPr>
      </w:pPr>
      <w:r>
        <w:rPr>
          <w:rFonts w:hint="eastAsia"/>
        </w:rPr>
        <w:t>4.资金使用情况</w:t>
      </w:r>
    </w:p>
    <w:p>
      <w:pPr>
        <w:ind w:firstLine="640"/>
        <w:rPr>
          <w:rFonts w:hint="eastAsia" w:ascii="仿宋" w:hAnsi="仿宋" w:cs="仿宋"/>
          <w:szCs w:val="32"/>
        </w:rPr>
      </w:pPr>
      <w:r>
        <w:rPr>
          <w:rFonts w:hint="eastAsia" w:ascii="仿宋" w:hAnsi="仿宋" w:cs="仿宋"/>
        </w:rPr>
        <w:t>截至评价节点，本项目2023年共支出0笔，金额0.00万元，预算资金未支付，预算执行率为0.00%。</w:t>
      </w:r>
    </w:p>
    <w:p>
      <w:pPr>
        <w:pStyle w:val="3"/>
        <w:numPr>
          <w:ilvl w:val="0"/>
          <w:numId w:val="4"/>
        </w:numPr>
        <w:ind w:left="-3" w:leftChars="0" w:firstLine="643" w:firstLineChars="0"/>
      </w:pPr>
      <w:bookmarkStart w:id="665" w:name="_Toc31078"/>
      <w:r>
        <w:rPr>
          <w:rFonts w:hint="eastAsia"/>
        </w:rPr>
        <w:t>绩效目标</w:t>
      </w:r>
      <w:bookmarkEnd w:id="665"/>
    </w:p>
    <w:p>
      <w:pPr>
        <w:ind w:firstLine="640"/>
      </w:pPr>
      <w:r>
        <w:rPr>
          <w:rFonts w:hint="eastAsia"/>
        </w:rPr>
        <w:t>本项目严格按照自然灾害风险普查合同开展并完成目标。通过开展该项目全面摸清自然灾害隐患和风险底数，查明园区综合减灾能力，客观评价自然灾害综合风险水平，提高广大干部群众的防灾减灾意识，维护园区社会和谐稳定。为有效开展自然灾害防治工作、切实保障经济社会可持续发展提供权威的灾害风险信息和科学决策依据。</w:t>
      </w:r>
    </w:p>
    <w:p>
      <w:pPr>
        <w:pStyle w:val="2"/>
        <w:ind w:firstLine="643"/>
      </w:pPr>
      <w:bookmarkStart w:id="666" w:name="_Toc20863"/>
      <w:r>
        <w:rPr>
          <w:rFonts w:hint="eastAsia"/>
          <w:b/>
          <w:bCs w:val="0"/>
        </w:rPr>
        <w:t>二、绩效评价工作开展情况</w:t>
      </w:r>
      <w:bookmarkEnd w:id="666"/>
    </w:p>
    <w:p>
      <w:pPr>
        <w:pStyle w:val="3"/>
        <w:ind w:firstLine="643"/>
      </w:pPr>
      <w:bookmarkStart w:id="667" w:name="_Toc32621"/>
      <w:r>
        <w:rPr>
          <w:rFonts w:hint="eastAsia"/>
        </w:rPr>
        <w:t>（一）绩效评价目的、对象和范围</w:t>
      </w:r>
      <w:bookmarkEnd w:id="667"/>
      <w:bookmarkStart w:id="668" w:name="_Toc13385"/>
      <w:bookmarkStart w:id="669" w:name="_Toc6391"/>
      <w:bookmarkStart w:id="670" w:name="_Toc4808"/>
      <w:bookmarkStart w:id="671" w:name="_Toc27580"/>
      <w:bookmarkStart w:id="672" w:name="_Toc136351476"/>
    </w:p>
    <w:p>
      <w:pPr>
        <w:pStyle w:val="4"/>
        <w:ind w:firstLine="643"/>
        <w:rPr>
          <w:rFonts w:hint="eastAsia"/>
        </w:rPr>
      </w:pPr>
      <w:r>
        <w:rPr>
          <w:rFonts w:hint="eastAsia"/>
        </w:rPr>
        <w:t>1.绩效评价目的</w:t>
      </w:r>
      <w:bookmarkEnd w:id="668"/>
      <w:bookmarkEnd w:id="669"/>
      <w:bookmarkEnd w:id="670"/>
      <w:bookmarkEnd w:id="671"/>
      <w:bookmarkEnd w:id="672"/>
    </w:p>
    <w:p>
      <w:pPr>
        <w:ind w:firstLine="640"/>
      </w:pPr>
      <w:r>
        <w:rPr>
          <w:rFonts w:hint="eastAsia"/>
        </w:rPr>
        <w:t>根据项目绩效目标，运用科学合理的绩效评价指标、评价标准和评价方法，对遂宁高新区第一次全国自然灾害综合风险普查服务项目资金支出的经济性、效率性和效益性进行客观、公正地评价。通过绩效评价，有效贯彻落实中央关于全面实施预算绩效管理的决策部署，严格规范预算执行，深化预算绩效管理，加快构建全方位，全过程、全覆盖的预算绩效管理体系。强化结果运用，健全事前绩效评估与预算评审结合、事后绩效评价与预算安排和政策调整挂钩的激励约束机制，取消或削减低效无效资金，提高资金使用的安全性、规范性和有效性。</w:t>
      </w:r>
    </w:p>
    <w:p>
      <w:pPr>
        <w:pStyle w:val="4"/>
        <w:ind w:firstLine="643"/>
        <w:rPr>
          <w:rFonts w:hint="eastAsia"/>
        </w:rPr>
      </w:pPr>
      <w:bookmarkStart w:id="673" w:name="_Toc136351477"/>
      <w:bookmarkStart w:id="674" w:name="_Toc32098"/>
      <w:bookmarkStart w:id="675" w:name="_Toc129682475"/>
      <w:bookmarkStart w:id="676" w:name="_Toc4027"/>
      <w:bookmarkStart w:id="677" w:name="_Toc32093"/>
      <w:bookmarkStart w:id="678" w:name="_Toc27584"/>
      <w:bookmarkStart w:id="679" w:name="_Toc129683086"/>
      <w:r>
        <w:rPr>
          <w:rFonts w:hint="eastAsia"/>
        </w:rPr>
        <w:t>2.绩效评价对象</w:t>
      </w:r>
      <w:bookmarkEnd w:id="673"/>
      <w:bookmarkEnd w:id="674"/>
      <w:bookmarkEnd w:id="675"/>
      <w:bookmarkEnd w:id="676"/>
      <w:bookmarkEnd w:id="677"/>
      <w:bookmarkEnd w:id="678"/>
      <w:bookmarkEnd w:id="679"/>
    </w:p>
    <w:p>
      <w:pPr>
        <w:ind w:firstLine="640"/>
      </w:pPr>
      <w:r>
        <w:rPr>
          <w:rFonts w:hint="eastAsia"/>
        </w:rPr>
        <w:t>绩效评价对象：遂宁高新区第一次全国自然灾害综合风险普查服务项目资金</w:t>
      </w:r>
      <w:r>
        <w:rPr>
          <w:rFonts w:hint="eastAsia" w:ascii="仿宋" w:hAnsi="仿宋" w:cs="仿宋"/>
        </w:rPr>
        <w:t>117.00万</w:t>
      </w:r>
      <w:r>
        <w:rPr>
          <w:rFonts w:hint="eastAsia"/>
        </w:rPr>
        <w:t>元。</w:t>
      </w:r>
    </w:p>
    <w:p>
      <w:pPr>
        <w:pStyle w:val="4"/>
        <w:ind w:firstLine="643"/>
        <w:rPr>
          <w:rFonts w:hint="eastAsia"/>
        </w:rPr>
      </w:pPr>
      <w:bookmarkStart w:id="680" w:name="_Toc30727"/>
      <w:bookmarkStart w:id="681" w:name="_Toc32429"/>
      <w:bookmarkStart w:id="682" w:name="_Toc10851"/>
      <w:bookmarkStart w:id="683" w:name="_Toc14630"/>
      <w:bookmarkStart w:id="684" w:name="_Toc136351478"/>
      <w:r>
        <w:rPr>
          <w:rFonts w:hint="eastAsia"/>
        </w:rPr>
        <w:t>3.绩效评价范围</w:t>
      </w:r>
      <w:bookmarkEnd w:id="680"/>
      <w:bookmarkEnd w:id="681"/>
      <w:bookmarkEnd w:id="682"/>
      <w:bookmarkEnd w:id="683"/>
      <w:bookmarkEnd w:id="684"/>
    </w:p>
    <w:p>
      <w:pPr>
        <w:ind w:firstLine="640"/>
      </w:pPr>
      <w:r>
        <w:rPr>
          <w:rFonts w:hint="eastAsia"/>
        </w:rPr>
        <w:t>本次绩效评价范围包括：一是项目经济性，包括项目预算编制、采购需求和资金效益；二是项目效率性，包括采购计划备案、单项实施计划执行和采购执行效率；三是项目有效性，包括项目组织验收情况、项目验收情况、政策功能和群众满意度情况；四是项目公平性，包括资格条件、评审办法、采购文件和信息公开情况。</w:t>
      </w:r>
    </w:p>
    <w:p>
      <w:pPr>
        <w:pStyle w:val="3"/>
        <w:ind w:firstLine="643"/>
      </w:pPr>
      <w:bookmarkStart w:id="685" w:name="_Toc17764"/>
      <w:r>
        <w:rPr>
          <w:rFonts w:hint="eastAsia"/>
        </w:rPr>
        <w:t>（二）绩效评价依据、原则</w:t>
      </w:r>
      <w:bookmarkEnd w:id="685"/>
    </w:p>
    <w:p>
      <w:pPr>
        <w:pStyle w:val="4"/>
        <w:ind w:firstLine="643"/>
        <w:rPr>
          <w:rFonts w:hint="eastAsia"/>
        </w:rPr>
      </w:pPr>
      <w:bookmarkStart w:id="686" w:name="_Toc3123"/>
      <w:bookmarkStart w:id="687" w:name="_Toc27202"/>
      <w:bookmarkStart w:id="688" w:name="_Toc136351480"/>
      <w:bookmarkStart w:id="689" w:name="_Toc5377"/>
      <w:bookmarkStart w:id="690" w:name="_Toc24502"/>
      <w:r>
        <w:rPr>
          <w:rFonts w:hint="eastAsia"/>
        </w:rPr>
        <w:t>1.绩效评价依据</w:t>
      </w:r>
      <w:bookmarkEnd w:id="686"/>
      <w:bookmarkEnd w:id="687"/>
      <w:bookmarkEnd w:id="688"/>
      <w:bookmarkEnd w:id="689"/>
      <w:bookmarkEnd w:id="690"/>
    </w:p>
    <w:p>
      <w:pPr>
        <w:ind w:firstLine="640"/>
        <w:rPr>
          <w:rFonts w:hint="eastAsia" w:ascii="仿宋" w:hAnsi="仿宋" w:cs="仿宋"/>
        </w:rPr>
      </w:pPr>
      <w:r>
        <w:rPr>
          <w:rFonts w:hint="eastAsia" w:ascii="仿宋" w:hAnsi="仿宋" w:cs="仿宋"/>
        </w:rPr>
        <w:t>《中华人民共和国预算法》；</w:t>
      </w:r>
    </w:p>
    <w:p>
      <w:pPr>
        <w:ind w:firstLine="640"/>
        <w:rPr>
          <w:rFonts w:hint="eastAsia" w:ascii="仿宋" w:hAnsi="仿宋" w:cs="仿宋"/>
        </w:rPr>
      </w:pPr>
      <w:r>
        <w:rPr>
          <w:rFonts w:hint="eastAsia" w:ascii="仿宋" w:hAnsi="仿宋" w:cs="仿宋"/>
        </w:rPr>
        <w:t>《中共中央国务院关于全面实施预算绩效管理的意见》（中发〔2018〕34号）；</w:t>
      </w:r>
    </w:p>
    <w:p>
      <w:pPr>
        <w:ind w:firstLine="640"/>
        <w:rPr>
          <w:rFonts w:hint="eastAsia" w:ascii="仿宋" w:hAnsi="仿宋" w:cs="仿宋"/>
        </w:rPr>
      </w:pPr>
      <w:r>
        <w:rPr>
          <w:rFonts w:hint="eastAsia" w:ascii="仿宋" w:hAnsi="仿宋" w:cs="仿宋"/>
        </w:rPr>
        <w:t>《财政部关于印发〈项目支出绩效评价管理办法〉的通知》（财预〔2020〕10号）；</w:t>
      </w:r>
    </w:p>
    <w:p>
      <w:pPr>
        <w:ind w:firstLine="640"/>
        <w:rPr>
          <w:rFonts w:hint="eastAsia" w:ascii="仿宋" w:hAnsi="仿宋" w:cs="仿宋"/>
        </w:rPr>
      </w:pPr>
      <w:r>
        <w:rPr>
          <w:rFonts w:hint="eastAsia" w:ascii="仿宋" w:hAnsi="仿宋" w:cs="仿宋"/>
        </w:rPr>
        <w:t>《财政部关于委托第三方机构参与预算绩效管理的指导意见》（财预〔2021〕6号）；</w:t>
      </w:r>
    </w:p>
    <w:p>
      <w:pPr>
        <w:ind w:firstLine="640"/>
        <w:rPr>
          <w:rFonts w:hint="eastAsia" w:ascii="仿宋" w:hAnsi="仿宋" w:cs="仿宋"/>
        </w:rPr>
      </w:pPr>
      <w:r>
        <w:rPr>
          <w:rFonts w:hint="eastAsia" w:ascii="仿宋" w:hAnsi="仿宋" w:cs="仿宋"/>
        </w:rPr>
        <w:t>《中共四川省委四川省人民政府关于全面实施预算绩效管理的实施意见》（川委发〔2019〕8号）；</w:t>
      </w:r>
    </w:p>
    <w:p>
      <w:pPr>
        <w:ind w:firstLine="640"/>
        <w:rPr>
          <w:rFonts w:hint="eastAsia" w:ascii="仿宋" w:hAnsi="仿宋" w:cs="仿宋"/>
        </w:rPr>
      </w:pPr>
      <w:r>
        <w:rPr>
          <w:rFonts w:hint="eastAsia" w:ascii="仿宋" w:hAnsi="仿宋" w:cs="仿宋"/>
        </w:rPr>
        <w:t>《中共四川省委办公厅四川省人民政府办公厅关于深入实施预算绩效管理的通知》（川委厅〔2022〕5号）；</w:t>
      </w:r>
    </w:p>
    <w:p>
      <w:pPr>
        <w:ind w:firstLine="640"/>
        <w:rPr>
          <w:rFonts w:hint="eastAsia" w:ascii="仿宋" w:hAnsi="仿宋" w:cs="仿宋"/>
        </w:rPr>
      </w:pPr>
      <w:r>
        <w:rPr>
          <w:rFonts w:hint="eastAsia" w:ascii="仿宋" w:hAnsi="仿宋" w:cs="仿宋"/>
          <w:szCs w:val="32"/>
        </w:rPr>
        <w:t>《四川省省级项目支出绩效管理办法》（川财绩〔2019〕14号）；</w:t>
      </w:r>
    </w:p>
    <w:p>
      <w:pPr>
        <w:ind w:firstLine="640"/>
        <w:rPr>
          <w:rFonts w:hint="eastAsia" w:ascii="仿宋" w:hAnsi="仿宋" w:cs="仿宋"/>
        </w:rPr>
      </w:pPr>
      <w:r>
        <w:rPr>
          <w:rFonts w:hint="eastAsia" w:ascii="仿宋" w:hAnsi="仿宋" w:cs="仿宋"/>
          <w:color w:val="000000"/>
          <w:szCs w:val="32"/>
          <w:shd w:val="clear" w:color="auto" w:fill="FFFFFF"/>
        </w:rPr>
        <w:t>《遂宁市人民政府印发〈关于进一步深化预算管理制度改革的贯彻意见〉的通知》（遂府函〔2022〕119号）</w:t>
      </w:r>
      <w:r>
        <w:rPr>
          <w:rFonts w:hint="eastAsia" w:ascii="仿宋" w:hAnsi="仿宋" w:cs="仿宋"/>
        </w:rPr>
        <w:t>；</w:t>
      </w:r>
    </w:p>
    <w:p>
      <w:pPr>
        <w:ind w:firstLine="640"/>
        <w:rPr>
          <w:rFonts w:hint="eastAsia" w:ascii="仿宋" w:hAnsi="仿宋" w:cs="仿宋"/>
        </w:rPr>
      </w:pPr>
      <w:r>
        <w:rPr>
          <w:rFonts w:hint="eastAsia" w:ascii="仿宋" w:hAnsi="仿宋" w:cs="仿宋"/>
        </w:rPr>
        <w:t>《遂宁市人民政府办公室关于开展遂宁市第一次全国自然灾害综合风险普查的通知》（遂府办函〔2020〕52号）；</w:t>
      </w:r>
    </w:p>
    <w:p>
      <w:pPr>
        <w:widowControl/>
        <w:ind w:firstLine="640"/>
        <w:rPr>
          <w:rFonts w:hint="eastAsia" w:ascii="仿宋" w:hAnsi="仿宋" w:cs="仿宋"/>
          <w:szCs w:val="32"/>
        </w:rPr>
      </w:pPr>
      <w:r>
        <w:rPr>
          <w:rFonts w:hint="eastAsia" w:ascii="仿宋" w:hAnsi="仿宋" w:cs="仿宋"/>
          <w:szCs w:val="32"/>
        </w:rPr>
        <w:t>其他有关政策文件。</w:t>
      </w:r>
    </w:p>
    <w:p>
      <w:pPr>
        <w:pStyle w:val="4"/>
        <w:ind w:firstLine="643"/>
        <w:rPr>
          <w:rFonts w:hint="eastAsia"/>
        </w:rPr>
      </w:pPr>
      <w:bookmarkStart w:id="691" w:name="_Toc26554"/>
      <w:bookmarkStart w:id="692" w:name="_Toc24331"/>
      <w:bookmarkStart w:id="693" w:name="_Toc11739"/>
      <w:bookmarkStart w:id="694" w:name="_Toc129683090"/>
      <w:bookmarkStart w:id="695" w:name="_Toc18197"/>
      <w:bookmarkStart w:id="696" w:name="_Toc129682479"/>
      <w:bookmarkStart w:id="697" w:name="_Toc136351481"/>
      <w:r>
        <w:rPr>
          <w:rFonts w:hint="eastAsia"/>
        </w:rPr>
        <w:t>2.绩效评价原则</w:t>
      </w:r>
      <w:bookmarkEnd w:id="691"/>
      <w:bookmarkEnd w:id="692"/>
      <w:bookmarkEnd w:id="693"/>
      <w:bookmarkEnd w:id="694"/>
      <w:bookmarkEnd w:id="695"/>
      <w:bookmarkEnd w:id="696"/>
      <w:bookmarkEnd w:id="697"/>
    </w:p>
    <w:p>
      <w:pPr>
        <w:ind w:firstLine="640"/>
      </w:pPr>
      <w:r>
        <w:rPr>
          <w:rFonts w:hint="eastAsia"/>
        </w:rPr>
        <w:t>本次绩效评价本着客观公正、科学规范、绩效相关、公开透明的原则，采用全面评价和重点评价相结合，现场评价与非现场评价相补充的方法，对政府采购服务项目进行综合评价。在评价过程中，结合被评价单位的实际情况，通过听取情况介绍、收集和核实相关材料、实地走访调查、综合分析等一系列工作程序，在全面掌握政府购买服务的基础上，形成评价结论。</w:t>
      </w:r>
      <w:bookmarkStart w:id="698" w:name="_Toc136351482"/>
      <w:bookmarkStart w:id="699" w:name="_Toc129682480"/>
      <w:bookmarkStart w:id="700" w:name="_Toc129683091"/>
    </w:p>
    <w:p>
      <w:pPr>
        <w:pStyle w:val="3"/>
        <w:numPr>
          <w:ilvl w:val="0"/>
          <w:numId w:val="5"/>
        </w:numPr>
        <w:ind w:firstLine="643"/>
        <w:rPr>
          <w:b/>
          <w:bCs/>
        </w:rPr>
      </w:pPr>
      <w:bookmarkStart w:id="701" w:name="_Toc27879"/>
      <w:r>
        <w:rPr>
          <w:rFonts w:hint="eastAsia"/>
          <w:b/>
          <w:bCs/>
        </w:rPr>
        <w:t>绩效评价方法和指标体系</w:t>
      </w:r>
      <w:bookmarkEnd w:id="701"/>
      <w:bookmarkStart w:id="702" w:name="_Toc22402"/>
      <w:bookmarkStart w:id="703" w:name="_Toc13636"/>
      <w:bookmarkStart w:id="704" w:name="_Toc2617"/>
    </w:p>
    <w:p>
      <w:pPr>
        <w:pStyle w:val="4"/>
        <w:ind w:firstLine="643"/>
        <w:rPr>
          <w:rFonts w:hint="eastAsia"/>
        </w:rPr>
      </w:pPr>
      <w:r>
        <w:rPr>
          <w:rFonts w:hint="eastAsia"/>
        </w:rPr>
        <w:t>1.评价方法</w:t>
      </w:r>
      <w:bookmarkEnd w:id="698"/>
      <w:bookmarkEnd w:id="699"/>
      <w:bookmarkEnd w:id="700"/>
      <w:bookmarkEnd w:id="702"/>
      <w:bookmarkEnd w:id="703"/>
      <w:bookmarkEnd w:id="704"/>
    </w:p>
    <w:p>
      <w:pPr>
        <w:ind w:firstLine="640"/>
        <w:rPr>
          <w:rFonts w:hint="eastAsia" w:ascii="仿宋" w:hAnsi="仿宋" w:cs="仿宋"/>
          <w:szCs w:val="32"/>
        </w:rPr>
      </w:pPr>
      <w:r>
        <w:rPr>
          <w:rFonts w:hint="eastAsia"/>
        </w:rPr>
        <w:t>为客观、全面反映评价结果，根据项目特点，本次绩效评价工作拟采用（但不限于）以下评价方法：</w:t>
      </w:r>
    </w:p>
    <w:p>
      <w:pPr>
        <w:pStyle w:val="5"/>
        <w:ind w:firstLine="643"/>
        <w:rPr>
          <w:rFonts w:hint="eastAsia" w:ascii="仿宋" w:hAnsi="仿宋" w:eastAsia="仿宋" w:cs="仿宋"/>
        </w:rPr>
      </w:pPr>
      <w:r>
        <w:rPr>
          <w:rFonts w:hint="eastAsia" w:ascii="仿宋" w:hAnsi="仿宋" w:eastAsia="仿宋" w:cs="仿宋"/>
        </w:rPr>
        <w:t>（1）成本效益分析法</w:t>
      </w:r>
    </w:p>
    <w:p>
      <w:pPr>
        <w:ind w:firstLine="640"/>
      </w:pPr>
      <w:r>
        <w:rPr>
          <w:rFonts w:hint="eastAsia"/>
        </w:rPr>
        <w:t>是指将一定时期内的支出与效益进行对比分析，以评价绩效目标实现程度。</w:t>
      </w:r>
    </w:p>
    <w:p>
      <w:pPr>
        <w:pStyle w:val="5"/>
        <w:ind w:firstLine="643"/>
        <w:rPr>
          <w:rFonts w:hint="eastAsia" w:ascii="仿宋" w:hAnsi="仿宋" w:eastAsia="仿宋" w:cs="仿宋"/>
        </w:rPr>
      </w:pPr>
      <w:r>
        <w:rPr>
          <w:rFonts w:hint="eastAsia" w:ascii="仿宋" w:hAnsi="仿宋" w:eastAsia="仿宋" w:cs="仿宋"/>
        </w:rPr>
        <w:t>（2）比较法</w:t>
      </w:r>
    </w:p>
    <w:p>
      <w:pPr>
        <w:ind w:firstLine="640"/>
      </w:pPr>
      <w:r>
        <w:rPr>
          <w:rFonts w:hint="eastAsia"/>
        </w:rPr>
        <w:t>是指通过对绩效目标与实施效果、历史与当期情况、不同部门和地区同类支出的比较，综合分析绩效目标实现程度。</w:t>
      </w:r>
    </w:p>
    <w:p>
      <w:pPr>
        <w:pStyle w:val="5"/>
        <w:ind w:firstLine="643"/>
        <w:rPr>
          <w:rFonts w:hint="eastAsia" w:ascii="仿宋" w:hAnsi="仿宋" w:eastAsia="仿宋" w:cs="仿宋"/>
        </w:rPr>
      </w:pPr>
      <w:r>
        <w:rPr>
          <w:rFonts w:hint="eastAsia" w:ascii="仿宋" w:hAnsi="仿宋" w:eastAsia="仿宋" w:cs="仿宋"/>
        </w:rPr>
        <w:t>（3）公众评判法</w:t>
      </w:r>
    </w:p>
    <w:p>
      <w:pPr>
        <w:ind w:firstLine="640"/>
      </w:pPr>
      <w:r>
        <w:rPr>
          <w:rFonts w:hint="eastAsia"/>
        </w:rPr>
        <w:t>是指通过专家评估、公众问卷及抽样调查等对财政支出效果进行评判，评价绩效目标实现程度。</w:t>
      </w:r>
    </w:p>
    <w:p>
      <w:pPr>
        <w:pStyle w:val="5"/>
        <w:ind w:firstLine="643"/>
        <w:rPr>
          <w:rFonts w:hint="eastAsia"/>
        </w:rPr>
      </w:pPr>
      <w:r>
        <w:rPr>
          <w:rFonts w:hint="eastAsia"/>
        </w:rPr>
        <w:t>（4）资料研究</w:t>
      </w:r>
    </w:p>
    <w:p>
      <w:pPr>
        <w:ind w:firstLine="640"/>
      </w:pPr>
      <w:r>
        <w:rPr>
          <w:rFonts w:hint="eastAsia"/>
        </w:rPr>
        <w:t>是指通过对现有资料进行收集、整理、分析和综合，能够从现有资料的梳理中获得大量有用证据，准确分析绩效目标实现程度。</w:t>
      </w:r>
    </w:p>
    <w:p>
      <w:pPr>
        <w:pStyle w:val="4"/>
        <w:ind w:firstLine="643"/>
        <w:rPr>
          <w:rFonts w:hint="eastAsia"/>
        </w:rPr>
      </w:pPr>
      <w:bookmarkStart w:id="705" w:name="_Toc23881"/>
      <w:bookmarkStart w:id="706" w:name="_Toc24307"/>
      <w:bookmarkStart w:id="707" w:name="_Toc1992"/>
      <w:bookmarkStart w:id="708" w:name="_Toc16610"/>
      <w:r>
        <w:rPr>
          <w:rFonts w:hint="eastAsia"/>
        </w:rPr>
        <w:t>2.评价指标体系</w:t>
      </w:r>
      <w:bookmarkEnd w:id="705"/>
      <w:bookmarkEnd w:id="706"/>
      <w:bookmarkEnd w:id="707"/>
      <w:bookmarkEnd w:id="708"/>
    </w:p>
    <w:p>
      <w:pPr>
        <w:pStyle w:val="5"/>
        <w:ind w:firstLine="643"/>
        <w:rPr>
          <w:rFonts w:hint="eastAsia"/>
        </w:rPr>
      </w:pPr>
      <w:r>
        <w:rPr>
          <w:rFonts w:hint="eastAsia"/>
        </w:rPr>
        <w:t>（1）本次评价指标的构建思路</w:t>
      </w:r>
    </w:p>
    <w:p>
      <w:pPr>
        <w:ind w:firstLine="640"/>
        <w:rPr>
          <w:rFonts w:hint="eastAsia" w:ascii="仿宋" w:hAnsi="仿宋" w:cs="仿宋"/>
        </w:rPr>
      </w:pPr>
      <w:r>
        <w:rPr>
          <w:rFonts w:hint="eastAsia" w:ascii="仿宋" w:hAnsi="仿宋" w:cs="仿宋"/>
          <w:szCs w:val="32"/>
        </w:rPr>
        <w:t>本次绩效评价对象为遂宁高新区第一次全国自然灾害综合风险普查服务项目，针对绩效指标体系建立是本次绩效评价的一个关键部分，在确定绩效评价指标方面，我们主要考虑到两个重点：一是设置合理的绩效指标，绩效指标要能够准确清晰地反映采购资金使用效益，需尽量设置为可衡量、可考核的清晰明确的指标，指标值需具有约束力；二是绩效指标体系要综合科学合理地考虑项目从采购程序及资金效益，从采购计划到执行、项目验收、政策合规的各项细化指标，</w:t>
      </w:r>
      <w:r>
        <w:rPr>
          <w:rFonts w:hint="eastAsia" w:ascii="仿宋" w:hAnsi="仿宋" w:cs="仿宋"/>
        </w:rPr>
        <w:t>全面考核不留死角；三是项目效益指标要评价综合效益实现情况，考察项目带动社会效益上提高了广大干部群众的防汛减灾意识，减少人员财产损失。可持续效益上持续完善灾害应急体系，维护园区社会和谐稳定。</w:t>
      </w:r>
    </w:p>
    <w:p>
      <w:pPr>
        <w:ind w:firstLine="640"/>
        <w:rPr>
          <w:rFonts w:hint="eastAsia" w:ascii="仿宋" w:hAnsi="仿宋" w:cs="仿宋"/>
        </w:rPr>
      </w:pPr>
      <w:r>
        <w:rPr>
          <w:rFonts w:hint="eastAsia" w:ascii="仿宋" w:hAnsi="仿宋" w:cs="仿宋"/>
        </w:rPr>
        <w:t>本次绩效评价将基于参照</w:t>
      </w:r>
      <w:r>
        <w:rPr>
          <w:rFonts w:hint="eastAsia" w:ascii="仿宋" w:hAnsi="仿宋" w:cs="仿宋"/>
          <w:szCs w:val="32"/>
        </w:rPr>
        <w:t>《财政部关于印发〈项目支出绩效评价管理办法〉的通知》（财预〔2020〕10号）</w:t>
      </w:r>
      <w:r>
        <w:rPr>
          <w:rFonts w:hint="eastAsia" w:ascii="仿宋" w:hAnsi="仿宋" w:cs="仿宋"/>
        </w:rPr>
        <w:t>来设计本次绩效评价指标体系，同时根据我们绩效评价的经验结合项目实际情况，细化了项目决策、管理、产出和效益等方面指标权重，并针对性强化产出效果指标考核的权重。</w:t>
      </w:r>
    </w:p>
    <w:p>
      <w:pPr>
        <w:pStyle w:val="5"/>
        <w:ind w:firstLine="643"/>
        <w:rPr>
          <w:rFonts w:hint="eastAsia"/>
        </w:rPr>
      </w:pPr>
      <w:r>
        <w:rPr>
          <w:rFonts w:hint="eastAsia"/>
        </w:rPr>
        <w:t>（2）指标体系</w:t>
      </w:r>
    </w:p>
    <w:p>
      <w:pPr>
        <w:ind w:firstLine="640"/>
      </w:pPr>
      <w:r>
        <w:rPr>
          <w:rFonts w:hint="eastAsia" w:ascii="仿宋" w:hAnsi="仿宋" w:cs="仿宋"/>
          <w:szCs w:val="32"/>
        </w:rPr>
        <w:t>根据</w:t>
      </w:r>
      <w:r>
        <w:rPr>
          <w:rFonts w:hint="eastAsia" w:ascii="仿宋" w:hAnsi="仿宋" w:cs="仿宋"/>
          <w:color w:val="000000"/>
          <w:kern w:val="0"/>
          <w:szCs w:val="32"/>
          <w:lang w:bidi="ar"/>
        </w:rPr>
        <w:t>财政部关于预算绩效管理工作的规定</w:t>
      </w:r>
      <w:r>
        <w:rPr>
          <w:rFonts w:hint="eastAsia" w:ascii="仿宋" w:hAnsi="仿宋" w:cs="仿宋"/>
          <w:szCs w:val="32"/>
        </w:rPr>
        <w:t>，</w:t>
      </w:r>
      <w:r>
        <w:rPr>
          <w:rFonts w:hint="eastAsia" w:ascii="仿宋" w:hAnsi="仿宋" w:cs="仿宋"/>
        </w:rPr>
        <w:t>结合项目内容和项目资金特点，绩效评价组在与专家组充分沟通的基础上，拟定本次绩效评价指标体系。本绩效评价指标体系设经济性、效率性、有效性和公平性4个一级指标、14个二级指标、27个三级指标，指标体系如下：</w:t>
      </w:r>
    </w:p>
    <w:p>
      <w:pPr>
        <w:ind w:firstLine="482"/>
        <w:jc w:val="center"/>
        <w:rPr>
          <w:rFonts w:hint="eastAsia" w:ascii="宋体" w:hAnsi="宋体" w:eastAsia="宋体" w:cs="宋体"/>
          <w:b/>
          <w:bCs/>
          <w:sz w:val="24"/>
          <w:szCs w:val="24"/>
        </w:rPr>
      </w:pPr>
      <w:r>
        <w:rPr>
          <w:rFonts w:hint="eastAsia" w:ascii="宋体" w:hAnsi="宋体" w:eastAsia="宋体" w:cs="宋体"/>
          <w:b/>
          <w:bCs/>
          <w:sz w:val="24"/>
          <w:szCs w:val="24"/>
        </w:rPr>
        <w:t>2023年应急分局自然灾害风险普查政府采购项目绩效评价指标体系</w:t>
      </w:r>
    </w:p>
    <w:tbl>
      <w:tblPr>
        <w:tblStyle w:val="17"/>
        <w:tblW w:w="4977" w:type="pct"/>
        <w:tblInd w:w="0" w:type="dxa"/>
        <w:tblLayout w:type="fixed"/>
        <w:tblCellMar>
          <w:top w:w="0" w:type="dxa"/>
          <w:left w:w="108" w:type="dxa"/>
          <w:bottom w:w="0" w:type="dxa"/>
          <w:right w:w="108" w:type="dxa"/>
        </w:tblCellMar>
      </w:tblPr>
      <w:tblGrid>
        <w:gridCol w:w="1427"/>
        <w:gridCol w:w="1776"/>
        <w:gridCol w:w="2167"/>
        <w:gridCol w:w="3108"/>
      </w:tblGrid>
      <w:tr>
        <w:tblPrEx>
          <w:tblCellMar>
            <w:top w:w="0" w:type="dxa"/>
            <w:left w:w="108" w:type="dxa"/>
            <w:bottom w:w="0" w:type="dxa"/>
            <w:right w:w="108" w:type="dxa"/>
          </w:tblCellMar>
        </w:tblPrEx>
        <w:trPr>
          <w:trHeight w:val="1055" w:hRule="atLeast"/>
        </w:trPr>
        <w:tc>
          <w:tcPr>
            <w:tcW w:w="841"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kern w:val="0"/>
                <w:sz w:val="20"/>
                <w:szCs w:val="20"/>
                <w:lang w:bidi="ar"/>
              </w:rPr>
            </w:pPr>
            <w:r>
              <w:rPr>
                <w:rFonts w:hint="eastAsia" w:ascii="宋体" w:hAnsi="宋体" w:eastAsia="宋体" w:cs="宋体"/>
                <w:b/>
                <w:bCs/>
                <w:kern w:val="0"/>
                <w:sz w:val="20"/>
                <w:szCs w:val="20"/>
                <w:lang w:bidi="ar"/>
              </w:rPr>
              <w:t>一级指标</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kern w:val="0"/>
                <w:sz w:val="20"/>
                <w:szCs w:val="20"/>
                <w:lang w:bidi="ar"/>
              </w:rPr>
            </w:pPr>
            <w:r>
              <w:rPr>
                <w:rFonts w:hint="eastAsia" w:ascii="宋体" w:hAnsi="宋体" w:eastAsia="宋体" w:cs="宋体"/>
                <w:b/>
                <w:bCs/>
                <w:kern w:val="0"/>
                <w:sz w:val="20"/>
                <w:szCs w:val="20"/>
                <w:lang w:bidi="ar"/>
              </w:rPr>
              <w:t>二级指标</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sz w:val="20"/>
                <w:szCs w:val="20"/>
              </w:rPr>
            </w:pPr>
            <w:r>
              <w:rPr>
                <w:rFonts w:hint="eastAsia" w:ascii="宋体" w:hAnsi="宋体" w:eastAsia="宋体" w:cs="宋体"/>
                <w:b/>
                <w:bCs/>
                <w:kern w:val="0"/>
                <w:sz w:val="20"/>
                <w:szCs w:val="20"/>
                <w:lang w:bidi="ar"/>
              </w:rPr>
              <w:t>三级指标</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b/>
                <w:bCs/>
                <w:sz w:val="20"/>
                <w:szCs w:val="20"/>
              </w:rPr>
            </w:pPr>
            <w:r>
              <w:rPr>
                <w:rFonts w:hint="eastAsia" w:ascii="宋体" w:hAnsi="宋体" w:eastAsia="宋体" w:cs="宋体"/>
                <w:b/>
                <w:bCs/>
                <w:kern w:val="0"/>
                <w:sz w:val="20"/>
                <w:szCs w:val="20"/>
                <w:lang w:bidi="ar"/>
              </w:rPr>
              <w:t>评分标准</w:t>
            </w:r>
          </w:p>
        </w:tc>
      </w:tr>
      <w:tr>
        <w:tblPrEx>
          <w:tblCellMar>
            <w:top w:w="0" w:type="dxa"/>
            <w:left w:w="108" w:type="dxa"/>
            <w:bottom w:w="0" w:type="dxa"/>
            <w:right w:w="108" w:type="dxa"/>
          </w:tblCellMar>
        </w:tblPrEx>
        <w:trPr>
          <w:trHeight w:val="999" w:hRule="atLeast"/>
        </w:trPr>
        <w:tc>
          <w:tcPr>
            <w:tcW w:w="8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经济性指标</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（16分）</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预算编制</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政府采购预算</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除不可预见因素外，追加或调整政府采购预算的，扣2分。</w:t>
            </w:r>
          </w:p>
        </w:tc>
      </w:tr>
      <w:tr>
        <w:tblPrEx>
          <w:tblCellMar>
            <w:top w:w="0" w:type="dxa"/>
            <w:left w:w="108" w:type="dxa"/>
            <w:bottom w:w="0" w:type="dxa"/>
            <w:right w:w="108" w:type="dxa"/>
          </w:tblCellMar>
        </w:tblPrEx>
        <w:trPr>
          <w:trHeight w:val="1703"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采购需求</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需求合理性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（6分）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采购需求是否合规、完整、明确，是否准确、细化。</w:t>
            </w:r>
          </w:p>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采购需求是否违反公平竞争原则。</w:t>
            </w:r>
          </w:p>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政府向社会公众提供的公共服务项目，采购人是否就确定采购需求征求社会公众的意见。</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是否按要求对采购需求进行书面确认。每存在一项问题的，扣1分，扣完为止。</w:t>
            </w:r>
          </w:p>
        </w:tc>
      </w:tr>
      <w:tr>
        <w:tblPrEx>
          <w:tblCellMar>
            <w:top w:w="0" w:type="dxa"/>
            <w:left w:w="108" w:type="dxa"/>
            <w:bottom w:w="0" w:type="dxa"/>
            <w:right w:w="108" w:type="dxa"/>
          </w:tblCellMar>
        </w:tblPrEx>
        <w:trPr>
          <w:trHeight w:val="1946"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资金效益</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资金节约率</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对比预算的资金节约率，公式：资金节约率=（预算额-合同额）/预算额，节约率在1%（含）以下的得0分，节约率在1%-5%（含）得1分，节资率在5%—10%（含）得2分，10%及以上得4分。</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执行国家统一定价标准和采用固定价格采购的项目除外。</w:t>
            </w:r>
          </w:p>
        </w:tc>
      </w:tr>
      <w:tr>
        <w:tblPrEx>
          <w:tblCellMar>
            <w:top w:w="0" w:type="dxa"/>
            <w:left w:w="108" w:type="dxa"/>
            <w:bottom w:w="0" w:type="dxa"/>
            <w:right w:w="108" w:type="dxa"/>
          </w:tblCellMar>
        </w:tblPrEx>
        <w:trPr>
          <w:trHeight w:val="1462"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资金支付进度</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满足合同约定支付条件，超过15日支付资金的，扣1分；</w:t>
            </w:r>
          </w:p>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超过30日支付资金的，扣2分；</w:t>
            </w:r>
          </w:p>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超过40日支付资金的，扣3分；</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超过50日以上支付资金的，扣4分。</w:t>
            </w:r>
          </w:p>
        </w:tc>
      </w:tr>
      <w:tr>
        <w:tblPrEx>
          <w:tblCellMar>
            <w:top w:w="0" w:type="dxa"/>
            <w:left w:w="108" w:type="dxa"/>
            <w:bottom w:w="0" w:type="dxa"/>
            <w:right w:w="108" w:type="dxa"/>
          </w:tblCellMar>
        </w:tblPrEx>
        <w:trPr>
          <w:trHeight w:val="2172" w:hRule="atLeast"/>
        </w:trPr>
        <w:tc>
          <w:tcPr>
            <w:tcW w:w="8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效率性指标</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（22分）</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采购计划备案</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采购计划编制规范</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是否根据集中采购目录、采购限额标准编制政府采购计划。</w:t>
            </w:r>
          </w:p>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实施计划所附资料是否准确完整。</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每存在一项问题的，扣1分，扣完为止。</w:t>
            </w:r>
          </w:p>
        </w:tc>
      </w:tr>
      <w:tr>
        <w:tblPrEx>
          <w:tblCellMar>
            <w:top w:w="0" w:type="dxa"/>
            <w:left w:w="108" w:type="dxa"/>
            <w:bottom w:w="0" w:type="dxa"/>
            <w:right w:w="108" w:type="dxa"/>
          </w:tblCellMar>
        </w:tblPrEx>
        <w:trPr>
          <w:trHeight w:val="676"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单项实施计划执行</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方式合理性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采购方式未与采购预算、采购需求相契合，扣2分。</w:t>
            </w:r>
          </w:p>
        </w:tc>
      </w:tr>
      <w:tr>
        <w:tblPrEx>
          <w:tblCellMar>
            <w:top w:w="0" w:type="dxa"/>
            <w:left w:w="108" w:type="dxa"/>
            <w:bottom w:w="0" w:type="dxa"/>
            <w:right w:w="108" w:type="dxa"/>
          </w:tblCellMar>
        </w:tblPrEx>
        <w:trPr>
          <w:trHeight w:val="720"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textAlignment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实施及时性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采购计划备案后未在拟实施月份启动采购程序，扣2分。</w:t>
            </w:r>
          </w:p>
        </w:tc>
      </w:tr>
      <w:tr>
        <w:tblPrEx>
          <w:tblCellMar>
            <w:top w:w="0" w:type="dxa"/>
            <w:left w:w="108" w:type="dxa"/>
            <w:bottom w:w="0" w:type="dxa"/>
            <w:right w:w="108" w:type="dxa"/>
          </w:tblCellMar>
        </w:tblPrEx>
        <w:trPr>
          <w:trHeight w:val="1581"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采购执行效率</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采购成功率</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采购活动未一次完成，存在因自身原因导致废标重新采购的，扣1分；</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存在因自身原因导致项目中止的，扣3分。</w:t>
            </w:r>
          </w:p>
        </w:tc>
      </w:tr>
      <w:tr>
        <w:tblPrEx>
          <w:tblCellMar>
            <w:top w:w="0" w:type="dxa"/>
            <w:left w:w="108" w:type="dxa"/>
            <w:bottom w:w="0" w:type="dxa"/>
            <w:right w:w="108" w:type="dxa"/>
          </w:tblCellMar>
        </w:tblPrEx>
        <w:trPr>
          <w:trHeight w:val="756"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质疑处理时间</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出现质疑后未在规定时间内作出有效答复，扣2分。</w:t>
            </w:r>
          </w:p>
        </w:tc>
      </w:tr>
      <w:tr>
        <w:tblPrEx>
          <w:tblCellMar>
            <w:top w:w="0" w:type="dxa"/>
            <w:left w:w="108" w:type="dxa"/>
            <w:bottom w:w="0" w:type="dxa"/>
            <w:right w:w="108" w:type="dxa"/>
          </w:tblCellMar>
        </w:tblPrEx>
        <w:trPr>
          <w:trHeight w:val="1055"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确定中标（成交）时间</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评审结束后按规定时间确定中标（成交）供应商，是否按照规定时间发出中标（成交）公告和通知书。</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每存在一项问题的，扣2分。</w:t>
            </w:r>
          </w:p>
        </w:tc>
      </w:tr>
      <w:tr>
        <w:tblPrEx>
          <w:tblCellMar>
            <w:top w:w="0" w:type="dxa"/>
            <w:left w:w="108" w:type="dxa"/>
            <w:bottom w:w="0" w:type="dxa"/>
            <w:right w:w="108" w:type="dxa"/>
          </w:tblCellMar>
        </w:tblPrEx>
        <w:trPr>
          <w:trHeight w:val="1055"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合同签订及备案时间</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在中标（成交）通知书发出后未在规定时间内签订、备案合同，每存在一项问题的，扣2分。</w:t>
            </w:r>
          </w:p>
        </w:tc>
      </w:tr>
      <w:tr>
        <w:tblPrEx>
          <w:tblCellMar>
            <w:top w:w="0" w:type="dxa"/>
            <w:left w:w="108" w:type="dxa"/>
            <w:bottom w:w="0" w:type="dxa"/>
            <w:right w:w="108" w:type="dxa"/>
          </w:tblCellMar>
        </w:tblPrEx>
        <w:trPr>
          <w:trHeight w:val="1055" w:hRule="atLeast"/>
        </w:trPr>
        <w:tc>
          <w:tcPr>
            <w:tcW w:w="8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有效性指标</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（30分）</w:t>
            </w: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验收组织</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履约规范性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（3分）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除因严重自然灾害和其他不可抗力事件外，未按合同约定履约，扣3分。</w:t>
            </w:r>
          </w:p>
        </w:tc>
      </w:tr>
      <w:tr>
        <w:tblPrEx>
          <w:tblCellMar>
            <w:top w:w="0" w:type="dxa"/>
            <w:left w:w="108" w:type="dxa"/>
            <w:bottom w:w="0" w:type="dxa"/>
            <w:right w:w="108" w:type="dxa"/>
          </w:tblCellMar>
        </w:tblPrEx>
        <w:trPr>
          <w:trHeight w:val="793"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合同变更合规性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（3分）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合同变更未按规定程序执行，扣3分。</w:t>
            </w:r>
          </w:p>
        </w:tc>
      </w:tr>
      <w:tr>
        <w:tblPrEx>
          <w:tblCellMar>
            <w:top w:w="0" w:type="dxa"/>
            <w:left w:w="108" w:type="dxa"/>
            <w:bottom w:w="0" w:type="dxa"/>
            <w:right w:w="108" w:type="dxa"/>
          </w:tblCellMar>
        </w:tblPrEx>
        <w:trPr>
          <w:trHeight w:val="1946"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项目验收</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政府采购合同</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是否按规定组织项目验收；</w:t>
            </w:r>
          </w:p>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是否遵循采验分离原则；</w:t>
            </w:r>
          </w:p>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政府向社会公众提供的公共服务项目，验收时是否邀请服务对象参与并出具意见，验收结果是否向社会公告。</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每存在一项问题，扣1分，扣完为止。</w:t>
            </w:r>
          </w:p>
        </w:tc>
      </w:tr>
      <w:tr>
        <w:tblPrEx>
          <w:tblCellMar>
            <w:top w:w="0" w:type="dxa"/>
            <w:left w:w="108" w:type="dxa"/>
            <w:bottom w:w="0" w:type="dxa"/>
            <w:right w:w="108" w:type="dxa"/>
          </w:tblCellMar>
        </w:tblPrEx>
        <w:trPr>
          <w:trHeight w:val="756"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验收结果</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验收结果未与采购合同约定的资金支付挂钩，扣2分。</w:t>
            </w:r>
          </w:p>
        </w:tc>
      </w:tr>
      <w:tr>
        <w:tblPrEx>
          <w:tblCellMar>
            <w:top w:w="0" w:type="dxa"/>
            <w:left w:w="108" w:type="dxa"/>
            <w:bottom w:w="0" w:type="dxa"/>
            <w:right w:w="108" w:type="dxa"/>
          </w:tblCellMar>
        </w:tblPrEx>
        <w:trPr>
          <w:trHeight w:val="975"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需求达成度</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采购结果未真正满足采购需求和达成采购目标的，扣4分。</w:t>
            </w:r>
          </w:p>
        </w:tc>
      </w:tr>
      <w:tr>
        <w:tblPrEx>
          <w:tblCellMar>
            <w:top w:w="0" w:type="dxa"/>
            <w:left w:w="108" w:type="dxa"/>
            <w:bottom w:w="0" w:type="dxa"/>
            <w:right w:w="108" w:type="dxa"/>
          </w:tblCellMar>
        </w:tblPrEx>
        <w:trPr>
          <w:trHeight w:val="1055"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480"/>
              <w:jc w:val="center"/>
              <w:rPr>
                <w:rFonts w:hint="eastAsia" w:ascii="宋体" w:hAnsi="宋体" w:eastAsia="宋体" w:cs="宋体"/>
                <w:sz w:val="20"/>
                <w:szCs w:val="20"/>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政策功能</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政策落实</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（8分）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节能产品、环保产品优购、强购政策，中小企业扶持、“政采贷”扶持政策是否落实，每存在一项问题扣2分，扣完为止。</w:t>
            </w:r>
          </w:p>
        </w:tc>
      </w:tr>
      <w:tr>
        <w:tblPrEx>
          <w:tblCellMar>
            <w:top w:w="0" w:type="dxa"/>
            <w:left w:w="108" w:type="dxa"/>
            <w:bottom w:w="0" w:type="dxa"/>
            <w:right w:w="108" w:type="dxa"/>
          </w:tblCellMar>
        </w:tblPrEx>
        <w:trPr>
          <w:trHeight w:val="736"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满意度调查</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调查对象满意率</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（6分）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政府购买面向社会公众提供的公共服务项目的满意度及社会调查满意度，根据调查情况合理计分。</w:t>
            </w:r>
          </w:p>
        </w:tc>
      </w:tr>
      <w:tr>
        <w:tblPrEx>
          <w:tblCellMar>
            <w:top w:w="0" w:type="dxa"/>
            <w:left w:w="108" w:type="dxa"/>
            <w:bottom w:w="0" w:type="dxa"/>
            <w:right w:w="108" w:type="dxa"/>
          </w:tblCellMar>
        </w:tblPrEx>
        <w:trPr>
          <w:trHeight w:val="1219" w:hRule="atLeast"/>
        </w:trPr>
        <w:tc>
          <w:tcPr>
            <w:tcW w:w="84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公平性指标（32分）</w:t>
            </w:r>
          </w:p>
        </w:tc>
        <w:tc>
          <w:tcPr>
            <w:tcW w:w="1047"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资格条件</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供应商基本条件</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供应商是否满足采购文件资格条件要求，是否对供应商进行诚信记录查询。</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每存在一项问题扣2分，扣完为止。</w:t>
            </w:r>
          </w:p>
        </w:tc>
      </w:tr>
      <w:tr>
        <w:tblPrEx>
          <w:tblCellMar>
            <w:top w:w="0" w:type="dxa"/>
            <w:left w:w="108" w:type="dxa"/>
            <w:bottom w:w="0" w:type="dxa"/>
            <w:right w:w="108" w:type="dxa"/>
          </w:tblCellMar>
        </w:tblPrEx>
        <w:trPr>
          <w:trHeight w:val="734"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评审办法</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需求相关性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评审办法选择未与需求匹配，扣2分。</w:t>
            </w:r>
          </w:p>
        </w:tc>
      </w:tr>
      <w:tr>
        <w:tblPrEx>
          <w:tblCellMar>
            <w:top w:w="0" w:type="dxa"/>
            <w:left w:w="108" w:type="dxa"/>
            <w:bottom w:w="0" w:type="dxa"/>
            <w:right w:w="108" w:type="dxa"/>
          </w:tblCellMar>
        </w:tblPrEx>
        <w:trPr>
          <w:trHeight w:val="1219"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评审因素合理性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（6分）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评审标准是否量化，价格分值设置是否符合规定，评审因素是否与质量和服务相关。</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每存在一项问题，扣2分，扣完为止。</w:t>
            </w:r>
          </w:p>
        </w:tc>
      </w:tr>
      <w:tr>
        <w:tblPrEx>
          <w:tblCellMar>
            <w:top w:w="0" w:type="dxa"/>
            <w:left w:w="108" w:type="dxa"/>
            <w:bottom w:w="0" w:type="dxa"/>
            <w:right w:w="108" w:type="dxa"/>
          </w:tblCellMar>
        </w:tblPrEx>
        <w:trPr>
          <w:trHeight w:val="1055"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采购文件</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需求相关性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（6分）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是否与采购需求内容一致，是否采用统一标准格式，内容是否合法合规。</w:t>
            </w:r>
          </w:p>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每存在一项扣2分，扣完为止。</w:t>
            </w:r>
          </w:p>
        </w:tc>
      </w:tr>
      <w:tr>
        <w:tblPrEx>
          <w:tblCellMar>
            <w:top w:w="0" w:type="dxa"/>
            <w:left w:w="108" w:type="dxa"/>
            <w:bottom w:w="0" w:type="dxa"/>
            <w:right w:w="108" w:type="dxa"/>
          </w:tblCellMar>
        </w:tblPrEx>
        <w:trPr>
          <w:trHeight w:val="747"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内容合规性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未根据采购需求编制采购文件，扣2分。</w:t>
            </w:r>
          </w:p>
        </w:tc>
      </w:tr>
      <w:tr>
        <w:tblPrEx>
          <w:tblCellMar>
            <w:top w:w="0" w:type="dxa"/>
            <w:left w:w="108" w:type="dxa"/>
            <w:bottom w:w="0" w:type="dxa"/>
            <w:right w:w="108" w:type="dxa"/>
          </w:tblCellMar>
        </w:tblPrEx>
        <w:trPr>
          <w:trHeight w:val="747"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文本规范性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（3分）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采购文件是否完整。每存在一项问题扣1分，扣完为止。</w:t>
            </w:r>
          </w:p>
        </w:tc>
      </w:tr>
      <w:tr>
        <w:tblPrEx>
          <w:tblCellMar>
            <w:top w:w="0" w:type="dxa"/>
            <w:left w:w="108" w:type="dxa"/>
            <w:bottom w:w="0" w:type="dxa"/>
            <w:right w:w="108" w:type="dxa"/>
          </w:tblCellMar>
        </w:tblPrEx>
        <w:trPr>
          <w:trHeight w:val="1055"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信息公开</w:t>
            </w: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信息发布媒体</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（4分）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意向公告、采购公告、结果公告、合同公告等信息发布时间是否符合规定，每存在一项问题扣1分，扣完为止。</w:t>
            </w:r>
          </w:p>
        </w:tc>
      </w:tr>
      <w:tr>
        <w:tblPrEx>
          <w:tblCellMar>
            <w:top w:w="0" w:type="dxa"/>
            <w:left w:w="108" w:type="dxa"/>
            <w:bottom w:w="0" w:type="dxa"/>
            <w:right w:w="108" w:type="dxa"/>
          </w:tblCellMar>
        </w:tblPrEx>
        <w:trPr>
          <w:trHeight w:val="1011"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信息内容完整性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（3分）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信息公告内容是否完整、准确。每存在一项问题扣1分，扣完为止。</w:t>
            </w:r>
          </w:p>
        </w:tc>
      </w:tr>
      <w:tr>
        <w:tblPrEx>
          <w:tblCellMar>
            <w:top w:w="0" w:type="dxa"/>
            <w:left w:w="108" w:type="dxa"/>
            <w:bottom w:w="0" w:type="dxa"/>
            <w:right w:w="108" w:type="dxa"/>
          </w:tblCellMar>
        </w:tblPrEx>
        <w:trPr>
          <w:trHeight w:val="738" w:hRule="atLeast"/>
        </w:trPr>
        <w:tc>
          <w:tcPr>
            <w:tcW w:w="84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04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40" w:lineRule="auto"/>
              <w:ind w:firstLine="0" w:firstLineChars="0"/>
              <w:jc w:val="center"/>
              <w:rPr>
                <w:rFonts w:hint="eastAsia" w:ascii="宋体" w:hAnsi="宋体" w:eastAsia="宋体" w:cs="宋体"/>
                <w:sz w:val="20"/>
                <w:szCs w:val="20"/>
              </w:rPr>
            </w:pPr>
          </w:p>
        </w:tc>
        <w:tc>
          <w:tcPr>
            <w:tcW w:w="1278"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jc w:val="center"/>
              <w:textAlignment w:val="center"/>
              <w:rPr>
                <w:rFonts w:hint="eastAsia" w:ascii="宋体" w:hAnsi="宋体" w:eastAsia="宋体" w:cs="宋体"/>
                <w:kern w:val="0"/>
                <w:sz w:val="20"/>
                <w:szCs w:val="20"/>
                <w:lang w:bidi="ar"/>
              </w:rPr>
            </w:pPr>
            <w:r>
              <w:rPr>
                <w:rFonts w:hint="eastAsia" w:ascii="宋体" w:hAnsi="宋体" w:eastAsia="宋体" w:cs="宋体"/>
                <w:kern w:val="0"/>
                <w:sz w:val="20"/>
                <w:szCs w:val="20"/>
                <w:lang w:bidi="ar"/>
              </w:rPr>
              <w:t>文本规范性</w:t>
            </w:r>
          </w:p>
          <w:p>
            <w:pPr>
              <w:widowControl/>
              <w:spacing w:line="240" w:lineRule="auto"/>
              <w:ind w:firstLine="0" w:firstLineChars="0"/>
              <w:jc w:val="center"/>
              <w:textAlignment w:val="center"/>
              <w:rPr>
                <w:rFonts w:hint="eastAsia" w:ascii="宋体" w:hAnsi="宋体" w:eastAsia="宋体" w:cs="宋体"/>
                <w:sz w:val="20"/>
                <w:szCs w:val="20"/>
              </w:rPr>
            </w:pPr>
            <w:r>
              <w:rPr>
                <w:rFonts w:hint="eastAsia" w:ascii="宋体" w:hAnsi="宋体" w:eastAsia="宋体" w:cs="宋体"/>
                <w:kern w:val="0"/>
                <w:sz w:val="20"/>
                <w:szCs w:val="20"/>
                <w:lang w:bidi="ar"/>
              </w:rPr>
              <w:t>（2分）</w:t>
            </w:r>
          </w:p>
        </w:tc>
        <w:tc>
          <w:tcPr>
            <w:tcW w:w="1832" w:type="pc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auto"/>
              <w:ind w:firstLine="0" w:firstLineChars="0"/>
              <w:textAlignment w:val="center"/>
              <w:rPr>
                <w:rFonts w:hint="eastAsia" w:ascii="宋体" w:hAnsi="宋体" w:eastAsia="宋体" w:cs="宋体"/>
                <w:sz w:val="20"/>
                <w:szCs w:val="20"/>
              </w:rPr>
            </w:pPr>
            <w:r>
              <w:rPr>
                <w:rFonts w:hint="eastAsia" w:ascii="宋体" w:hAnsi="宋体" w:eastAsia="宋体" w:cs="宋体"/>
                <w:kern w:val="0"/>
                <w:sz w:val="20"/>
                <w:szCs w:val="20"/>
                <w:lang w:bidi="ar"/>
              </w:rPr>
              <w:t>未执行财政部门制定的公告范本，扣2分。</w:t>
            </w:r>
          </w:p>
        </w:tc>
      </w:tr>
    </w:tbl>
    <w:p>
      <w:pPr>
        <w:pStyle w:val="5"/>
        <w:ind w:firstLine="643"/>
        <w:rPr>
          <w:rFonts w:hint="eastAsia"/>
        </w:rPr>
      </w:pPr>
      <w:r>
        <w:rPr>
          <w:rFonts w:hint="eastAsia"/>
        </w:rPr>
        <w:t>（3）评价等级</w:t>
      </w:r>
    </w:p>
    <w:p>
      <w:pPr>
        <w:ind w:firstLine="640"/>
        <w:rPr>
          <w:rFonts w:hint="eastAsia" w:ascii="仿宋" w:hAnsi="仿宋" w:cs="仿宋"/>
          <w:szCs w:val="32"/>
        </w:rPr>
      </w:pPr>
      <w:r>
        <w:rPr>
          <w:rFonts w:hint="eastAsia" w:ascii="仿宋" w:hAnsi="仿宋" w:cs="仿宋"/>
          <w:szCs w:val="32"/>
          <w:lang w:val="en-US" w:eastAsia="zh-CN"/>
        </w:rPr>
        <w:t>本次</w:t>
      </w:r>
      <w:r>
        <w:rPr>
          <w:rFonts w:hint="eastAsia" w:ascii="仿宋" w:hAnsi="仿宋" w:cs="仿宋"/>
          <w:szCs w:val="32"/>
        </w:rPr>
        <w:t>绩效评价结果量化为百分制综合评分，并按照综合评分进行分级。综合评分为90分（含）以上的为“优”。80分（含）至90分的为“良”。60分（含）至80分的为“中”。60分以下的为“差”</w:t>
      </w:r>
      <w:r>
        <w:rPr>
          <w:rFonts w:hint="eastAsia" w:ascii="仿宋" w:hAnsi="仿宋" w:cs="仿宋"/>
          <w:kern w:val="0"/>
          <w:szCs w:val="32"/>
        </w:rPr>
        <w:t>。</w:t>
      </w:r>
    </w:p>
    <w:p>
      <w:pPr>
        <w:pStyle w:val="3"/>
        <w:ind w:firstLine="643"/>
      </w:pPr>
      <w:bookmarkStart w:id="709" w:name="_Toc4117"/>
      <w:r>
        <w:rPr>
          <w:rFonts w:hint="eastAsia"/>
        </w:rPr>
        <w:t>（四）本次绩效评价的程序</w:t>
      </w:r>
      <w:bookmarkEnd w:id="709"/>
    </w:p>
    <w:p>
      <w:pPr>
        <w:pStyle w:val="4"/>
        <w:ind w:firstLine="643"/>
        <w:rPr>
          <w:rFonts w:hint="eastAsia"/>
        </w:rPr>
      </w:pPr>
      <w:bookmarkStart w:id="710" w:name="_Toc31501"/>
      <w:bookmarkStart w:id="711" w:name="_Toc13832"/>
      <w:bookmarkStart w:id="712" w:name="_Toc13514"/>
      <w:bookmarkStart w:id="713" w:name="_Toc8459"/>
      <w:r>
        <w:rPr>
          <w:rFonts w:hint="eastAsia"/>
        </w:rPr>
        <w:t>1.进驻单位，初步沟通</w:t>
      </w:r>
      <w:bookmarkEnd w:id="710"/>
      <w:bookmarkEnd w:id="711"/>
      <w:bookmarkEnd w:id="712"/>
      <w:bookmarkEnd w:id="713"/>
    </w:p>
    <w:p>
      <w:pPr>
        <w:ind w:firstLine="640"/>
        <w:rPr>
          <w:rFonts w:hint="eastAsia" w:ascii="仿宋" w:hAnsi="仿宋" w:cs="仿宋"/>
          <w:szCs w:val="32"/>
        </w:rPr>
      </w:pPr>
      <w:r>
        <w:rPr>
          <w:rFonts w:hint="eastAsia" w:ascii="仿宋" w:hAnsi="仿宋" w:cs="仿宋"/>
          <w:szCs w:val="32"/>
        </w:rPr>
        <w:t>2024年6月17日，绩效评价工作组按委托方要求进驻被评价单位，参与现场评价工作会议，听取应急分局对高新区第一次全国自然灾害综合风险普查服务项目资金的目标设定及完成情况，项目组织管理制度建立健全</w:t>
      </w:r>
      <w:r>
        <w:rPr>
          <w:rFonts w:hint="eastAsia" w:ascii="仿宋" w:hAnsi="仿宋" w:cs="仿宋"/>
          <w:szCs w:val="32"/>
          <w:lang w:val="en-US" w:eastAsia="zh-CN"/>
        </w:rPr>
        <w:t>和项目采购及实施</w:t>
      </w:r>
      <w:r>
        <w:rPr>
          <w:rFonts w:hint="eastAsia" w:ascii="仿宋" w:hAnsi="仿宋" w:cs="仿宋"/>
          <w:szCs w:val="32"/>
        </w:rPr>
        <w:t>情况，预算支出执行情况，财务管理状况，预算支出等情况介绍。初步了解项目整体进展情况并实地制定评价工作具体方案。</w:t>
      </w:r>
    </w:p>
    <w:p>
      <w:pPr>
        <w:pStyle w:val="4"/>
        <w:ind w:firstLine="643"/>
        <w:rPr>
          <w:rFonts w:hint="eastAsia"/>
        </w:rPr>
      </w:pPr>
      <w:bookmarkStart w:id="714" w:name="_Toc9613"/>
      <w:bookmarkStart w:id="715" w:name="_Toc28918"/>
      <w:bookmarkStart w:id="716" w:name="_Toc4299"/>
      <w:bookmarkStart w:id="717" w:name="_Toc3397"/>
      <w:r>
        <w:rPr>
          <w:rFonts w:hint="eastAsia"/>
        </w:rPr>
        <w:t>2.收集资料，复核分析</w:t>
      </w:r>
      <w:bookmarkEnd w:id="714"/>
      <w:bookmarkEnd w:id="715"/>
      <w:bookmarkEnd w:id="716"/>
      <w:bookmarkEnd w:id="717"/>
    </w:p>
    <w:p>
      <w:pPr>
        <w:ind w:firstLine="640"/>
        <w:rPr>
          <w:rFonts w:hint="eastAsia" w:ascii="仿宋" w:hAnsi="仿宋" w:cs="仿宋"/>
          <w:szCs w:val="32"/>
        </w:rPr>
      </w:pPr>
      <w:r>
        <w:rPr>
          <w:rFonts w:hint="eastAsia" w:ascii="仿宋" w:hAnsi="仿宋" w:cs="仿宋"/>
          <w:szCs w:val="32"/>
        </w:rPr>
        <w:t>对被评价单位提供的有关项目资料进行查阅，核实其真实性。包括：核实资金下达与资金拨付手续，核实项目公示信息；检查普查项目各项管理制度设置的完善性和合理性，落实制度的实际运行状况；查阅项目招投标文件，审核项目</w:t>
      </w:r>
      <w:r>
        <w:rPr>
          <w:rFonts w:hint="eastAsia" w:ascii="仿宋" w:hAnsi="仿宋" w:cs="仿宋"/>
          <w:szCs w:val="32"/>
          <w:lang w:val="en-US" w:eastAsia="zh-CN"/>
        </w:rPr>
        <w:t>采购</w:t>
      </w:r>
      <w:r>
        <w:rPr>
          <w:rFonts w:hint="eastAsia" w:ascii="仿宋" w:hAnsi="仿宋" w:cs="仿宋"/>
          <w:szCs w:val="32"/>
        </w:rPr>
        <w:t>程序是否合法合规，应通过政府采购的项目是否遵照执行；检查各项收支审批程序、核实资金是否按来源和预算用途规范管理和运用；检查项目进度和成果资料，核实项目质量及检验验收情况。</w:t>
      </w:r>
    </w:p>
    <w:p>
      <w:pPr>
        <w:pStyle w:val="4"/>
        <w:ind w:firstLine="643"/>
        <w:rPr>
          <w:rFonts w:hint="eastAsia"/>
        </w:rPr>
      </w:pPr>
      <w:bookmarkStart w:id="718" w:name="_Toc13343"/>
      <w:bookmarkStart w:id="719" w:name="_Toc28843"/>
      <w:bookmarkStart w:id="720" w:name="_Toc26923"/>
      <w:bookmarkStart w:id="721" w:name="_Toc21797"/>
      <w:r>
        <w:rPr>
          <w:rFonts w:hint="eastAsia"/>
        </w:rPr>
        <w:t>3.发放调查问卷</w:t>
      </w:r>
      <w:bookmarkEnd w:id="718"/>
      <w:bookmarkEnd w:id="719"/>
      <w:bookmarkEnd w:id="720"/>
      <w:bookmarkEnd w:id="721"/>
    </w:p>
    <w:p>
      <w:pPr>
        <w:ind w:firstLine="640"/>
        <w:rPr>
          <w:rFonts w:hint="eastAsia" w:ascii="仿宋" w:hAnsi="仿宋" w:cs="仿宋"/>
          <w:szCs w:val="32"/>
        </w:rPr>
      </w:pPr>
      <w:r>
        <w:rPr>
          <w:rFonts w:hint="eastAsia" w:ascii="仿宋" w:hAnsi="仿宋" w:cs="仿宋"/>
          <w:szCs w:val="32"/>
        </w:rPr>
        <w:t>对项目实施满意度情况进行调查，对具有明确受益对象的评价项目，根据需要收集的评价数据设置调查表并认真做好调查表的发放与回收工作。对回收有效问卷进行科学统计分析，并通过统计结果分析原因，评价其对项目绩效成果的影响程度。</w:t>
      </w:r>
    </w:p>
    <w:p>
      <w:pPr>
        <w:pStyle w:val="4"/>
        <w:ind w:firstLine="643"/>
        <w:rPr>
          <w:rFonts w:hint="eastAsia"/>
        </w:rPr>
      </w:pPr>
      <w:bookmarkStart w:id="722" w:name="_Toc1415"/>
      <w:bookmarkStart w:id="723" w:name="_Toc20335"/>
      <w:bookmarkStart w:id="724" w:name="_Toc14341"/>
      <w:bookmarkStart w:id="725" w:name="_Toc2567"/>
      <w:r>
        <w:rPr>
          <w:rFonts w:hint="eastAsia"/>
        </w:rPr>
        <w:t>4.综合分析，客观评价</w:t>
      </w:r>
      <w:bookmarkEnd w:id="722"/>
      <w:bookmarkEnd w:id="723"/>
      <w:bookmarkEnd w:id="724"/>
      <w:bookmarkEnd w:id="725"/>
    </w:p>
    <w:p>
      <w:pPr>
        <w:ind w:firstLine="640"/>
        <w:rPr>
          <w:rFonts w:hint="eastAsia" w:ascii="仿宋" w:hAnsi="仿宋" w:cs="仿宋"/>
          <w:szCs w:val="32"/>
        </w:rPr>
      </w:pPr>
      <w:r>
        <w:rPr>
          <w:rFonts w:hint="eastAsia" w:ascii="仿宋" w:hAnsi="仿宋" w:cs="仿宋"/>
          <w:szCs w:val="32"/>
        </w:rPr>
        <w:t>根据核实的情况，独立、客观、公正地开展现场评价工作，对提供的材料及自评报告，结合现场评价情况进行综合分析重点逐项分析评价项目目标设置情况；预算编制情况；采购执行情况；项目申报、评审情况；资金下达情况；</w:t>
      </w:r>
      <w:r>
        <w:rPr>
          <w:rFonts w:hint="eastAsia" w:ascii="仿宋" w:hAnsi="仿宋" w:cs="仿宋"/>
          <w:szCs w:val="32"/>
          <w:lang w:val="en-US" w:eastAsia="zh-CN"/>
        </w:rPr>
        <w:t>项目采购情况；</w:t>
      </w:r>
      <w:r>
        <w:rPr>
          <w:rFonts w:hint="eastAsia" w:ascii="仿宋" w:hAnsi="仿宋" w:cs="仿宋"/>
          <w:szCs w:val="32"/>
        </w:rPr>
        <w:t>资金使用情况；绩效目标完成情况；项目资金使用情况。对各项指标对比分析和归纳总结，初步形成项目综合评价结论。</w:t>
      </w:r>
    </w:p>
    <w:p>
      <w:pPr>
        <w:pStyle w:val="4"/>
        <w:ind w:firstLine="643"/>
        <w:rPr>
          <w:rFonts w:hint="eastAsia"/>
        </w:rPr>
      </w:pPr>
      <w:bookmarkStart w:id="726" w:name="_Toc4942"/>
      <w:bookmarkStart w:id="727" w:name="_Toc23021"/>
      <w:bookmarkStart w:id="728" w:name="_Toc22246"/>
      <w:bookmarkStart w:id="729" w:name="_Toc18103"/>
      <w:r>
        <w:rPr>
          <w:rFonts w:hint="eastAsia"/>
        </w:rPr>
        <w:t>5.沟通说明，现场评分</w:t>
      </w:r>
      <w:bookmarkEnd w:id="726"/>
      <w:bookmarkEnd w:id="727"/>
      <w:bookmarkEnd w:id="728"/>
      <w:bookmarkEnd w:id="729"/>
    </w:p>
    <w:p>
      <w:pPr>
        <w:ind w:firstLine="640"/>
        <w:rPr>
          <w:rFonts w:hint="eastAsia" w:ascii="仿宋" w:hAnsi="仿宋" w:cs="仿宋"/>
          <w:szCs w:val="32"/>
        </w:rPr>
      </w:pPr>
      <w:r>
        <w:rPr>
          <w:rFonts w:hint="eastAsia" w:ascii="仿宋" w:hAnsi="仿宋" w:cs="仿宋"/>
          <w:szCs w:val="32"/>
        </w:rPr>
        <w:t>针对分析、评价中发现的情况与被评价单位沟通。评价组对各项评价指标进行分析讨论，经反复分析、研究，按预先设计的评价指标体系进行现场评价打分。</w:t>
      </w:r>
    </w:p>
    <w:p>
      <w:pPr>
        <w:pStyle w:val="4"/>
        <w:ind w:firstLine="643"/>
        <w:rPr>
          <w:rFonts w:hint="eastAsia" w:ascii="仿宋" w:hAnsi="仿宋" w:eastAsia="仿宋" w:cs="仿宋"/>
        </w:rPr>
      </w:pPr>
      <w:bookmarkStart w:id="730" w:name="_Toc10337"/>
      <w:bookmarkStart w:id="731" w:name="_Toc17603"/>
      <w:bookmarkStart w:id="732" w:name="_Toc24400"/>
      <w:bookmarkStart w:id="733" w:name="_Toc18999"/>
      <w:r>
        <w:rPr>
          <w:rFonts w:hint="eastAsia"/>
        </w:rPr>
        <w:t>6.绩效评价报告</w:t>
      </w:r>
      <w:bookmarkEnd w:id="730"/>
      <w:bookmarkEnd w:id="731"/>
      <w:bookmarkEnd w:id="732"/>
      <w:bookmarkEnd w:id="733"/>
    </w:p>
    <w:p>
      <w:pPr>
        <w:pStyle w:val="5"/>
        <w:ind w:firstLine="643"/>
        <w:rPr>
          <w:rFonts w:hint="eastAsia"/>
        </w:rPr>
      </w:pPr>
      <w:r>
        <w:rPr>
          <w:rFonts w:hint="eastAsia"/>
        </w:rPr>
        <w:t>（1）撰写绩效评价报告</w:t>
      </w:r>
    </w:p>
    <w:p>
      <w:pPr>
        <w:widowControl/>
        <w:ind w:firstLine="640"/>
        <w:jc w:val="left"/>
        <w:rPr>
          <w:rFonts w:hint="eastAsia" w:ascii="仿宋" w:hAnsi="仿宋" w:cs="仿宋"/>
          <w:szCs w:val="32"/>
        </w:rPr>
      </w:pPr>
      <w:r>
        <w:rPr>
          <w:rFonts w:hint="eastAsia" w:ascii="仿宋" w:hAnsi="仿宋" w:cs="仿宋"/>
          <w:szCs w:val="32"/>
        </w:rPr>
        <w:t>绩效评价报告</w:t>
      </w:r>
      <w:r>
        <w:rPr>
          <w:rFonts w:ascii="仿宋" w:hAnsi="仿宋" w:cs="仿宋"/>
          <w:color w:val="000000"/>
          <w:kern w:val="0"/>
          <w:szCs w:val="32"/>
          <w:lang w:bidi="ar"/>
        </w:rPr>
        <w:t>根据</w:t>
      </w:r>
      <w:r>
        <w:rPr>
          <w:rFonts w:hint="eastAsia" w:ascii="仿宋" w:hAnsi="仿宋" w:cs="仿宋"/>
          <w:color w:val="000000"/>
          <w:kern w:val="0"/>
          <w:szCs w:val="32"/>
          <w:lang w:bidi="ar"/>
        </w:rPr>
        <w:t>实地评价单位进行整理汇总，分析研究，并进行内部复核，</w:t>
      </w:r>
      <w:r>
        <w:rPr>
          <w:rFonts w:hint="eastAsia" w:ascii="仿宋" w:hAnsi="仿宋" w:cs="仿宋"/>
          <w:szCs w:val="32"/>
        </w:rPr>
        <w:t>具体格式由财政部门统一制定，绩效评价人员按照规定的文本格式和协议要求撰写绩效评价报告，做到依据充分、数据真实、内容完整、客观公正、结论明确、建议可行。</w:t>
      </w:r>
    </w:p>
    <w:p>
      <w:pPr>
        <w:pStyle w:val="5"/>
        <w:ind w:firstLine="643"/>
        <w:rPr>
          <w:rFonts w:hint="eastAsia"/>
        </w:rPr>
      </w:pPr>
      <w:r>
        <w:rPr>
          <w:rFonts w:hint="eastAsia"/>
        </w:rPr>
        <w:t>（2）绩效评价报告征求意见</w:t>
      </w:r>
    </w:p>
    <w:p>
      <w:pPr>
        <w:ind w:firstLine="640"/>
        <w:rPr>
          <w:rFonts w:hint="eastAsia" w:ascii="仿宋" w:hAnsi="仿宋" w:cs="仿宋"/>
          <w:szCs w:val="32"/>
        </w:rPr>
      </w:pPr>
      <w:r>
        <w:rPr>
          <w:rFonts w:hint="eastAsia" w:ascii="仿宋" w:hAnsi="仿宋" w:cs="仿宋"/>
          <w:szCs w:val="32"/>
        </w:rPr>
        <w:t>绩效评价报告初稿完成后，由</w:t>
      </w:r>
      <w:r>
        <w:rPr>
          <w:rFonts w:hint="eastAsia" w:ascii="仿宋" w:hAnsi="仿宋"/>
          <w:szCs w:val="32"/>
        </w:rPr>
        <w:t>遂宁高新区财政金融局</w:t>
      </w:r>
      <w:r>
        <w:rPr>
          <w:rFonts w:hint="eastAsia" w:ascii="仿宋" w:hAnsi="仿宋" w:cs="仿宋"/>
          <w:szCs w:val="32"/>
        </w:rPr>
        <w:t>牵头，征求被评价单位的意见，根据反馈的有效意见对评价报告进行修正。如对评价报告存在意见分歧，经协商仍不能取得一致的，评价组在出具正式绩效评价报告时须同时提交被评价单位的不同意见。</w:t>
      </w:r>
    </w:p>
    <w:p>
      <w:pPr>
        <w:pStyle w:val="5"/>
        <w:ind w:firstLine="643"/>
        <w:rPr>
          <w:rFonts w:hint="eastAsia"/>
        </w:rPr>
      </w:pPr>
      <w:r>
        <w:rPr>
          <w:rFonts w:hint="eastAsia"/>
        </w:rPr>
        <w:t>（3）提交绩效评价报告</w:t>
      </w:r>
    </w:p>
    <w:p>
      <w:pPr>
        <w:keepNext/>
        <w:keepLines/>
        <w:ind w:firstLine="640"/>
        <w:rPr>
          <w:rFonts w:hint="eastAsia" w:ascii="仿宋" w:hAnsi="仿宋" w:cs="仿宋"/>
          <w:szCs w:val="32"/>
        </w:rPr>
      </w:pPr>
      <w:r>
        <w:rPr>
          <w:rFonts w:hint="eastAsia" w:ascii="仿宋" w:hAnsi="仿宋" w:cs="仿宋"/>
          <w:szCs w:val="32"/>
        </w:rPr>
        <w:t>出具遂宁高新区第一次全国自然灾害综合风险普查服务项目资金绩效评价报告。</w:t>
      </w:r>
    </w:p>
    <w:p>
      <w:pPr>
        <w:pStyle w:val="2"/>
        <w:ind w:firstLine="643"/>
        <w:rPr>
          <w:b w:val="0"/>
          <w:bCs/>
        </w:rPr>
      </w:pPr>
      <w:bookmarkStart w:id="734" w:name="_Toc1945"/>
      <w:r>
        <w:rPr>
          <w:rFonts w:hint="eastAsia"/>
          <w:b w:val="0"/>
          <w:bCs/>
        </w:rPr>
        <w:t>三、综合评价情况及评价结论</w:t>
      </w:r>
      <w:bookmarkEnd w:id="734"/>
    </w:p>
    <w:p>
      <w:pPr>
        <w:ind w:firstLine="640"/>
        <w:rPr>
          <w:rFonts w:hint="eastAsia" w:ascii="仿宋" w:hAnsi="仿宋" w:cs="仿宋"/>
          <w:szCs w:val="32"/>
        </w:rPr>
      </w:pPr>
      <w:r>
        <w:rPr>
          <w:rFonts w:hint="eastAsia" w:ascii="仿宋" w:hAnsi="仿宋" w:cs="仿宋"/>
          <w:szCs w:val="32"/>
        </w:rPr>
        <w:t>为了全面、客观、有效地进行绩效评价，评价工作小组深入应急分局与工作人员进行沟通座谈并充分了解项目情况，查阅项目档案，收集相关信息资料，采取定性和定量分析方法，通过4大类14</w:t>
      </w:r>
      <w:r>
        <w:rPr>
          <w:rFonts w:hint="eastAsia" w:ascii="仿宋" w:hAnsi="仿宋"/>
          <w:szCs w:val="32"/>
        </w:rPr>
        <w:t>个子项指标</w:t>
      </w:r>
      <w:r>
        <w:rPr>
          <w:rFonts w:hint="eastAsia" w:ascii="仿宋" w:hAnsi="仿宋" w:cs="仿宋"/>
          <w:szCs w:val="32"/>
        </w:rPr>
        <w:t>项逐一评价，对遂宁高新区第一次全国自然灾害综合风险普查服务项目的采购程序、资金落实、组织实施、资金管理、项目验收和信息公开等方面进行综合评价。</w:t>
      </w:r>
    </w:p>
    <w:p>
      <w:pPr>
        <w:ind w:firstLine="640"/>
        <w:rPr>
          <w:rFonts w:hint="eastAsia" w:ascii="仿宋" w:hAnsi="仿宋" w:cs="仿宋"/>
          <w:szCs w:val="32"/>
        </w:rPr>
      </w:pPr>
      <w:r>
        <w:rPr>
          <w:rFonts w:hint="eastAsia" w:ascii="仿宋" w:hAnsi="仿宋" w:cs="仿宋"/>
          <w:szCs w:val="32"/>
        </w:rPr>
        <w:t>通过对资料查阅、分析和现场调研及综合分析，高新区第一次全国自然灾害综合风险普查服务项目立项充分，符合城区发展需要和政策要求，项目实施内容与应急分局职责相匹配，自然灾害属于风险普查方向。项目采购程序合规，手续齐全，完成各项批复工作。普查资金与项目实际需求相匹配，资金指标已经全部下达但未完成支付。本项目已经全部完成，截止评价节点未按合同履约开展成果验收，未邀请服务对象参与并出具意见。本项目采购、评审、管理和监督能做到工作全面、程序合规，信息公开内容完整准确。</w:t>
      </w:r>
    </w:p>
    <w:p>
      <w:pPr>
        <w:ind w:firstLine="640"/>
        <w:rPr>
          <w:rFonts w:hint="eastAsia" w:ascii="仿宋" w:hAnsi="仿宋" w:cs="仿宋"/>
          <w:szCs w:val="32"/>
        </w:rPr>
      </w:pPr>
      <w:r>
        <w:rPr>
          <w:rFonts w:hint="eastAsia" w:ascii="仿宋" w:hAnsi="仿宋" w:cs="仿宋"/>
          <w:szCs w:val="32"/>
        </w:rPr>
        <w:t>经绩效评价组从经济性指标、效率性指标、有效性指标、公平性指标四方面进行综合评议，本项目绩效评价综合评分为82.00分，综合绩效评定结论为“良”。综合评价得分情况如下：</w:t>
      </w:r>
    </w:p>
    <w:p>
      <w:pPr>
        <w:ind w:firstLine="482"/>
        <w:jc w:val="center"/>
        <w:rPr>
          <w:rFonts w:hint="eastAsia" w:ascii="宋体" w:hAnsi="宋体" w:eastAsia="宋体" w:cs="宋体"/>
          <w:b/>
          <w:bCs/>
          <w:iCs/>
          <w:sz w:val="24"/>
          <w:szCs w:val="24"/>
        </w:rPr>
      </w:pPr>
      <w:r>
        <w:rPr>
          <w:rFonts w:hint="eastAsia" w:ascii="宋体" w:hAnsi="宋体" w:eastAsia="宋体" w:cs="宋体"/>
          <w:b/>
          <w:bCs/>
          <w:iCs/>
          <w:sz w:val="24"/>
          <w:szCs w:val="24"/>
        </w:rPr>
        <w:t>综合评价得分情况表</w:t>
      </w:r>
    </w:p>
    <w:tbl>
      <w:tblPr>
        <w:tblStyle w:val="17"/>
        <w:tblW w:w="482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6"/>
        <w:gridCol w:w="2055"/>
        <w:gridCol w:w="1996"/>
        <w:gridCol w:w="21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exact"/>
          <w:tblHeader/>
          <w:jc w:val="center"/>
        </w:trPr>
        <w:tc>
          <w:tcPr>
            <w:tcW w:w="1215" w:type="pct"/>
            <w:vAlign w:val="center"/>
          </w:tcPr>
          <w:p>
            <w:pPr>
              <w:spacing w:line="240" w:lineRule="auto"/>
              <w:ind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一级指标</w:t>
            </w:r>
          </w:p>
        </w:tc>
        <w:tc>
          <w:tcPr>
            <w:tcW w:w="1251" w:type="pct"/>
            <w:vAlign w:val="center"/>
          </w:tcPr>
          <w:p>
            <w:pPr>
              <w:spacing w:line="240" w:lineRule="auto"/>
              <w:ind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分值</w:t>
            </w:r>
          </w:p>
        </w:tc>
        <w:tc>
          <w:tcPr>
            <w:tcW w:w="1215" w:type="pct"/>
            <w:vAlign w:val="center"/>
          </w:tcPr>
          <w:p>
            <w:pPr>
              <w:spacing w:line="240" w:lineRule="auto"/>
              <w:ind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得分</w:t>
            </w:r>
          </w:p>
        </w:tc>
        <w:tc>
          <w:tcPr>
            <w:tcW w:w="1317" w:type="pct"/>
            <w:vAlign w:val="center"/>
          </w:tcPr>
          <w:p>
            <w:pPr>
              <w:spacing w:line="240" w:lineRule="auto"/>
              <w:ind w:firstLine="0" w:firstLineChars="0"/>
              <w:jc w:val="center"/>
              <w:rPr>
                <w:rFonts w:hint="eastAsia" w:ascii="宋体" w:hAnsi="宋体" w:eastAsia="宋体" w:cs="宋体"/>
                <w:b/>
                <w:bCs/>
                <w:sz w:val="24"/>
                <w:szCs w:val="24"/>
              </w:rPr>
            </w:pPr>
            <w:r>
              <w:rPr>
                <w:rFonts w:hint="eastAsia" w:ascii="宋体" w:hAnsi="宋体" w:eastAsia="宋体" w:cs="宋体"/>
                <w:b/>
                <w:bCs/>
                <w:sz w:val="24"/>
                <w:szCs w:val="24"/>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exact"/>
          <w:jc w:val="center"/>
        </w:trPr>
        <w:tc>
          <w:tcPr>
            <w:tcW w:w="1215" w:type="pct"/>
            <w:vAlign w:val="center"/>
          </w:tcPr>
          <w:p>
            <w:pPr>
              <w:tabs>
                <w:tab w:val="right" w:pos="1296"/>
              </w:tabs>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经济性</w:t>
            </w:r>
          </w:p>
        </w:tc>
        <w:tc>
          <w:tcPr>
            <w:tcW w:w="1251" w:type="pct"/>
            <w:vAlign w:val="center"/>
          </w:tcPr>
          <w:p>
            <w:pPr>
              <w:spacing w:line="240" w:lineRule="auto"/>
              <w:ind w:firstLine="0" w:firstLineChars="0"/>
              <w:jc w:val="center"/>
              <w:rPr>
                <w:rFonts w:hint="eastAsia" w:ascii="宋体" w:hAnsi="宋体" w:eastAsia="宋体" w:cs="宋体"/>
                <w:sz w:val="24"/>
                <w:szCs w:val="24"/>
                <w:lang w:bidi="ar"/>
              </w:rPr>
            </w:pPr>
            <w:r>
              <w:rPr>
                <w:rFonts w:hint="eastAsia" w:ascii="宋体" w:hAnsi="宋体" w:eastAsia="宋体" w:cs="宋体"/>
                <w:sz w:val="24"/>
                <w:szCs w:val="24"/>
                <w:lang w:bidi="ar"/>
              </w:rPr>
              <w:t>16.00</w:t>
            </w:r>
          </w:p>
        </w:tc>
        <w:tc>
          <w:tcPr>
            <w:tcW w:w="1215" w:type="pct"/>
            <w:vAlign w:val="center"/>
          </w:tcPr>
          <w:p>
            <w:pPr>
              <w:spacing w:line="240" w:lineRule="auto"/>
              <w:ind w:firstLine="0" w:firstLineChars="0"/>
              <w:jc w:val="center"/>
              <w:rPr>
                <w:rFonts w:hint="eastAsia" w:ascii="宋体" w:hAnsi="宋体" w:eastAsia="宋体" w:cs="宋体"/>
                <w:sz w:val="24"/>
                <w:szCs w:val="24"/>
                <w:lang w:bidi="ar"/>
              </w:rPr>
            </w:pPr>
            <w:r>
              <w:rPr>
                <w:rFonts w:hint="eastAsia" w:ascii="宋体" w:hAnsi="宋体" w:eastAsia="宋体" w:cs="宋体"/>
                <w:sz w:val="24"/>
                <w:szCs w:val="24"/>
                <w:lang w:bidi="ar"/>
              </w:rPr>
              <w:t>8.00</w:t>
            </w:r>
          </w:p>
        </w:tc>
        <w:tc>
          <w:tcPr>
            <w:tcW w:w="1317" w:type="pct"/>
            <w:vAlign w:val="center"/>
          </w:tcPr>
          <w:p>
            <w:pPr>
              <w:spacing w:line="240" w:lineRule="auto"/>
              <w:ind w:firstLine="0" w:firstLineChars="0"/>
              <w:jc w:val="center"/>
              <w:rPr>
                <w:rFonts w:hint="eastAsia" w:ascii="宋体" w:hAnsi="宋体" w:eastAsia="宋体" w:cs="宋体"/>
                <w:sz w:val="24"/>
                <w:szCs w:val="24"/>
                <w:lang w:bidi="ar"/>
              </w:rPr>
            </w:pPr>
            <w:r>
              <w:rPr>
                <w:rFonts w:hint="eastAsia" w:ascii="宋体" w:hAnsi="宋体" w:eastAsia="宋体" w:cs="宋体"/>
                <w:sz w:val="24"/>
                <w:szCs w:val="24"/>
                <w:lang w:bidi="ar"/>
              </w:rPr>
              <w:t>50.00%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exact"/>
          <w:jc w:val="center"/>
        </w:trPr>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效率性</w:t>
            </w:r>
          </w:p>
        </w:tc>
        <w:tc>
          <w:tcPr>
            <w:tcW w:w="1251"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22.00</w:t>
            </w:r>
          </w:p>
        </w:tc>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22.00</w:t>
            </w:r>
          </w:p>
        </w:tc>
        <w:tc>
          <w:tcPr>
            <w:tcW w:w="1317" w:type="pct"/>
            <w:vAlign w:val="center"/>
          </w:tcPr>
          <w:p>
            <w:pPr>
              <w:spacing w:line="240" w:lineRule="auto"/>
              <w:ind w:firstLine="0" w:firstLineChars="0"/>
              <w:jc w:val="center"/>
              <w:rPr>
                <w:rFonts w:hint="eastAsia" w:ascii="宋体" w:hAnsi="宋体" w:eastAsia="宋体" w:cs="宋体"/>
                <w:sz w:val="24"/>
                <w:szCs w:val="24"/>
                <w:lang w:bidi="ar"/>
              </w:rPr>
            </w:pPr>
            <w:r>
              <w:rPr>
                <w:rFonts w:hint="eastAsia" w:ascii="宋体" w:hAnsi="宋体" w:eastAsia="宋体" w:cs="宋体"/>
                <w:sz w:val="24"/>
                <w:szCs w:val="24"/>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exact"/>
          <w:jc w:val="center"/>
        </w:trPr>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有效性</w:t>
            </w:r>
          </w:p>
        </w:tc>
        <w:tc>
          <w:tcPr>
            <w:tcW w:w="1251"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30.00</w:t>
            </w:r>
          </w:p>
        </w:tc>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20.00</w:t>
            </w:r>
          </w:p>
        </w:tc>
        <w:tc>
          <w:tcPr>
            <w:tcW w:w="1317" w:type="pct"/>
            <w:vAlign w:val="center"/>
          </w:tcPr>
          <w:p>
            <w:pPr>
              <w:spacing w:line="240" w:lineRule="auto"/>
              <w:ind w:firstLine="0" w:firstLineChars="0"/>
              <w:jc w:val="center"/>
              <w:rPr>
                <w:rFonts w:hint="eastAsia" w:ascii="宋体" w:hAnsi="宋体" w:eastAsia="宋体" w:cs="宋体"/>
                <w:sz w:val="24"/>
                <w:szCs w:val="24"/>
                <w:lang w:bidi="ar"/>
              </w:rPr>
            </w:pPr>
            <w:r>
              <w:rPr>
                <w:rFonts w:hint="eastAsia" w:ascii="宋体" w:hAnsi="宋体" w:eastAsia="宋体" w:cs="宋体"/>
                <w:sz w:val="24"/>
                <w:szCs w:val="24"/>
                <w:lang w:bidi="ar"/>
              </w:rPr>
              <w:t>66.67%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exact"/>
          <w:jc w:val="center"/>
        </w:trPr>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公平性</w:t>
            </w:r>
          </w:p>
        </w:tc>
        <w:tc>
          <w:tcPr>
            <w:tcW w:w="1251"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32.00</w:t>
            </w:r>
          </w:p>
        </w:tc>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32.00</w:t>
            </w:r>
          </w:p>
        </w:tc>
        <w:tc>
          <w:tcPr>
            <w:tcW w:w="1317" w:type="pct"/>
            <w:vAlign w:val="center"/>
          </w:tcPr>
          <w:p>
            <w:pPr>
              <w:spacing w:line="240" w:lineRule="auto"/>
              <w:ind w:firstLine="0" w:firstLineChars="0"/>
              <w:jc w:val="center"/>
              <w:rPr>
                <w:rFonts w:hint="eastAsia" w:ascii="宋体" w:hAnsi="宋体" w:eastAsia="宋体" w:cs="宋体"/>
                <w:sz w:val="24"/>
                <w:szCs w:val="24"/>
                <w:lang w:bidi="ar"/>
              </w:rPr>
            </w:pPr>
            <w:r>
              <w:rPr>
                <w:rFonts w:hint="eastAsia" w:ascii="宋体" w:hAnsi="宋体" w:eastAsia="宋体" w:cs="宋体"/>
                <w:sz w:val="24"/>
                <w:szCs w:val="24"/>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0" w:hRule="exact"/>
          <w:jc w:val="center"/>
        </w:trPr>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合　计</w:t>
            </w:r>
          </w:p>
        </w:tc>
        <w:tc>
          <w:tcPr>
            <w:tcW w:w="1251"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100.00</w:t>
            </w:r>
          </w:p>
        </w:tc>
        <w:tc>
          <w:tcPr>
            <w:tcW w:w="1215"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82.00</w:t>
            </w:r>
          </w:p>
        </w:tc>
        <w:tc>
          <w:tcPr>
            <w:tcW w:w="1317" w:type="pct"/>
            <w:vAlign w:val="center"/>
          </w:tcPr>
          <w:p>
            <w:pPr>
              <w:spacing w:line="240" w:lineRule="auto"/>
              <w:ind w:firstLine="0" w:firstLineChars="0"/>
              <w:jc w:val="center"/>
              <w:rPr>
                <w:rFonts w:hint="eastAsia" w:ascii="宋体" w:hAnsi="宋体" w:eastAsia="宋体" w:cs="宋体"/>
                <w:sz w:val="24"/>
                <w:szCs w:val="24"/>
              </w:rPr>
            </w:pPr>
            <w:r>
              <w:rPr>
                <w:rFonts w:hint="eastAsia" w:ascii="宋体" w:hAnsi="宋体" w:eastAsia="宋体" w:cs="宋体"/>
                <w:sz w:val="24"/>
                <w:szCs w:val="24"/>
              </w:rPr>
              <w:t>82.00%</w:t>
            </w:r>
          </w:p>
        </w:tc>
      </w:tr>
    </w:tbl>
    <w:p>
      <w:pPr>
        <w:pStyle w:val="2"/>
        <w:ind w:firstLine="643"/>
        <w:rPr>
          <w:b w:val="0"/>
          <w:bCs/>
        </w:rPr>
      </w:pPr>
      <w:bookmarkStart w:id="735" w:name="_Toc13138"/>
      <w:r>
        <w:rPr>
          <w:rFonts w:hint="eastAsia"/>
          <w:b w:val="0"/>
          <w:bCs/>
        </w:rPr>
        <w:t>四、绩效评价指标分析</w:t>
      </w:r>
      <w:bookmarkEnd w:id="735"/>
    </w:p>
    <w:p>
      <w:pPr>
        <w:pStyle w:val="3"/>
        <w:ind w:firstLine="643"/>
      </w:pPr>
      <w:bookmarkStart w:id="736" w:name="_Toc6409"/>
      <w:r>
        <w:rPr>
          <w:rFonts w:hint="eastAsia"/>
        </w:rPr>
        <w:t>（一）项目经济性指标分析</w:t>
      </w:r>
      <w:bookmarkEnd w:id="736"/>
    </w:p>
    <w:p>
      <w:pPr>
        <w:pStyle w:val="4"/>
        <w:ind w:firstLine="643"/>
        <w:rPr>
          <w:rFonts w:hint="eastAsia"/>
        </w:rPr>
      </w:pPr>
      <w:bookmarkStart w:id="737" w:name="_Toc12610"/>
      <w:bookmarkStart w:id="738" w:name="_Toc21125"/>
      <w:bookmarkStart w:id="739" w:name="_Toc8714"/>
      <w:bookmarkStart w:id="740" w:name="_Toc7274"/>
      <w:r>
        <w:rPr>
          <w:rFonts w:hint="eastAsia"/>
        </w:rPr>
        <w:t>1.预算编制</w:t>
      </w:r>
      <w:bookmarkEnd w:id="737"/>
      <w:bookmarkEnd w:id="738"/>
      <w:bookmarkEnd w:id="739"/>
      <w:bookmarkEnd w:id="740"/>
      <w:r>
        <w:rPr>
          <w:rFonts w:hint="eastAsia"/>
        </w:rPr>
        <w:t>（满分2.00分，评价得分2.00分）</w:t>
      </w:r>
    </w:p>
    <w:p>
      <w:pPr>
        <w:pStyle w:val="7"/>
        <w:ind w:firstLine="640"/>
        <w:rPr>
          <w:rFonts w:hint="eastAsia" w:ascii="仿宋" w:hAnsi="仿宋" w:cs="仿宋"/>
          <w:color w:val="212529"/>
          <w:szCs w:val="32"/>
          <w:shd w:val="clear" w:color="auto" w:fill="FFFFFF"/>
        </w:rPr>
      </w:pPr>
      <w:r>
        <w:rPr>
          <w:rFonts w:hint="eastAsia" w:ascii="仿宋" w:hAnsi="仿宋" w:cs="仿宋"/>
          <w:szCs w:val="32"/>
        </w:rPr>
        <w:t>本项目是遂宁高新区第一次全国自然灾害综合风险普查服务项目，项目立项符合地方政策规划和城市发展需要。项目完成园区自然灾害综合风险普查，根据</w:t>
      </w:r>
      <w:r>
        <w:rPr>
          <w:rFonts w:hint="eastAsia" w:ascii="仿宋" w:hAnsi="仿宋" w:cs="仿宋"/>
          <w:color w:val="212529"/>
          <w:szCs w:val="32"/>
          <w:shd w:val="clear" w:color="auto" w:fill="FFFFFF"/>
        </w:rPr>
        <w:t>《四川省政府采购集中采购目录及标准》《四川省政府采购品目分类目录》《四川省政府采购面向中小企业采购品目指导目录》编制政府采购预算，采购项目预算编制结合实际工作需求并经过市场调查，同类项目历史成交情况、“货比三家”，本项目预算编制按照标准编制，预算资金分配合理，与项目实际情况相适应，自然灾害综合风险普查2023年预算成本117.00万元。本项目实际到位资金117.00万元。资金到位率</w:t>
      </w:r>
      <w:r>
        <w:rPr>
          <w:rFonts w:hint="eastAsia" w:ascii="仿宋" w:hAnsi="仿宋" w:cs="仿宋"/>
        </w:rPr>
        <w:t>100.00%。</w:t>
      </w:r>
      <w:r>
        <w:rPr>
          <w:rFonts w:hint="eastAsia" w:ascii="仿宋" w:hAnsi="仿宋" w:cs="仿宋"/>
          <w:color w:val="212529"/>
          <w:szCs w:val="32"/>
          <w:shd w:val="clear" w:color="auto" w:fill="FFFFFF"/>
        </w:rPr>
        <w:t>本项目采购单位为应急分局，在编制预算时，编制了绩效目标表。本项得</w:t>
      </w:r>
      <w:r>
        <w:rPr>
          <w:rFonts w:hint="eastAsia" w:ascii="仿宋" w:hAnsi="仿宋" w:cs="仿宋"/>
        </w:rPr>
        <w:t>2.00</w:t>
      </w:r>
      <w:r>
        <w:rPr>
          <w:rFonts w:hint="eastAsia" w:ascii="仿宋" w:hAnsi="仿宋" w:cs="仿宋"/>
          <w:color w:val="212529"/>
          <w:szCs w:val="32"/>
          <w:shd w:val="clear" w:color="auto" w:fill="FFFFFF"/>
        </w:rPr>
        <w:t>分。</w:t>
      </w:r>
    </w:p>
    <w:p>
      <w:pPr>
        <w:pStyle w:val="4"/>
        <w:ind w:firstLine="643"/>
        <w:rPr>
          <w:rFonts w:hint="eastAsia"/>
        </w:rPr>
      </w:pPr>
      <w:bookmarkStart w:id="741" w:name="_Toc136351496"/>
      <w:bookmarkStart w:id="742" w:name="_Toc129682494"/>
      <w:bookmarkStart w:id="743" w:name="_Toc129683105"/>
      <w:bookmarkStart w:id="744" w:name="_Toc3497"/>
      <w:bookmarkStart w:id="745" w:name="_Toc14047"/>
      <w:bookmarkStart w:id="746" w:name="_Toc12906"/>
      <w:bookmarkStart w:id="747" w:name="_Toc23556"/>
      <w:r>
        <w:rPr>
          <w:rFonts w:hint="eastAsia"/>
        </w:rPr>
        <w:t>2.</w:t>
      </w:r>
      <w:bookmarkEnd w:id="741"/>
      <w:bookmarkEnd w:id="742"/>
      <w:bookmarkEnd w:id="743"/>
      <w:r>
        <w:rPr>
          <w:rFonts w:hint="eastAsia"/>
        </w:rPr>
        <w:t>采购需求</w:t>
      </w:r>
      <w:bookmarkEnd w:id="744"/>
      <w:bookmarkEnd w:id="745"/>
      <w:bookmarkEnd w:id="746"/>
      <w:bookmarkEnd w:id="747"/>
      <w:r>
        <w:rPr>
          <w:rFonts w:hint="eastAsia"/>
        </w:rPr>
        <w:t>（满分6.00分，评价得分6.00分）</w:t>
      </w:r>
    </w:p>
    <w:p>
      <w:pPr>
        <w:ind w:firstLine="640"/>
        <w:rPr>
          <w:rFonts w:hint="eastAsia" w:ascii="仿宋" w:hAnsi="仿宋" w:cs="仿宋"/>
          <w:szCs w:val="32"/>
        </w:rPr>
      </w:pPr>
      <w:bookmarkStart w:id="748" w:name="_Toc136351497"/>
      <w:bookmarkStart w:id="749" w:name="_Toc129683106"/>
      <w:bookmarkStart w:id="750" w:name="_Toc129682495"/>
      <w:r>
        <w:rPr>
          <w:rFonts w:hint="eastAsia" w:ascii="仿宋" w:hAnsi="仿宋" w:cs="仿宋"/>
          <w:szCs w:val="32"/>
        </w:rPr>
        <w:t>由于本次普查工作具有涉及范围广、参与部门多、协同任务重、专业技术性强的原因，需聘请第三方专业技术团队参与帮助开展风险普查工作，应急分局和建设交运局牵头负责的普查任务，实行合并招标方式聘请第三方专业技术服务团队参与，由应急分局牵头负责实施统一招标，应急分局负责按程序统一招标第三方技术团队。采购需求编制准确、合理、全面，细化程度高，测算依据充足、真实、有效，采购需求符合业务要求，采购需求申请与需求论证说明的准确性、完整性、一一对应，采购项目有预算指标，采购需求邀请专业人员对采购需求进行论证，审核采购需求与申请编制准确、合理、全面，细化程度高，测算依据充足、真实、有效，采购需求公平公正。本项得6.00分。</w:t>
      </w:r>
    </w:p>
    <w:p>
      <w:pPr>
        <w:pStyle w:val="4"/>
        <w:ind w:firstLine="643"/>
        <w:rPr>
          <w:rFonts w:hint="eastAsia"/>
        </w:rPr>
      </w:pPr>
      <w:bookmarkStart w:id="751" w:name="_Toc6444"/>
      <w:bookmarkStart w:id="752" w:name="_Toc5869"/>
      <w:bookmarkStart w:id="753" w:name="_Toc14447"/>
      <w:bookmarkStart w:id="754" w:name="_Toc32752"/>
      <w:r>
        <w:rPr>
          <w:rFonts w:hint="eastAsia"/>
        </w:rPr>
        <w:t>3.资金</w:t>
      </w:r>
      <w:bookmarkEnd w:id="748"/>
      <w:bookmarkEnd w:id="749"/>
      <w:bookmarkEnd w:id="750"/>
      <w:bookmarkEnd w:id="751"/>
      <w:bookmarkEnd w:id="752"/>
      <w:bookmarkEnd w:id="753"/>
      <w:bookmarkEnd w:id="754"/>
      <w:r>
        <w:rPr>
          <w:rFonts w:hint="eastAsia"/>
        </w:rPr>
        <w:t>效益（满分8.00分，评价得分0.00分）</w:t>
      </w:r>
    </w:p>
    <w:p>
      <w:pPr>
        <w:pStyle w:val="7"/>
        <w:ind w:firstLine="640"/>
        <w:jc w:val="both"/>
        <w:rPr>
          <w:rFonts w:hint="eastAsia" w:ascii="仿宋" w:hAnsi="仿宋" w:cs="仿宋"/>
          <w:szCs w:val="32"/>
        </w:rPr>
      </w:pPr>
      <w:r>
        <w:rPr>
          <w:rFonts w:hint="eastAsia" w:ascii="仿宋" w:hAnsi="仿宋" w:cs="仿宋"/>
          <w:kern w:val="0"/>
          <w:szCs w:val="32"/>
        </w:rPr>
        <w:t>根据项目初步设计批复，本项目预算采购金额</w:t>
      </w:r>
      <w:r>
        <w:rPr>
          <w:rFonts w:hint="eastAsia" w:ascii="仿宋" w:hAnsi="仿宋" w:cs="仿宋"/>
          <w:color w:val="000000" w:themeColor="text1"/>
          <w:kern w:val="0"/>
          <w:szCs w:val="32"/>
          <w14:textFill>
            <w14:solidFill>
              <w14:schemeClr w14:val="tx1"/>
            </w14:solidFill>
          </w14:textFill>
        </w:rPr>
        <w:t>233.11万</w:t>
      </w:r>
      <w:r>
        <w:rPr>
          <w:rFonts w:hint="eastAsia" w:ascii="仿宋" w:hAnsi="仿宋" w:cs="仿宋"/>
          <w:kern w:val="0"/>
          <w:szCs w:val="32"/>
        </w:rPr>
        <w:t>元，2022年1月4日签订合同，合同服务费总额为人民币232.80万元。合同约定：合同签订10个工作日内预付合同金额的50%，即116.40万元作为首期款。合同签订后，遂宁市高新区应急管理局于2022年3月21支付上海数喆数据科技有限公司宁高新区第一次全国自然灾害综合风险普查费用116.11万元，未按合同约定付款，存在延期支付情况。合同约定：完成合同内所有服务工作，经省级验收合格后10个工作日内支付至合同金额的45%，即104.76万元，乙方（上海数喆数据科技有限公司）应按照四川省遂宁市统一部署在2022年1月30前完成调查工作，根据各子项目完成情况分别向甲方提交预期成果，</w:t>
      </w:r>
      <w:r>
        <w:rPr>
          <w:rFonts w:hint="eastAsia"/>
        </w:rPr>
        <w:t>项目成果交付后验收约定：甲方（遂宁市应急管理局遂宁高新区分局）应于收到乙方预期成果后十个工作日内负责项目验收。甲方收到乙方预期成果后十个工作日内未组织验收，则视为验收合格。</w:t>
      </w:r>
      <w:r>
        <w:rPr>
          <w:rFonts w:hint="eastAsia" w:ascii="仿宋" w:hAnsi="仿宋" w:cs="仿宋"/>
          <w:kern w:val="0"/>
          <w:szCs w:val="32"/>
        </w:rPr>
        <w:t>2022年2月20日乙方已向甲方提交了预期成果数据，但</w:t>
      </w:r>
      <w:r>
        <w:rPr>
          <w:rFonts w:hint="eastAsia" w:ascii="仿宋" w:hAnsi="仿宋" w:cs="仿宋"/>
          <w:kern w:val="0"/>
          <w:szCs w:val="32"/>
          <w:lang w:val="en-US" w:eastAsia="zh-CN"/>
        </w:rPr>
        <w:t>至今</w:t>
      </w:r>
      <w:r>
        <w:rPr>
          <w:rFonts w:hint="eastAsia" w:ascii="仿宋" w:hAnsi="仿宋" w:cs="仿宋"/>
          <w:kern w:val="0"/>
          <w:szCs w:val="32"/>
        </w:rPr>
        <w:t>未开展成果验收，甲方收到乙方预期成果后十个工作日内未组织验收，则视为验收合格。截至2023年12月31日已超期667天未付款。</w:t>
      </w:r>
      <w:r>
        <w:rPr>
          <w:rFonts w:hint="eastAsia" w:ascii="仿宋" w:hAnsi="仿宋" w:cs="仿宋"/>
          <w:kern w:val="0"/>
          <w:szCs w:val="32"/>
          <w:lang w:val="en-US" w:eastAsia="zh-CN"/>
        </w:rPr>
        <w:t>资金支付进度滞后。</w:t>
      </w:r>
      <w:r>
        <w:rPr>
          <w:rFonts w:hint="eastAsia" w:ascii="仿宋" w:hAnsi="仿宋" w:cs="仿宋"/>
          <w:kern w:val="0"/>
          <w:szCs w:val="32"/>
        </w:rPr>
        <w:t>资金节约率=（预算额-合同额）/预算额，故：</w:t>
      </w:r>
      <w:r>
        <w:rPr>
          <w:rFonts w:hint="eastAsia" w:ascii="仿宋" w:hAnsi="仿宋" w:cs="仿宋"/>
          <w:kern w:val="0"/>
          <w:szCs w:val="32"/>
          <w:lang w:val="en-US" w:eastAsia="zh-CN"/>
        </w:rPr>
        <w:t>预算额</w:t>
      </w:r>
      <w:r>
        <w:rPr>
          <w:rFonts w:hint="eastAsia" w:ascii="仿宋" w:hAnsi="仿宋" w:cs="仿宋"/>
          <w:color w:val="000000" w:themeColor="text1"/>
          <w:kern w:val="0"/>
          <w:szCs w:val="32"/>
          <w14:textFill>
            <w14:solidFill>
              <w14:schemeClr w14:val="tx1"/>
            </w14:solidFill>
          </w14:textFill>
        </w:rPr>
        <w:t>233.11万</w:t>
      </w:r>
      <w:r>
        <w:rPr>
          <w:rFonts w:hint="eastAsia" w:ascii="仿宋" w:hAnsi="仿宋" w:cs="仿宋"/>
          <w:kern w:val="0"/>
          <w:szCs w:val="32"/>
        </w:rPr>
        <w:t>元</w:t>
      </w:r>
      <w:r>
        <w:rPr>
          <w:rFonts w:hint="eastAsia" w:ascii="仿宋" w:hAnsi="仿宋" w:cs="仿宋"/>
          <w:kern w:val="0"/>
          <w:szCs w:val="32"/>
          <w:lang w:eastAsia="zh-CN"/>
        </w:rPr>
        <w:t>，</w:t>
      </w:r>
      <w:r>
        <w:rPr>
          <w:rFonts w:hint="eastAsia" w:ascii="仿宋" w:hAnsi="仿宋" w:cs="仿宋"/>
          <w:kern w:val="0"/>
          <w:szCs w:val="32"/>
          <w:lang w:val="en-US" w:eastAsia="zh-CN"/>
        </w:rPr>
        <w:t>合同额</w:t>
      </w:r>
      <w:r>
        <w:rPr>
          <w:rFonts w:hint="eastAsia" w:ascii="仿宋" w:hAnsi="仿宋" w:cs="仿宋"/>
          <w:kern w:val="0"/>
          <w:szCs w:val="32"/>
        </w:rPr>
        <w:t>232.80</w:t>
      </w:r>
      <w:r>
        <w:rPr>
          <w:rFonts w:hint="eastAsia" w:ascii="仿宋" w:hAnsi="仿宋" w:cs="仿宋"/>
          <w:kern w:val="0"/>
          <w:szCs w:val="32"/>
          <w:lang w:val="en-US" w:eastAsia="zh-CN"/>
        </w:rPr>
        <w:t>万元，</w:t>
      </w:r>
      <w:r>
        <w:rPr>
          <w:rFonts w:hint="eastAsia" w:ascii="仿宋" w:hAnsi="仿宋" w:cs="仿宋"/>
          <w:kern w:val="0"/>
          <w:szCs w:val="32"/>
        </w:rPr>
        <w:t>资金节约率为0.13%，节约率在1%（含）以下。</w:t>
      </w:r>
      <w:r>
        <w:rPr>
          <w:rFonts w:hint="eastAsia" w:ascii="仿宋" w:hAnsi="仿宋" w:cs="仿宋"/>
          <w:szCs w:val="32"/>
        </w:rPr>
        <w:t>本项不得分。</w:t>
      </w:r>
    </w:p>
    <w:p>
      <w:pPr>
        <w:pStyle w:val="3"/>
        <w:ind w:firstLine="643"/>
      </w:pPr>
      <w:bookmarkStart w:id="755" w:name="_Toc3626"/>
      <w:r>
        <w:rPr>
          <w:rFonts w:hint="eastAsia"/>
        </w:rPr>
        <w:t>（二）项目效率性指标分析</w:t>
      </w:r>
      <w:bookmarkEnd w:id="755"/>
    </w:p>
    <w:p>
      <w:pPr>
        <w:pStyle w:val="4"/>
        <w:ind w:firstLine="643"/>
        <w:rPr>
          <w:rFonts w:hint="eastAsia"/>
        </w:rPr>
      </w:pPr>
      <w:bookmarkStart w:id="756" w:name="_Toc136351499"/>
      <w:bookmarkStart w:id="757" w:name="_Toc129683108"/>
      <w:bookmarkStart w:id="758" w:name="_Toc129682497"/>
      <w:bookmarkStart w:id="759" w:name="_Toc26336"/>
      <w:bookmarkStart w:id="760" w:name="_Toc9765"/>
      <w:bookmarkStart w:id="761" w:name="_Toc9732"/>
      <w:bookmarkStart w:id="762" w:name="_Toc14572"/>
      <w:r>
        <w:rPr>
          <w:rFonts w:hint="eastAsia"/>
        </w:rPr>
        <w:t>1.</w:t>
      </w:r>
      <w:bookmarkEnd w:id="756"/>
      <w:bookmarkEnd w:id="757"/>
      <w:bookmarkEnd w:id="758"/>
      <w:r>
        <w:rPr>
          <w:rFonts w:hint="eastAsia"/>
        </w:rPr>
        <w:t>采购</w:t>
      </w:r>
      <w:bookmarkEnd w:id="759"/>
      <w:bookmarkEnd w:id="760"/>
      <w:bookmarkEnd w:id="761"/>
      <w:bookmarkEnd w:id="762"/>
      <w:r>
        <w:rPr>
          <w:rFonts w:hint="eastAsia"/>
        </w:rPr>
        <w:t>计划备案（满分4.00分，评价得分4.00分）</w:t>
      </w:r>
    </w:p>
    <w:p>
      <w:pPr>
        <w:ind w:firstLine="640"/>
        <w:rPr>
          <w:rFonts w:hint="eastAsia" w:ascii="仿宋" w:hAnsi="仿宋" w:cs="仿宋"/>
          <w:szCs w:val="32"/>
        </w:rPr>
      </w:pPr>
      <w:bookmarkStart w:id="763" w:name="_Toc14298"/>
      <w:bookmarkStart w:id="764" w:name="_Toc29170"/>
      <w:bookmarkStart w:id="765" w:name="_Toc14534"/>
      <w:bookmarkStart w:id="766" w:name="_Toc17811"/>
      <w:bookmarkStart w:id="767" w:name="_Toc136351500"/>
      <w:bookmarkStart w:id="768" w:name="_Toc129683109"/>
      <w:bookmarkStart w:id="769" w:name="_Toc129682498"/>
      <w:r>
        <w:rPr>
          <w:rFonts w:hint="eastAsia" w:ascii="仿宋" w:hAnsi="仿宋" w:cs="仿宋"/>
          <w:szCs w:val="32"/>
        </w:rPr>
        <w:t>本项目严格按照</w:t>
      </w:r>
      <w:r>
        <w:rPr>
          <w:rFonts w:hint="eastAsia" w:ascii="仿宋" w:hAnsi="仿宋" w:cs="仿宋"/>
          <w:color w:val="212529"/>
          <w:szCs w:val="32"/>
          <w:shd w:val="clear" w:color="auto" w:fill="FFFFFF"/>
        </w:rPr>
        <w:t>《遂宁市财政局关于市级政府采购实施计划实行备案管理有关事项的通知》（遂财采〔2019〕22号）</w:t>
      </w:r>
      <w:r>
        <w:rPr>
          <w:rFonts w:hint="eastAsia" w:ascii="仿宋" w:hAnsi="仿宋" w:cs="仿宋"/>
          <w:szCs w:val="32"/>
        </w:rPr>
        <w:t>程序执行，2021年12月1日在四川政府采购网发布遂宁市应急管理局遂宁高新区分局遂宁高新区第一次全国自然灾害综合风险普查服务项目竞争性磋商采购公告。</w:t>
      </w:r>
      <w:bookmarkEnd w:id="763"/>
      <w:bookmarkEnd w:id="764"/>
      <w:bookmarkEnd w:id="765"/>
      <w:bookmarkEnd w:id="766"/>
      <w:r>
        <w:rPr>
          <w:rFonts w:hint="eastAsia"/>
        </w:rPr>
        <w:t>预算金额</w:t>
      </w:r>
      <w:r>
        <w:rPr>
          <w:rFonts w:hint="eastAsia" w:ascii="仿宋" w:hAnsi="仿宋" w:cs="仿宋"/>
          <w:color w:val="212529"/>
          <w:szCs w:val="32"/>
          <w:shd w:val="clear" w:color="auto" w:fill="FFFFFF"/>
        </w:rPr>
        <w:t>233.11万元，最高限价233.11万元，采购</w:t>
      </w:r>
      <w:r>
        <w:rPr>
          <w:rFonts w:hint="eastAsia" w:ascii="仿宋" w:hAnsi="仿宋" w:cs="仿宋"/>
          <w:szCs w:val="32"/>
        </w:rPr>
        <w:t>需求合理，项目编号：510901202100365清晰可查。采购项目计划、采购需求和标准、预算等相关资料完整。采购项目备案计划通过审批。本项得4.00分。</w:t>
      </w:r>
    </w:p>
    <w:bookmarkEnd w:id="767"/>
    <w:bookmarkEnd w:id="768"/>
    <w:bookmarkEnd w:id="769"/>
    <w:p>
      <w:pPr>
        <w:pStyle w:val="4"/>
        <w:ind w:firstLine="643"/>
        <w:rPr>
          <w:rFonts w:hint="eastAsia"/>
        </w:rPr>
      </w:pPr>
      <w:bookmarkStart w:id="770" w:name="_Toc31558"/>
      <w:bookmarkStart w:id="771" w:name="_Toc7974"/>
      <w:bookmarkStart w:id="772" w:name="_Toc28772"/>
      <w:bookmarkStart w:id="773" w:name="_Toc8423"/>
      <w:r>
        <w:rPr>
          <w:rFonts w:hint="eastAsia"/>
        </w:rPr>
        <w:t>2.</w:t>
      </w:r>
      <w:bookmarkEnd w:id="770"/>
      <w:bookmarkEnd w:id="771"/>
      <w:bookmarkEnd w:id="772"/>
      <w:bookmarkEnd w:id="773"/>
      <w:r>
        <w:rPr>
          <w:rFonts w:hint="eastAsia"/>
        </w:rPr>
        <w:t>单项实施计划执行</w:t>
      </w:r>
      <w:bookmarkStart w:id="774" w:name="_Toc14791"/>
      <w:bookmarkStart w:id="775" w:name="_Toc1990"/>
      <w:bookmarkStart w:id="776" w:name="_Toc22486"/>
      <w:r>
        <w:rPr>
          <w:rFonts w:hint="eastAsia"/>
        </w:rPr>
        <w:t>（满分4.00分，评价得分4.00分）</w:t>
      </w:r>
    </w:p>
    <w:p>
      <w:pPr>
        <w:ind w:firstLine="640"/>
        <w:rPr>
          <w:rFonts w:hint="eastAsia" w:ascii="仿宋" w:hAnsi="仿宋" w:cs="仿宋"/>
        </w:rPr>
      </w:pPr>
      <w:bookmarkStart w:id="777" w:name="_Toc20081"/>
      <w:r>
        <w:rPr>
          <w:rFonts w:hint="eastAsia" w:ascii="仿宋" w:hAnsi="仿宋" w:cs="仿宋"/>
        </w:rPr>
        <w:t>严格落实政府采购预算执行管理要求，采购单位按照年度采购计划加快政府采购预算执行进度。根据《中华人民共和国政府采购法》第二十六条规定，政府采购采用以下方式：（1）公开招标；（2）邀请招标；（3）竞争性谈判；（4）单一来源采购；（5）询价；（6）国务院政府采购监督管理部门认定的其他采购方式；公开招标应作为政府采购的主要采购方式。本项目采购方式为竞争性磋商，符合文件规定。采购方式与采购预算、采购需求相契合。采购项目在2021年11月23日进行备案，备案后在2021年12月实施项目采购，符合采购计划备案后在拟实施月份启动采购程序要求。</w:t>
      </w:r>
      <w:bookmarkEnd w:id="774"/>
      <w:bookmarkEnd w:id="775"/>
      <w:bookmarkEnd w:id="776"/>
      <w:bookmarkEnd w:id="777"/>
      <w:r>
        <w:rPr>
          <w:rFonts w:hint="eastAsia" w:ascii="仿宋" w:hAnsi="仿宋" w:cs="仿宋"/>
        </w:rPr>
        <w:t>本项得4.00分。</w:t>
      </w:r>
    </w:p>
    <w:p>
      <w:pPr>
        <w:pStyle w:val="4"/>
        <w:ind w:firstLine="643"/>
        <w:rPr>
          <w:rFonts w:hint="eastAsia"/>
        </w:rPr>
      </w:pPr>
      <w:bookmarkStart w:id="778" w:name="_Toc5930"/>
      <w:bookmarkStart w:id="779" w:name="_Toc13594"/>
      <w:bookmarkStart w:id="780" w:name="_Toc9739"/>
      <w:bookmarkStart w:id="781" w:name="_Toc30730"/>
      <w:r>
        <w:rPr>
          <w:rFonts w:hint="eastAsia"/>
        </w:rPr>
        <w:t>3.采购执行效率</w:t>
      </w:r>
      <w:bookmarkEnd w:id="778"/>
      <w:bookmarkEnd w:id="779"/>
      <w:bookmarkEnd w:id="780"/>
      <w:bookmarkEnd w:id="781"/>
      <w:r>
        <w:rPr>
          <w:rFonts w:hint="eastAsia"/>
        </w:rPr>
        <w:t>（满分14.00分，评价得分14.00分）</w:t>
      </w:r>
    </w:p>
    <w:p>
      <w:pPr>
        <w:ind w:firstLine="640"/>
        <w:rPr>
          <w:rFonts w:hint="eastAsia" w:ascii="仿宋" w:hAnsi="仿宋" w:cs="仿宋"/>
          <w:szCs w:val="32"/>
        </w:rPr>
      </w:pPr>
      <w:bookmarkStart w:id="782" w:name="_Toc26529"/>
      <w:r>
        <w:rPr>
          <w:rFonts w:hint="eastAsia" w:ascii="仿宋" w:hAnsi="仿宋" w:cs="仿宋"/>
          <w:szCs w:val="32"/>
        </w:rPr>
        <w:t>本项目采购活动一次性完成，采购成功率100%。</w:t>
      </w:r>
      <w:bookmarkEnd w:id="782"/>
      <w:r>
        <w:rPr>
          <w:rFonts w:hint="eastAsia" w:ascii="仿宋" w:hAnsi="仿宋" w:cs="仿宋"/>
          <w:szCs w:val="32"/>
        </w:rPr>
        <w:t>主要为服务采购项目，委托代理机构为四川洪博志信项目管理有限公司，招标流程公开且符合相关规定，2021年12月13日，四川洪博志信项目管理有限公司关于遂宁高新区第一次全国自然灾害综合风险普查服务项目发出成交确认函，遂宁高新区第一次全国自然灾害综合风险普查服务项目[项目编号：510901202100365]竞争性磋商采购的代理工作经竞争性磋商小组评审推荐，该项目成交单位为：上海数喆数据科技有限公司，成交金额：232.80万元。</w:t>
      </w:r>
    </w:p>
    <w:p>
      <w:pPr>
        <w:widowControl/>
        <w:ind w:firstLine="640"/>
        <w:rPr>
          <w:rFonts w:hint="eastAsia" w:ascii="仿宋" w:hAnsi="仿宋" w:cs="仿宋"/>
          <w:szCs w:val="32"/>
        </w:rPr>
      </w:pPr>
      <w:r>
        <w:rPr>
          <w:rFonts w:hint="eastAsia" w:ascii="仿宋" w:hAnsi="仿宋" w:cs="仿宋"/>
          <w:szCs w:val="32"/>
        </w:rPr>
        <w:t>2021年12月14在四川政府采购网发布中标公告，遂宁市应急管理局遂宁高新区分局遂宁高新区第一次全国自然灾害综合风险普查服务项目竞争性磋商结果公告，中标供应商为上海数喆数据科技有限公司，公告期限：自本公告发布之日起1个工作日。评审结束后按规定时间确定中标（成交）供应商，并按照规定时间发出中标（成交）公告和通知书，并于2022年1月4日与上海数喆数据科技有限公司签订遂宁高新区第一次全国自然灾害综合风险普查服务项目合同，并备案。本项得14.00分。</w:t>
      </w:r>
    </w:p>
    <w:p>
      <w:pPr>
        <w:pStyle w:val="3"/>
        <w:ind w:firstLine="643"/>
      </w:pPr>
      <w:bookmarkStart w:id="783" w:name="_Toc22823"/>
      <w:r>
        <w:rPr>
          <w:rFonts w:hint="eastAsia"/>
        </w:rPr>
        <w:t>（三）项目有效性指标分析</w:t>
      </w:r>
      <w:bookmarkEnd w:id="783"/>
    </w:p>
    <w:p>
      <w:pPr>
        <w:pStyle w:val="4"/>
        <w:ind w:firstLine="643"/>
        <w:rPr>
          <w:rFonts w:hint="eastAsia"/>
        </w:rPr>
      </w:pPr>
      <w:bookmarkStart w:id="784" w:name="_Toc10103"/>
      <w:bookmarkStart w:id="785" w:name="_Toc24998"/>
      <w:bookmarkStart w:id="786" w:name="_Toc3966"/>
      <w:bookmarkStart w:id="787" w:name="_Toc15498"/>
      <w:r>
        <w:rPr>
          <w:rFonts w:hint="eastAsia"/>
        </w:rPr>
        <w:t>1.项目验收组织情况</w:t>
      </w:r>
      <w:bookmarkEnd w:id="784"/>
      <w:bookmarkEnd w:id="785"/>
      <w:bookmarkEnd w:id="786"/>
      <w:bookmarkEnd w:id="787"/>
      <w:r>
        <w:rPr>
          <w:rFonts w:hint="eastAsia"/>
        </w:rPr>
        <w:t>（满分6.00分，评价得分3.00分）</w:t>
      </w:r>
    </w:p>
    <w:p>
      <w:pPr>
        <w:ind w:firstLine="640"/>
        <w:rPr>
          <w:rFonts w:hint="eastAsia" w:ascii="仿宋" w:hAnsi="仿宋" w:cs="仿宋"/>
          <w:szCs w:val="32"/>
        </w:rPr>
      </w:pPr>
      <w:r>
        <w:rPr>
          <w:rFonts w:hint="eastAsia" w:ascii="仿宋" w:hAnsi="仿宋" w:cs="仿宋"/>
          <w:szCs w:val="32"/>
        </w:rPr>
        <w:t>根据合同约定乙方提交预期成果或根据甲方异议进行合理处理后的10个工作日内，甲方未提出异议，亦未出具验收合格证明文件的，仍视为已验收合格，但乙方有权继续要求甲方补充提供该等验收合格证明文件。2022年2月20日提交了预期成果，</w:t>
      </w:r>
      <w:r>
        <w:rPr>
          <w:rFonts w:hint="eastAsia"/>
        </w:rPr>
        <w:t>截至评价节点未进行验收，主要原因是风险普查工作已完成，但还未开展成果验收工作，未对延迟验收情况做出相关情况说明</w:t>
      </w:r>
      <w:r>
        <w:rPr>
          <w:rFonts w:hint="eastAsia" w:ascii="仿宋" w:hAnsi="仿宋" w:cs="仿宋"/>
          <w:szCs w:val="32"/>
        </w:rPr>
        <w:t>。本项得3.00分。</w:t>
      </w:r>
    </w:p>
    <w:p>
      <w:pPr>
        <w:pStyle w:val="4"/>
        <w:ind w:firstLine="643"/>
        <w:rPr>
          <w:rFonts w:hint="eastAsia"/>
        </w:rPr>
      </w:pPr>
      <w:bookmarkStart w:id="788" w:name="_Toc25813"/>
      <w:bookmarkStart w:id="789" w:name="_Toc24029"/>
      <w:bookmarkStart w:id="790" w:name="_Toc21193"/>
      <w:bookmarkStart w:id="791" w:name="_Toc13776"/>
      <w:r>
        <w:rPr>
          <w:rFonts w:hint="eastAsia"/>
        </w:rPr>
        <w:t>2.项目验收</w:t>
      </w:r>
      <w:bookmarkEnd w:id="788"/>
      <w:bookmarkEnd w:id="789"/>
      <w:bookmarkEnd w:id="790"/>
      <w:bookmarkEnd w:id="791"/>
      <w:r>
        <w:rPr>
          <w:rFonts w:hint="eastAsia"/>
        </w:rPr>
        <w:t>情况（满分10.00分，评价得分4.00分）</w:t>
      </w:r>
    </w:p>
    <w:p>
      <w:pPr>
        <w:ind w:firstLine="640"/>
        <w:rPr>
          <w:rFonts w:hint="eastAsia" w:ascii="仿宋" w:hAnsi="仿宋" w:cs="仿宋"/>
          <w:szCs w:val="32"/>
        </w:rPr>
      </w:pPr>
      <w:r>
        <w:rPr>
          <w:rFonts w:hint="eastAsia" w:ascii="仿宋" w:hAnsi="仿宋" w:cs="仿宋"/>
          <w:szCs w:val="32"/>
        </w:rPr>
        <w:t>根据合同内容约定，乙方应按照四川省遂宁市统一部署在2022年1月30日前完成调查工作，并根据各子项目完成情况分别向甲方提交预期成果，甲方应于收到乙方预期成果后十个工作日内负责项目验收。乙方于2022年2月20日提交全国自然灾害综合风险普查预期成果，截至评价节点，甲方未就预期成果按合同约定验收，无法确认采购与验收人相</w:t>
      </w:r>
      <w:r>
        <w:rPr>
          <w:rFonts w:ascii="仿宋" w:hAnsi="仿宋" w:cs="仿宋"/>
          <w:szCs w:val="32"/>
        </w:rPr>
        <w:t>分离</w:t>
      </w:r>
      <w:r>
        <w:rPr>
          <w:rFonts w:hint="eastAsia" w:ascii="仿宋" w:hAnsi="仿宋" w:cs="仿宋"/>
          <w:szCs w:val="32"/>
        </w:rPr>
        <w:t>原则，乙方无法邀请应急分局参与并出具意见，无法向社会公开验收情况。也未按合同履约支付资金。本项得4.00分。</w:t>
      </w:r>
      <w:bookmarkStart w:id="792" w:name="_Toc30907"/>
      <w:bookmarkStart w:id="793" w:name="_Toc16704"/>
      <w:bookmarkStart w:id="794" w:name="_Toc1458"/>
      <w:bookmarkStart w:id="795" w:name="_Toc26062"/>
    </w:p>
    <w:p>
      <w:pPr>
        <w:pStyle w:val="4"/>
        <w:ind w:firstLine="643"/>
        <w:rPr>
          <w:rFonts w:hint="eastAsia"/>
        </w:rPr>
      </w:pPr>
      <w:r>
        <w:rPr>
          <w:rFonts w:hint="eastAsia"/>
        </w:rPr>
        <w:t>3.政策</w:t>
      </w:r>
      <w:bookmarkEnd w:id="792"/>
      <w:bookmarkEnd w:id="793"/>
      <w:bookmarkEnd w:id="794"/>
      <w:bookmarkEnd w:id="795"/>
      <w:r>
        <w:rPr>
          <w:rFonts w:hint="eastAsia"/>
        </w:rPr>
        <w:t>功能（满分8.00分，评价得分8.00分）</w:t>
      </w:r>
      <w:bookmarkStart w:id="796" w:name="_Toc2657"/>
      <w:bookmarkStart w:id="797" w:name="_Toc11873"/>
      <w:bookmarkStart w:id="798" w:name="_Toc19353"/>
      <w:bookmarkStart w:id="799" w:name="_Toc22492"/>
    </w:p>
    <w:p>
      <w:pPr>
        <w:ind w:firstLine="640"/>
        <w:rPr>
          <w:rFonts w:hint="eastAsia" w:ascii="仿宋" w:hAnsi="仿宋" w:cs="仿宋"/>
          <w:szCs w:val="32"/>
        </w:rPr>
      </w:pPr>
      <w:r>
        <w:rPr>
          <w:rFonts w:hint="eastAsia" w:ascii="仿宋" w:hAnsi="仿宋" w:cs="仿宋"/>
          <w:szCs w:val="32"/>
        </w:rPr>
        <w:t>根据《四川省财政厅关于推进四川省政府采购供应商信用融资工作的通知》（川财采（2018）123号），本项目可开展政府采购信用融资。本项目严格落实《中华人民共和国政府</w:t>
      </w:r>
      <w:r>
        <w:rPr>
          <w:rFonts w:ascii="仿宋" w:hAnsi="仿宋" w:cs="仿宋"/>
          <w:szCs w:val="32"/>
        </w:rPr>
        <w:t>采购法实施条例》</w:t>
      </w:r>
      <w:r>
        <w:rPr>
          <w:rFonts w:hint="eastAsia" w:ascii="仿宋" w:hAnsi="仿宋" w:cs="仿宋"/>
          <w:szCs w:val="32"/>
        </w:rPr>
        <w:t>第六条政府采购政策。为促进中小企业发展，全面推行采购意向公开，各类市场主体平等获取采购信息。本项目采购面向中小企业分散采购，采购方式竞争性磋商。本项得8.00分。</w:t>
      </w:r>
    </w:p>
    <w:p>
      <w:pPr>
        <w:pStyle w:val="4"/>
        <w:ind w:firstLine="643"/>
        <w:rPr>
          <w:rFonts w:hint="eastAsia"/>
        </w:rPr>
      </w:pPr>
      <w:r>
        <w:rPr>
          <w:rFonts w:hint="eastAsia"/>
        </w:rPr>
        <w:t>4.满意度调查情况</w:t>
      </w:r>
      <w:bookmarkEnd w:id="796"/>
      <w:bookmarkEnd w:id="797"/>
      <w:bookmarkEnd w:id="798"/>
      <w:bookmarkEnd w:id="799"/>
      <w:r>
        <w:rPr>
          <w:rFonts w:hint="eastAsia"/>
        </w:rPr>
        <w:t>（满分6.00分，评价得分5.00分）</w:t>
      </w:r>
    </w:p>
    <w:p>
      <w:pPr>
        <w:ind w:firstLine="640"/>
        <w:rPr>
          <w:rFonts w:hint="eastAsia" w:ascii="仿宋" w:hAnsi="仿宋" w:cs="仿宋"/>
          <w:szCs w:val="32"/>
        </w:rPr>
      </w:pPr>
      <w:r>
        <w:rPr>
          <w:rFonts w:hint="eastAsia" w:ascii="仿宋" w:hAnsi="仿宋" w:cs="仿宋"/>
          <w:szCs w:val="32"/>
        </w:rPr>
        <w:t>本次绩效评价针对满意度指标，设计了满意度指标调查问卷。调查问卷采用无记名的形式，共设计10个调查问题，问卷内容涵盖了普查内容、普查数据、风险评估、社会效益及意见反馈等方面。发放问卷30份，收回问卷30份，经过统计，共收集到受益对象及社会公众满意度调查问卷有效问卷共计30份，满意度为94.42%。本项得5.00分。</w:t>
      </w:r>
    </w:p>
    <w:p>
      <w:pPr>
        <w:pStyle w:val="3"/>
        <w:ind w:firstLine="643"/>
      </w:pPr>
      <w:bookmarkStart w:id="800" w:name="_Toc24963"/>
      <w:r>
        <w:rPr>
          <w:rFonts w:hint="eastAsia"/>
        </w:rPr>
        <w:t>（四）项目公平性指标分析</w:t>
      </w:r>
      <w:bookmarkEnd w:id="800"/>
    </w:p>
    <w:p>
      <w:pPr>
        <w:pStyle w:val="4"/>
        <w:ind w:firstLine="643"/>
        <w:rPr>
          <w:rFonts w:hint="eastAsia"/>
        </w:rPr>
      </w:pPr>
      <w:bookmarkStart w:id="801" w:name="_Toc3342"/>
      <w:bookmarkStart w:id="802" w:name="_Toc12095"/>
      <w:bookmarkStart w:id="803" w:name="_Toc4340"/>
      <w:bookmarkStart w:id="804" w:name="_Toc2222"/>
      <w:r>
        <w:rPr>
          <w:rFonts w:hint="eastAsia"/>
          <w:color w:val="000000" w:themeColor="text1"/>
          <w14:textFill>
            <w14:solidFill>
              <w14:schemeClr w14:val="tx1"/>
            </w14:solidFill>
          </w14:textFill>
        </w:rPr>
        <w:t>1.</w:t>
      </w:r>
      <w:r>
        <w:rPr>
          <w:rFonts w:hint="eastAsia"/>
        </w:rPr>
        <w:t>资格</w:t>
      </w:r>
      <w:r>
        <w:rPr>
          <w:rFonts w:hint="eastAsia"/>
          <w:color w:val="000000" w:themeColor="text1"/>
          <w14:textFill>
            <w14:solidFill>
              <w14:schemeClr w14:val="tx1"/>
            </w14:solidFill>
          </w14:textFill>
        </w:rPr>
        <w:t>条件</w:t>
      </w:r>
      <w:bookmarkEnd w:id="801"/>
      <w:bookmarkEnd w:id="802"/>
      <w:bookmarkEnd w:id="803"/>
      <w:bookmarkEnd w:id="804"/>
      <w:r>
        <w:rPr>
          <w:rFonts w:hint="eastAsia"/>
          <w:color w:val="000000" w:themeColor="text1"/>
          <w14:textFill>
            <w14:solidFill>
              <w14:schemeClr w14:val="tx1"/>
            </w14:solidFill>
          </w14:textFill>
        </w:rPr>
        <w:t>（满分4.00分，评价得分4.00分）</w:t>
      </w:r>
    </w:p>
    <w:p>
      <w:pPr>
        <w:ind w:firstLine="640"/>
        <w:rPr>
          <w:rFonts w:hint="eastAsia" w:ascii="仿宋" w:hAnsi="仿宋" w:cs="仿宋"/>
          <w:bCs/>
          <w:szCs w:val="32"/>
        </w:rPr>
      </w:pPr>
      <w:r>
        <w:rPr>
          <w:rStyle w:val="32"/>
          <w:rFonts w:hint="eastAsia"/>
          <w:b w:val="0"/>
        </w:rPr>
        <w:t>根据《中华人民共和国政府采购法》第二十二条规定：（1）</w:t>
      </w:r>
      <w:r>
        <w:rPr>
          <w:rFonts w:hint="eastAsia" w:ascii="仿宋" w:hAnsi="仿宋" w:cs="仿宋"/>
          <w:bCs/>
          <w:szCs w:val="32"/>
        </w:rPr>
        <w:t>具有独立承担民事责任的能力；</w:t>
      </w:r>
      <w:r>
        <w:rPr>
          <w:rStyle w:val="32"/>
          <w:rFonts w:hint="eastAsia"/>
          <w:b w:val="0"/>
        </w:rPr>
        <w:t>（2）</w:t>
      </w:r>
      <w:r>
        <w:rPr>
          <w:rFonts w:hint="eastAsia" w:ascii="仿宋" w:hAnsi="仿宋" w:cs="仿宋"/>
          <w:bCs/>
          <w:szCs w:val="32"/>
        </w:rPr>
        <w:t>具有良好的商业信誉和健全的财务会计制度；</w:t>
      </w:r>
      <w:r>
        <w:rPr>
          <w:rStyle w:val="32"/>
          <w:rFonts w:hint="eastAsia"/>
          <w:b w:val="0"/>
        </w:rPr>
        <w:t>（3）</w:t>
      </w:r>
      <w:r>
        <w:rPr>
          <w:rFonts w:hint="eastAsia" w:ascii="仿宋" w:hAnsi="仿宋" w:cs="仿宋"/>
          <w:bCs/>
          <w:szCs w:val="32"/>
        </w:rPr>
        <w:t>具有履行合同所必需的设备和专业技术能力；</w:t>
      </w:r>
      <w:r>
        <w:rPr>
          <w:rStyle w:val="32"/>
          <w:rFonts w:hint="eastAsia"/>
          <w:b w:val="0"/>
        </w:rPr>
        <w:t>（4）</w:t>
      </w:r>
      <w:r>
        <w:rPr>
          <w:rFonts w:hint="eastAsia" w:ascii="仿宋" w:hAnsi="仿宋" w:cs="仿宋"/>
          <w:bCs/>
          <w:szCs w:val="32"/>
        </w:rPr>
        <w:t>具有依法缴纳税收和社会保障资金的良好记录；</w:t>
      </w:r>
      <w:r>
        <w:rPr>
          <w:rStyle w:val="32"/>
          <w:rFonts w:hint="eastAsia"/>
          <w:b w:val="0"/>
        </w:rPr>
        <w:t>（5）</w:t>
      </w:r>
      <w:r>
        <w:rPr>
          <w:rFonts w:hint="eastAsia" w:ascii="仿宋" w:hAnsi="仿宋" w:cs="仿宋"/>
          <w:bCs/>
          <w:szCs w:val="32"/>
        </w:rPr>
        <w:t>参加本次政府采购活动前三年内，在经营活动中没有重大违法记录；（6）法律、行政法规规定的其他条件；本项目供应商满足采购文件资格条件要求，纳税信用A级纳税人，在政府采购严重违法失信行为信息记录中无任何相关记录，并对</w:t>
      </w:r>
      <w:r>
        <w:rPr>
          <w:rFonts w:ascii="仿宋" w:hAnsi="仿宋" w:cs="仿宋"/>
          <w:color w:val="000000"/>
          <w:szCs w:val="32"/>
          <w:shd w:val="clear" w:color="auto" w:fill="FFFFFF"/>
        </w:rPr>
        <w:t>信用信息查询记录留存</w:t>
      </w:r>
      <w:r>
        <w:rPr>
          <w:rFonts w:hint="eastAsia" w:ascii="仿宋" w:hAnsi="仿宋" w:cs="仿宋"/>
          <w:bCs/>
          <w:szCs w:val="32"/>
        </w:rPr>
        <w:t>。本项得4分。</w:t>
      </w:r>
    </w:p>
    <w:p>
      <w:pPr>
        <w:pStyle w:val="4"/>
        <w:ind w:firstLine="643"/>
        <w:rPr>
          <w:rFonts w:hint="eastAsia"/>
        </w:rPr>
      </w:pPr>
      <w:bookmarkStart w:id="805" w:name="_Toc24752"/>
      <w:bookmarkStart w:id="806" w:name="_Toc23086"/>
      <w:bookmarkStart w:id="807" w:name="_Toc14535"/>
      <w:bookmarkStart w:id="808" w:name="_Toc8748"/>
      <w:r>
        <w:rPr>
          <w:rFonts w:hint="eastAsia"/>
        </w:rPr>
        <w:t>2.评审办法</w:t>
      </w:r>
      <w:bookmarkEnd w:id="805"/>
      <w:bookmarkEnd w:id="806"/>
      <w:bookmarkEnd w:id="807"/>
      <w:bookmarkEnd w:id="808"/>
      <w:r>
        <w:rPr>
          <w:rFonts w:hint="eastAsia"/>
        </w:rPr>
        <w:t>（满分8.00分，评价得分8.00分）</w:t>
      </w:r>
    </w:p>
    <w:p>
      <w:pPr>
        <w:ind w:firstLine="640"/>
        <w:rPr>
          <w:rFonts w:hint="eastAsia" w:ascii="仿宋" w:hAnsi="仿宋" w:cs="仿宋"/>
          <w:bCs/>
          <w:szCs w:val="32"/>
        </w:rPr>
      </w:pPr>
      <w:r>
        <w:rPr>
          <w:rFonts w:hint="eastAsia" w:ascii="仿宋" w:hAnsi="仿宋" w:cs="仿宋"/>
          <w:szCs w:val="32"/>
        </w:rPr>
        <w:t>评审专家按照采购文件的要求，通过综合分析、比较分析等方法进行评审。在评审过程中，评审专家应当充分发表意见，表达自己的看法和建议。评审标准量化，价格分值设置符合规定，评审因素与质量和服务相关。根据《政府采购评审专家管理规定》，评审专家的意见能够被充分纳入最终评审决策中去。在本次采购中，评审专家秉承公正、公开、客观的原则，精心准备材料，形成独立的评审报告，严格遵守采购相关法规和规范，为采购决策提供了有利的依据。</w:t>
      </w:r>
      <w:r>
        <w:rPr>
          <w:rFonts w:hint="eastAsia" w:ascii="仿宋" w:hAnsi="仿宋" w:cs="仿宋"/>
          <w:bCs/>
          <w:szCs w:val="32"/>
        </w:rPr>
        <w:t>本项得8.00分。</w:t>
      </w:r>
    </w:p>
    <w:p>
      <w:pPr>
        <w:pStyle w:val="4"/>
        <w:ind w:firstLine="643"/>
        <w:rPr>
          <w:rFonts w:hint="eastAsia"/>
        </w:rPr>
      </w:pPr>
      <w:bookmarkStart w:id="809" w:name="_Toc5029"/>
      <w:bookmarkStart w:id="810" w:name="_Toc27691"/>
      <w:bookmarkStart w:id="811" w:name="_Toc15866"/>
      <w:bookmarkStart w:id="812" w:name="_Toc1366"/>
      <w:r>
        <w:rPr>
          <w:rFonts w:hint="eastAsia"/>
        </w:rPr>
        <w:t>3.采购文件</w:t>
      </w:r>
      <w:bookmarkEnd w:id="809"/>
      <w:bookmarkEnd w:id="810"/>
      <w:bookmarkEnd w:id="811"/>
      <w:bookmarkEnd w:id="812"/>
      <w:r>
        <w:rPr>
          <w:rFonts w:hint="eastAsia"/>
        </w:rPr>
        <w:t>（满分11.00分，评价得分11.00分）</w:t>
      </w:r>
    </w:p>
    <w:p>
      <w:pPr>
        <w:ind w:firstLine="640"/>
        <w:rPr>
          <w:rFonts w:hint="eastAsia" w:ascii="仿宋" w:hAnsi="仿宋" w:cs="仿宋"/>
          <w:szCs w:val="32"/>
        </w:rPr>
      </w:pPr>
      <w:r>
        <w:rPr>
          <w:rFonts w:hint="eastAsia" w:ascii="仿宋" w:hAnsi="仿宋" w:cs="仿宋"/>
          <w:color w:val="212529"/>
          <w:szCs w:val="32"/>
          <w:shd w:val="clear" w:color="auto" w:fill="FFFFFF"/>
        </w:rPr>
        <w:t>严格按照《遂宁市政府采购负面清单》（遂财采〔2021〕90号）编制采购文件，根据《政府采购需求管理办法》（财库〔2021〕22号）相关规定，通过咨询、论证、问卷调查等方式开展需求调查，按照“科学合理、厉行节约、规范高效、表述规范、含义准确、权责清晰”的原则，科学合理确定采购需求。采购计划</w:t>
      </w:r>
      <w:r>
        <w:rPr>
          <w:rFonts w:hint="eastAsia" w:ascii="仿宋" w:hAnsi="仿宋" w:cs="仿宋"/>
          <w:szCs w:val="32"/>
        </w:rPr>
        <w:t>采购文件根据采购需求内容合法合规编制，内容一致，格式统一，</w:t>
      </w:r>
      <w:r>
        <w:rPr>
          <w:rFonts w:hint="eastAsia" w:ascii="仿宋" w:hAnsi="仿宋" w:cs="仿宋"/>
          <w:color w:val="212529"/>
          <w:szCs w:val="32"/>
          <w:shd w:val="clear" w:color="auto" w:fill="FFFFFF"/>
        </w:rPr>
        <w:t>采购文件包含资格条件、技术要求、合同主要条款、采购预算金额。</w:t>
      </w:r>
      <w:r>
        <w:rPr>
          <w:rFonts w:hint="eastAsia" w:ascii="仿宋" w:hAnsi="仿宋" w:cs="仿宋"/>
          <w:szCs w:val="32"/>
        </w:rPr>
        <w:t>采购文件完整。</w:t>
      </w:r>
      <w:bookmarkStart w:id="813" w:name="_Toc27563"/>
      <w:r>
        <w:rPr>
          <w:rFonts w:hint="eastAsia" w:ascii="仿宋" w:hAnsi="仿宋" w:cs="仿宋"/>
          <w:szCs w:val="32"/>
        </w:rPr>
        <w:t>本项得11.00分。</w:t>
      </w:r>
    </w:p>
    <w:p>
      <w:pPr>
        <w:pStyle w:val="4"/>
        <w:ind w:firstLine="643"/>
        <w:rPr>
          <w:rFonts w:hint="eastAsia"/>
        </w:rPr>
      </w:pPr>
      <w:r>
        <w:rPr>
          <w:rFonts w:hint="eastAsia"/>
        </w:rPr>
        <w:t>4.信息</w:t>
      </w:r>
      <w:bookmarkEnd w:id="813"/>
      <w:bookmarkStart w:id="814" w:name="_Toc20000"/>
      <w:bookmarkStart w:id="815" w:name="_Toc11661"/>
      <w:bookmarkStart w:id="816" w:name="_Toc12787"/>
      <w:r>
        <w:rPr>
          <w:rFonts w:hint="eastAsia"/>
        </w:rPr>
        <w:t>公开情况（满分9.00分，评价得分9.00分）</w:t>
      </w:r>
    </w:p>
    <w:p>
      <w:pPr>
        <w:ind w:firstLine="640"/>
        <w:rPr>
          <w:rFonts w:hint="eastAsia" w:ascii="仿宋" w:hAnsi="仿宋" w:cs="仿宋"/>
          <w:szCs w:val="32"/>
        </w:rPr>
      </w:pPr>
      <w:r>
        <w:rPr>
          <w:rFonts w:hint="eastAsia" w:ascii="仿宋" w:hAnsi="仿宋" w:cs="仿宋"/>
          <w:szCs w:val="32"/>
        </w:rPr>
        <w:t>为深入贯彻落实党的十八届三中、四中全会精神，按照深化财税体制改革、实施公开透明预算制度的总体部署，根据《中华人民共和国政府采购法》《中华人民共和国政府采购法实施条例》《中华人民共和国政府信息公开条例》《党政机关厉行节约反对浪费条例》《关于做好政府采购信息公开工作的通知》等法律法规的规定，本项目依法做好政府采购信息公开工作，内容完整准确，信息发布符合规定，信息公开较为完整、及时，公开信息较为准确。</w:t>
      </w:r>
      <w:bookmarkEnd w:id="814"/>
      <w:bookmarkEnd w:id="815"/>
      <w:bookmarkEnd w:id="816"/>
      <w:r>
        <w:rPr>
          <w:rFonts w:hint="eastAsia" w:ascii="仿宋" w:hAnsi="仿宋" w:cs="仿宋"/>
          <w:szCs w:val="32"/>
        </w:rPr>
        <w:t>本项得9.00分。</w:t>
      </w:r>
    </w:p>
    <w:p>
      <w:pPr>
        <w:pStyle w:val="2"/>
        <w:ind w:firstLine="643"/>
        <w:rPr>
          <w:b/>
          <w:bCs w:val="0"/>
        </w:rPr>
      </w:pPr>
      <w:bookmarkStart w:id="817" w:name="_Toc4904"/>
      <w:r>
        <w:rPr>
          <w:rFonts w:hint="eastAsia"/>
          <w:b w:val="0"/>
          <w:bCs/>
        </w:rPr>
        <w:t>五、主要经验做法和存在问题</w:t>
      </w:r>
      <w:bookmarkEnd w:id="817"/>
    </w:p>
    <w:p>
      <w:pPr>
        <w:pStyle w:val="3"/>
        <w:ind w:firstLine="643"/>
      </w:pPr>
      <w:bookmarkStart w:id="818" w:name="_Toc18939"/>
      <w:r>
        <w:rPr>
          <w:rFonts w:hint="eastAsia"/>
        </w:rPr>
        <w:t>（一）主要经验做法</w:t>
      </w:r>
      <w:bookmarkEnd w:id="818"/>
    </w:p>
    <w:p>
      <w:pPr>
        <w:ind w:firstLine="640"/>
        <w:rPr>
          <w:rFonts w:hint="eastAsia" w:ascii="仿宋" w:hAnsi="仿宋" w:cs="仿宋"/>
          <w:color w:val="212529"/>
          <w:szCs w:val="32"/>
          <w:shd w:val="clear" w:color="auto" w:fill="FFFFFF"/>
        </w:rPr>
      </w:pPr>
      <w:r>
        <w:rPr>
          <w:rFonts w:hint="eastAsia" w:ascii="仿宋" w:hAnsi="仿宋" w:cs="仿宋"/>
          <w:color w:val="212529"/>
          <w:szCs w:val="32"/>
          <w:shd w:val="clear" w:color="auto" w:fill="FFFFFF"/>
        </w:rPr>
        <w:t>遂宁市应急管理局遂宁高新区分局在项目实施的过程中，为确保普查工作“快、准、细、严、实”。采取了以下措施布局实施本项目：1.宣传化，确保普查深入民心；2.培训精准化，确保普查准确规范；3.部署清单化，确保普查责任落实；4.调度网格化，确保普查全线推进；5.督导同步化，确保普查有序畅通。同时应急分局充分整合资源，做好准备协调工作，首先建立健全工作机制，提前充分配齐配强普查人员队伍。在下面实施过程中，建立与项目相关单位的沟通协调机制或制度，加强各方沟通协调及工作情况反馈。同时通过聘请的第三方提供有力的技术支撑，及时传达普查数据信息、分享普查工作方案。为遂宁市高新区主要自然灾害风险评估与制图，提供真实、有效、可靠的数据信息，为本次全国自然灾害综合风险普查服务项目的实施提供了全方位多层次的要保障。</w:t>
      </w:r>
    </w:p>
    <w:p>
      <w:pPr>
        <w:pStyle w:val="3"/>
        <w:ind w:firstLine="643"/>
      </w:pPr>
      <w:bookmarkStart w:id="819" w:name="_Toc32364"/>
      <w:r>
        <w:rPr>
          <w:rFonts w:hint="eastAsia"/>
        </w:rPr>
        <w:t>（二）存在的问题</w:t>
      </w:r>
      <w:bookmarkEnd w:id="819"/>
      <w:bookmarkStart w:id="820" w:name="_Toc29030"/>
      <w:bookmarkStart w:id="821" w:name="_Toc1604"/>
      <w:bookmarkStart w:id="822" w:name="_Toc25121"/>
      <w:bookmarkStart w:id="823" w:name="_Toc23474"/>
    </w:p>
    <w:p>
      <w:pPr>
        <w:pStyle w:val="4"/>
        <w:ind w:firstLine="643"/>
        <w:rPr>
          <w:rFonts w:hint="eastAsia"/>
        </w:rPr>
      </w:pPr>
      <w:r>
        <w:rPr>
          <w:rFonts w:hint="eastAsia"/>
        </w:rPr>
        <w:t>1.项目资金支付滞后</w:t>
      </w:r>
      <w:bookmarkEnd w:id="820"/>
      <w:bookmarkEnd w:id="821"/>
      <w:bookmarkEnd w:id="822"/>
      <w:bookmarkEnd w:id="823"/>
      <w:bookmarkStart w:id="824" w:name="_Toc12671"/>
      <w:bookmarkStart w:id="825" w:name="_Toc10536"/>
      <w:bookmarkStart w:id="826" w:name="_Toc129682510"/>
      <w:bookmarkStart w:id="827" w:name="_Toc5871"/>
      <w:bookmarkStart w:id="828" w:name="_Toc136351511"/>
      <w:bookmarkStart w:id="829" w:name="_Toc129683121"/>
    </w:p>
    <w:bookmarkEnd w:id="824"/>
    <w:bookmarkEnd w:id="825"/>
    <w:bookmarkEnd w:id="826"/>
    <w:bookmarkEnd w:id="827"/>
    <w:bookmarkEnd w:id="828"/>
    <w:bookmarkEnd w:id="829"/>
    <w:p>
      <w:pPr>
        <w:widowControl/>
        <w:ind w:firstLine="640"/>
        <w:rPr>
          <w:rFonts w:hint="eastAsia" w:ascii="仿宋" w:hAnsi="仿宋" w:cs="仿宋"/>
          <w:szCs w:val="32"/>
        </w:rPr>
      </w:pPr>
      <w:bookmarkStart w:id="830" w:name="_Toc29081"/>
      <w:bookmarkStart w:id="831" w:name="_Toc28656"/>
      <w:bookmarkStart w:id="832" w:name="_Toc3592"/>
      <w:r>
        <w:rPr>
          <w:rFonts w:hint="eastAsia" w:ascii="仿宋" w:hAnsi="仿宋" w:cs="仿宋"/>
          <w:szCs w:val="32"/>
        </w:rPr>
        <w:t>遂宁市应急管理局遂宁高新区分局于2022年1月4日与上海数喆数据科技有限公司签订合同，合同中约定第一次付款时间为合同签订后10个工作日内预付合同金额的50%，即116.40万元。单位应在2022年1月17日前支付第一笔预付款116.40万元。通过查阅相关支付凭证，单位实际付款时间为2022年3月21日支付金额116.11万元，未严格按照合同约定付款，存在延期支付情况。</w:t>
      </w:r>
      <w:bookmarkEnd w:id="830"/>
      <w:bookmarkEnd w:id="831"/>
      <w:bookmarkEnd w:id="832"/>
      <w:r>
        <w:rPr>
          <w:rFonts w:hint="eastAsia" w:ascii="仿宋" w:hAnsi="仿宋" w:cs="仿宋"/>
          <w:szCs w:val="32"/>
        </w:rPr>
        <w:t>自然灾害风险普查项目已于2022年完成，合同约定；完成合同内所有服务工作，经省级验收合格后10个工作日内支付至合同金额的45%，即104.76万元，截至评价节点风险普查工作已完成，2023年度高新区批复本项目预算资金117.00万元，但是截至2023年12月31日，由于未验收的缘故，此资金依然未支付。</w:t>
      </w:r>
    </w:p>
    <w:p>
      <w:pPr>
        <w:pStyle w:val="4"/>
        <w:ind w:firstLine="643"/>
        <w:rPr>
          <w:rFonts w:hint="eastAsia"/>
        </w:rPr>
      </w:pPr>
      <w:bookmarkStart w:id="833" w:name="_Toc15818"/>
      <w:bookmarkStart w:id="834" w:name="_Toc14842"/>
      <w:bookmarkStart w:id="835" w:name="_Toc13951"/>
      <w:bookmarkStart w:id="836" w:name="_Toc18721"/>
      <w:r>
        <w:rPr>
          <w:rFonts w:hint="eastAsia"/>
        </w:rPr>
        <w:t>2.</w:t>
      </w:r>
      <w:bookmarkEnd w:id="833"/>
      <w:bookmarkEnd w:id="834"/>
      <w:bookmarkEnd w:id="835"/>
      <w:bookmarkEnd w:id="836"/>
      <w:r>
        <w:rPr>
          <w:rFonts w:hint="eastAsia"/>
        </w:rPr>
        <w:t>项目至今未开展验收工作</w:t>
      </w:r>
    </w:p>
    <w:p>
      <w:pPr>
        <w:ind w:firstLine="640"/>
        <w:rPr>
          <w:rFonts w:hint="eastAsia" w:ascii="仿宋" w:hAnsi="仿宋" w:cs="仿宋"/>
          <w:szCs w:val="32"/>
        </w:rPr>
      </w:pPr>
      <w:bookmarkStart w:id="837" w:name="_Toc3402"/>
      <w:bookmarkStart w:id="838" w:name="_Toc15644"/>
      <w:bookmarkStart w:id="839" w:name="_Toc6242"/>
      <w:bookmarkStart w:id="840" w:name="_Toc20885"/>
      <w:r>
        <w:rPr>
          <w:rFonts w:hint="eastAsia" w:ascii="仿宋" w:hAnsi="仿宋" w:cs="仿宋"/>
          <w:szCs w:val="32"/>
        </w:rPr>
        <w:t>根据合同约定，乙方应按照四川省遂宁市统一部署在2022年1月30日前完成调查工作，（若全省普查进度有调整的，需根据省级调整进行同步调整）并根据各子项目完成情况分别向甲方提交预期成果，甲方应于收到乙方预期成果后十个工作日内负责项目验收。在验收过程中，甲方如认为乙方工作有不合于项目工作内容规定之要求时，应于成果提交甲方之日起10个工作日内以书面或电子邮件形式向乙方提出异议。异议提出后乙方应根据技术要求做出合理处理。如在规定期限内未提出异议，视为乙方的工作成果符合工作内容的要求。截至评价节点，风险普查工作已完成，但还未开展成果验收</w:t>
      </w:r>
      <w:bookmarkEnd w:id="837"/>
      <w:bookmarkEnd w:id="838"/>
      <w:bookmarkEnd w:id="839"/>
      <w:bookmarkEnd w:id="840"/>
      <w:r>
        <w:rPr>
          <w:rFonts w:hint="eastAsia" w:ascii="仿宋" w:hAnsi="仿宋" w:cs="仿宋"/>
          <w:szCs w:val="32"/>
        </w:rPr>
        <w:t>。</w:t>
      </w:r>
    </w:p>
    <w:p>
      <w:pPr>
        <w:pStyle w:val="2"/>
        <w:ind w:firstLine="643"/>
        <w:rPr>
          <w:b w:val="0"/>
          <w:bCs/>
        </w:rPr>
      </w:pPr>
      <w:bookmarkStart w:id="841" w:name="_Toc25029"/>
      <w:r>
        <w:rPr>
          <w:rFonts w:hint="eastAsia"/>
          <w:b w:val="0"/>
          <w:bCs/>
        </w:rPr>
        <w:t>六、有关建议</w:t>
      </w:r>
      <w:bookmarkEnd w:id="841"/>
    </w:p>
    <w:p>
      <w:pPr>
        <w:ind w:firstLine="640"/>
        <w:rPr>
          <w:rFonts w:hint="eastAsia" w:ascii="仿宋" w:hAnsi="仿宋" w:cs="仿宋"/>
          <w:szCs w:val="32"/>
          <w:shd w:val="clear" w:color="auto" w:fill="FFFFFF"/>
        </w:rPr>
      </w:pPr>
      <w:bookmarkStart w:id="842" w:name="_Toc129683130"/>
      <w:bookmarkStart w:id="843" w:name="_Toc136351519"/>
      <w:bookmarkStart w:id="844" w:name="_Toc129682519"/>
      <w:r>
        <w:rPr>
          <w:rFonts w:hint="eastAsia" w:ascii="仿宋" w:hAnsi="仿宋" w:cs="仿宋"/>
          <w:szCs w:val="32"/>
          <w:shd w:val="clear" w:color="auto" w:fill="FFFFFF"/>
        </w:rPr>
        <w:t>按照合同约定，保证实际付款进度与合同约定进度一致，避免延期支付情况出现。</w:t>
      </w:r>
      <w:bookmarkEnd w:id="842"/>
      <w:bookmarkEnd w:id="843"/>
      <w:bookmarkEnd w:id="844"/>
      <w:r>
        <w:rPr>
          <w:rFonts w:hint="eastAsia" w:ascii="仿宋" w:hAnsi="仿宋" w:cs="仿宋"/>
          <w:szCs w:val="32"/>
          <w:shd w:val="clear" w:color="auto" w:fill="FFFFFF"/>
        </w:rPr>
        <w:t>按合同履约验收，邀请服务对象参与并出具意见，验收结果向社会公告。如有不可抗力原因导致延期验收，出具延期验收情况说明。对于合同中约定的条款，做到及时履行、监督、核查。</w:t>
      </w:r>
    </w:p>
    <w:p>
      <w:pPr>
        <w:pStyle w:val="2"/>
        <w:ind w:firstLine="643"/>
        <w:rPr>
          <w:b/>
          <w:bCs w:val="0"/>
        </w:rPr>
      </w:pPr>
      <w:bookmarkStart w:id="845" w:name="_Toc21352"/>
      <w:r>
        <w:rPr>
          <w:rFonts w:hint="eastAsia"/>
          <w:b w:val="0"/>
          <w:bCs/>
        </w:rPr>
        <w:t>七、其他需要说明的问题</w:t>
      </w:r>
      <w:bookmarkEnd w:id="845"/>
    </w:p>
    <w:p>
      <w:pPr>
        <w:ind w:firstLine="640"/>
        <w:rPr>
          <w:rFonts w:hint="eastAsia"/>
        </w:rPr>
      </w:pPr>
      <w:bookmarkStart w:id="846" w:name="_Toc115268489"/>
      <w:r>
        <w:rPr>
          <w:rFonts w:hint="eastAsia"/>
        </w:rPr>
        <w:t>本次绩效评价工作基于项目单位的资料及沟通情况开展，项目资料的完整性和真实性由项目单位负责。评价组在综合了解相关政策文件、项目实施内容及预算编制工作等的基础上，结合项目单位提供的资料逐项评价，绩效评价报告的适用范围仅限于本项目，评价结果仅作为遂宁市财政金融局对</w:t>
      </w:r>
      <w:r>
        <w:rPr>
          <w:rFonts w:hint="eastAsia" w:ascii="仿宋" w:hAnsi="仿宋" w:cs="仿宋"/>
        </w:rPr>
        <w:t>2023年</w:t>
      </w:r>
      <w:r>
        <w:rPr>
          <w:rFonts w:hint="eastAsia"/>
        </w:rPr>
        <w:t>应急分局自然灾害风险普查政府采购项目资金绩效评价及结果应用方面使用，未经许可其他单位和个人不得用作其他用途。</w:t>
      </w:r>
    </w:p>
    <w:p>
      <w:pPr>
        <w:pStyle w:val="2"/>
        <w:ind w:firstLine="643"/>
        <w:rPr>
          <w:b w:val="0"/>
          <w:bCs/>
        </w:rPr>
      </w:pPr>
      <w:bookmarkStart w:id="847" w:name="_Toc4712"/>
      <w:r>
        <w:rPr>
          <w:rFonts w:hint="eastAsia"/>
          <w:b w:val="0"/>
          <w:bCs/>
          <w:lang w:val="en-US" w:eastAsia="zh-CN"/>
        </w:rPr>
        <w:t>八</w:t>
      </w:r>
      <w:r>
        <w:rPr>
          <w:rFonts w:hint="eastAsia"/>
          <w:b w:val="0"/>
          <w:bCs/>
        </w:rPr>
        <w:t>、</w:t>
      </w:r>
      <w:bookmarkEnd w:id="846"/>
      <w:r>
        <w:rPr>
          <w:rFonts w:hint="eastAsia"/>
          <w:b w:val="0"/>
          <w:bCs/>
          <w:lang w:val="en-US" w:eastAsia="zh-CN"/>
        </w:rPr>
        <w:t>相关</w:t>
      </w:r>
      <w:r>
        <w:rPr>
          <w:rFonts w:hint="eastAsia"/>
          <w:b w:val="0"/>
          <w:bCs/>
        </w:rPr>
        <w:t>附件</w:t>
      </w:r>
      <w:bookmarkEnd w:id="847"/>
    </w:p>
    <w:p>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ascii="仿宋" w:hAnsi="仿宋" w:cs="仿宋"/>
          <w:szCs w:val="32"/>
        </w:rPr>
      </w:pPr>
      <w:r>
        <w:rPr>
          <w:rFonts w:hint="eastAsia" w:ascii="仿宋" w:hAnsi="仿宋" w:cs="仿宋"/>
          <w:szCs w:val="32"/>
          <w:lang w:val="en-US" w:eastAsia="zh-CN"/>
        </w:rPr>
        <w:t>附件：</w:t>
      </w:r>
      <w:r>
        <w:rPr>
          <w:rFonts w:hint="eastAsia" w:ascii="仿宋" w:hAnsi="仿宋" w:cs="仿宋"/>
          <w:szCs w:val="32"/>
        </w:rPr>
        <w:t>2023年遂宁市应急管理局遂宁高新区分局自然灾害风险普查政府采购项目资金绩效评</w:t>
      </w:r>
      <w:r>
        <w:rPr>
          <w:rFonts w:hint="eastAsia" w:ascii="仿宋" w:hAnsi="仿宋" w:cs="仿宋"/>
          <w:szCs w:val="32"/>
          <w:lang w:val="en-US" w:eastAsia="zh-CN"/>
        </w:rPr>
        <w:t>分</w:t>
      </w:r>
      <w:r>
        <w:rPr>
          <w:rFonts w:hint="eastAsia" w:ascii="仿宋" w:hAnsi="仿宋" w:cs="仿宋"/>
          <w:szCs w:val="32"/>
        </w:rPr>
        <w:t>表</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pStyle w:val="33"/>
        <w:keepNext w:val="0"/>
        <w:keepLines w:val="0"/>
        <w:pageBreakBefore w:val="0"/>
        <w:widowControl w:val="0"/>
        <w:kinsoku/>
        <w:wordWrap/>
        <w:overflowPunct/>
        <w:topLinePunct w:val="0"/>
        <w:autoSpaceDE/>
        <w:autoSpaceDN/>
        <w:bidi w:val="0"/>
        <w:adjustRightInd/>
        <w:snapToGrid/>
        <w:spacing w:line="600" w:lineRule="exact"/>
        <w:ind w:left="0" w:leftChars="0" w:firstLine="643" w:firstLineChars="200"/>
        <w:textAlignment w:val="auto"/>
        <w:rPr>
          <w:rFonts w:hint="eastAsia" w:ascii="仿宋" w:hAnsi="仿宋" w:eastAsia="仿宋" w:cs="仿宋"/>
          <w:b/>
          <w:bCs/>
          <w:color w:val="auto"/>
          <w:kern w:val="2"/>
          <w:sz w:val="32"/>
          <w:szCs w:val="32"/>
          <w:lang w:val="en-US"/>
        </w:rPr>
        <w:sectPr>
          <w:pgSz w:w="11906" w:h="16838"/>
          <w:pgMar w:top="1440" w:right="1803" w:bottom="1440" w:left="1803" w:header="851" w:footer="992" w:gutter="0"/>
          <w:pgNumType w:fmt="decimal"/>
          <w:cols w:space="425" w:num="1"/>
          <w:docGrid w:linePitch="312" w:charSpace="0"/>
        </w:sectPr>
      </w:pPr>
      <w:bookmarkStart w:id="848" w:name="_Toc20615"/>
      <w:bookmarkStart w:id="849" w:name="_Toc30740"/>
      <w:bookmarkStart w:id="850" w:name="_Toc14138"/>
    </w:p>
    <w:p>
      <w:pPr>
        <w:spacing w:line="560" w:lineRule="exact"/>
        <w:jc w:val="center"/>
        <w:rPr>
          <w:rFonts w:hint="eastAsia" w:asciiTheme="majorEastAsia" w:hAnsiTheme="majorEastAsia" w:eastAsiaTheme="majorEastAsia" w:cstheme="majorEastAsia"/>
          <w:b/>
          <w:bCs/>
          <w:sz w:val="44"/>
          <w:szCs w:val="44"/>
        </w:rPr>
      </w:pPr>
      <w:bookmarkStart w:id="851" w:name="_Toc10652"/>
      <w:bookmarkStart w:id="852" w:name="_Toc1510"/>
      <w:r>
        <w:rPr>
          <w:rFonts w:hint="eastAsia" w:asciiTheme="minorEastAsia" w:hAnsiTheme="minorEastAsia" w:eastAsiaTheme="minorEastAsia" w:cstheme="minorEastAsia"/>
          <w:b/>
          <w:bCs/>
          <w:sz w:val="44"/>
          <w:szCs w:val="44"/>
        </w:rPr>
        <w:t>遂宁市自然资源和规划局高新技术产业园区分局</w:t>
      </w:r>
      <w:bookmarkEnd w:id="848"/>
      <w:bookmarkEnd w:id="849"/>
      <w:bookmarkEnd w:id="850"/>
      <w:bookmarkEnd w:id="851"/>
      <w:bookmarkStart w:id="853" w:name="_Toc2446"/>
      <w:bookmarkStart w:id="854" w:name="_Toc5822"/>
      <w:r>
        <w:rPr>
          <w:rFonts w:hint="eastAsia" w:asciiTheme="minorEastAsia" w:hAnsiTheme="minorEastAsia" w:eastAsiaTheme="minorEastAsia" w:cstheme="minorEastAsia"/>
          <w:b/>
          <w:bCs/>
          <w:sz w:val="44"/>
          <w:szCs w:val="44"/>
        </w:rPr>
        <w:t>遂宁高新区（遂宁西）高速路口出入口黄龙路</w:t>
      </w:r>
      <w:bookmarkStart w:id="855" w:name="_Toc1450"/>
      <w:bookmarkStart w:id="856" w:name="_Toc27357"/>
      <w:r>
        <w:rPr>
          <w:rFonts w:hint="eastAsia" w:asciiTheme="minorEastAsia" w:hAnsiTheme="minorEastAsia" w:eastAsiaTheme="minorEastAsia" w:cstheme="minorEastAsia"/>
          <w:b/>
          <w:bCs/>
          <w:sz w:val="44"/>
          <w:szCs w:val="44"/>
        </w:rPr>
        <w:t>景观</w:t>
      </w:r>
      <w:bookmarkEnd w:id="855"/>
      <w:bookmarkEnd w:id="856"/>
      <w:bookmarkStart w:id="857" w:name="_Toc30413"/>
      <w:r>
        <w:rPr>
          <w:rFonts w:hint="eastAsia" w:asciiTheme="majorEastAsia" w:hAnsiTheme="majorEastAsia" w:eastAsiaTheme="majorEastAsia" w:cstheme="majorEastAsia"/>
          <w:b/>
          <w:bCs/>
          <w:sz w:val="44"/>
          <w:szCs w:val="44"/>
        </w:rPr>
        <w:t>及站房设计项目</w:t>
      </w:r>
      <w:bookmarkEnd w:id="857"/>
      <w:bookmarkStart w:id="858" w:name="_Toc14313"/>
      <w:bookmarkStart w:id="859" w:name="_Toc16457"/>
      <w:bookmarkStart w:id="860" w:name="_Toc20571"/>
      <w:bookmarkStart w:id="861" w:name="_Toc27678"/>
    </w:p>
    <w:p>
      <w:pPr>
        <w:spacing w:line="560" w:lineRule="exact"/>
        <w:jc w:val="center"/>
        <w:rPr>
          <w:rFonts w:hint="eastAsia" w:asciiTheme="majorEastAsia" w:hAnsiTheme="majorEastAsia" w:eastAsiaTheme="majorEastAsia" w:cstheme="majorEastAsia"/>
          <w:b/>
          <w:bCs/>
          <w:sz w:val="44"/>
          <w:szCs w:val="44"/>
        </w:rPr>
      </w:pPr>
      <w:r>
        <w:rPr>
          <w:rFonts w:hint="eastAsia" w:asciiTheme="majorEastAsia" w:hAnsiTheme="majorEastAsia" w:eastAsiaTheme="majorEastAsia" w:cstheme="majorEastAsia"/>
          <w:b/>
          <w:bCs/>
          <w:sz w:val="44"/>
          <w:szCs w:val="44"/>
        </w:rPr>
        <w:t>绩效评价报告</w:t>
      </w:r>
      <w:bookmarkEnd w:id="852"/>
      <w:bookmarkEnd w:id="858"/>
      <w:bookmarkEnd w:id="859"/>
      <w:bookmarkEnd w:id="860"/>
      <w:bookmarkEnd w:id="861"/>
    </w:p>
    <w:bookmarkEnd w:id="853"/>
    <w:bookmarkEnd w:id="854"/>
    <w:p>
      <w:pPr>
        <w:pStyle w:val="14"/>
        <w:widowControl/>
        <w:shd w:val="clear" w:color="auto" w:fill="FFFFFF"/>
        <w:spacing w:beforeAutospacing="0" w:after="0" w:afterAutospacing="0" w:line="560" w:lineRule="exact"/>
        <w:ind w:firstLine="640" w:firstLineChars="200"/>
        <w:jc w:val="both"/>
        <w:rPr>
          <w:rFonts w:hint="eastAsia" w:ascii="仿宋" w:hAnsi="仿宋" w:eastAsia="仿宋" w:cs="仿宋"/>
          <w:color w:val="000000"/>
          <w:sz w:val="32"/>
          <w:szCs w:val="32"/>
          <w:shd w:val="clear" w:color="auto" w:fill="FFFFFF"/>
        </w:rPr>
      </w:pPr>
      <w:bookmarkStart w:id="862" w:name="_Toc26742"/>
      <w:bookmarkStart w:id="863" w:name="_Toc13378"/>
      <w:bookmarkStart w:id="864" w:name="_Toc2210"/>
      <w:bookmarkStart w:id="865" w:name="_Toc15216"/>
      <w:bookmarkStart w:id="866" w:name="_Toc27157"/>
      <w:bookmarkStart w:id="867" w:name="_Toc2421"/>
      <w:bookmarkStart w:id="868" w:name="_Toc27887"/>
      <w:bookmarkStart w:id="869" w:name="_Toc24672"/>
      <w:bookmarkStart w:id="870" w:name="_Toc1673"/>
      <w:bookmarkStart w:id="871" w:name="_Toc23211"/>
      <w:bookmarkStart w:id="872" w:name="_Toc21137"/>
      <w:bookmarkStart w:id="873" w:name="_Hlk103591154"/>
      <w:r>
        <w:rPr>
          <w:rFonts w:hint="eastAsia" w:ascii="仿宋" w:hAnsi="仿宋" w:eastAsia="仿宋" w:cs="仿宋"/>
          <w:sz w:val="32"/>
          <w:szCs w:val="32"/>
        </w:rPr>
        <w:t>为贯彻落实</w:t>
      </w:r>
      <w:r>
        <w:rPr>
          <w:rFonts w:hint="eastAsia" w:ascii="仿宋" w:hAnsi="仿宋" w:eastAsia="仿宋" w:cs="仿宋"/>
          <w:color w:val="000000"/>
          <w:sz w:val="32"/>
          <w:szCs w:val="32"/>
          <w:shd w:val="clear" w:color="auto" w:fill="FFFFFF"/>
        </w:rPr>
        <w:t>《中华人民共和国预算法》《中共中央国务院关于全面实施预算绩效管理的意见》（中发〔2018〕34号）、《中共四川省委四川省人民政府关于全面实施预算绩效管理的实施意见》（川委发〔2019〕8号）和《中共四川省委办公厅四川省人民政府办公厅关于深入实施预算绩效管理的通知》（川委厅〔</w:t>
      </w:r>
      <w:r>
        <w:rPr>
          <w:rFonts w:hint="eastAsia" w:ascii="仿宋" w:hAnsi="仿宋" w:eastAsia="仿宋" w:cs="仿宋"/>
          <w:color w:val="000000"/>
          <w:sz w:val="32"/>
          <w:szCs w:val="32"/>
          <w:shd w:val="clear" w:color="auto" w:fill="FFFFFF"/>
          <w:lang w:val="en-US" w:eastAsia="zh-CN"/>
        </w:rPr>
        <w:t>74</w:t>
      </w:r>
      <w:r>
        <w:rPr>
          <w:rFonts w:hint="eastAsia" w:ascii="仿宋" w:hAnsi="仿宋" w:eastAsia="仿宋" w:cs="仿宋"/>
          <w:color w:val="000000"/>
          <w:sz w:val="32"/>
          <w:szCs w:val="32"/>
          <w:shd w:val="clear" w:color="auto" w:fill="FFFFFF"/>
        </w:rPr>
        <w:t>〕5号）文件精神，推进实施预算绩效管理工作，提高财政资金配置效率和使用效益。根据《财政部关于印发&lt;项目支出绩效评价管理办法</w:t>
      </w:r>
      <w:r>
        <w:rPr>
          <w:rFonts w:hint="eastAsia" w:ascii="仿宋" w:hAnsi="仿宋" w:eastAsia="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的通知》（财预</w:t>
      </w:r>
      <w:r>
        <w:rPr>
          <w:rFonts w:hint="eastAsia" w:ascii="仿宋" w:hAnsi="仿宋" w:eastAsia="仿宋" w:cs="仿宋"/>
          <w:sz w:val="32"/>
          <w:szCs w:val="32"/>
        </w:rPr>
        <w:t>〔2020〕</w:t>
      </w:r>
      <w:r>
        <w:rPr>
          <w:rFonts w:hint="eastAsia" w:ascii="仿宋" w:hAnsi="仿宋" w:eastAsia="仿宋" w:cs="仿宋"/>
          <w:color w:val="000000"/>
          <w:sz w:val="32"/>
          <w:szCs w:val="32"/>
          <w:shd w:val="clear" w:color="auto" w:fill="FFFFFF"/>
        </w:rPr>
        <w:t>10号）、《四川省财政厅关于印发</w:t>
      </w:r>
      <w:r>
        <w:rPr>
          <w:rFonts w:hint="eastAsia" w:ascii="仿宋" w:hAnsi="仿宋" w:eastAsia="仿宋" w:cs="仿宋"/>
          <w:color w:val="000000"/>
          <w:sz w:val="32"/>
          <w:szCs w:val="32"/>
          <w:shd w:val="clear" w:color="auto" w:fill="FFFFFF"/>
          <w:lang w:eastAsia="zh-CN"/>
        </w:rPr>
        <w:t>〈</w:t>
      </w:r>
      <w:r>
        <w:rPr>
          <w:rFonts w:hint="eastAsia" w:ascii="仿宋" w:hAnsi="仿宋" w:eastAsia="仿宋" w:cs="仿宋"/>
          <w:color w:val="000000"/>
          <w:sz w:val="32"/>
          <w:szCs w:val="32"/>
          <w:shd w:val="clear" w:color="auto" w:fill="FFFFFF"/>
        </w:rPr>
        <w:t>四川省省级项目支出绩效管理办法&gt;的通知》（川财绩〔2019〕14号）和《遂宁高新区财政金融局关于开展2024年部门、政策和项目支出重点绩效评价工作的通知》（遂高管财发〔2024〕9号）等文件要求，由遂宁高新区财政金融局组织和领导，成都金财企服企业管理有限公司接受委托并组建绩效评价组，对遂宁市自然资源和规划局高新技术产业园区分局</w:t>
      </w:r>
      <w:r>
        <w:rPr>
          <w:rFonts w:hint="eastAsia" w:ascii="仿宋" w:hAnsi="仿宋" w:eastAsia="仿宋" w:cs="仿宋"/>
          <w:color w:val="000000"/>
          <w:sz w:val="32"/>
          <w:szCs w:val="32"/>
          <w:shd w:val="clear" w:color="auto" w:fill="FFFFFF"/>
          <w:lang w:eastAsia="zh-CN"/>
        </w:rPr>
        <w:t>（</w:t>
      </w:r>
      <w:r>
        <w:rPr>
          <w:rFonts w:hint="eastAsia" w:ascii="仿宋" w:hAnsi="仿宋" w:eastAsia="仿宋" w:cs="仿宋"/>
          <w:color w:val="auto"/>
          <w:sz w:val="32"/>
          <w:szCs w:val="32"/>
          <w:highlight w:val="none"/>
          <w:lang w:eastAsia="zh-CN"/>
        </w:rPr>
        <w:t>以下简称“遂宁市自规局高新区分局”）</w:t>
      </w:r>
      <w:r>
        <w:rPr>
          <w:rFonts w:hint="eastAsia" w:ascii="仿宋" w:hAnsi="仿宋" w:eastAsia="仿宋" w:cs="仿宋"/>
          <w:color w:val="000000"/>
          <w:sz w:val="32"/>
          <w:szCs w:val="32"/>
          <w:shd w:val="clear" w:color="auto" w:fill="FFFFFF"/>
        </w:rPr>
        <w:t>组织实施的遂宁高新区（遂宁西）高速路口出入口黄龙路景观及站房设计项目进行绩效评价。经过资料评审、现场查看和综合分析评价，形成本次绩效评价报告，现将有关情况报告如下。</w:t>
      </w:r>
    </w:p>
    <w:p>
      <w:pPr>
        <w:pStyle w:val="2"/>
        <w:spacing w:before="0" w:after="0" w:line="560" w:lineRule="exact"/>
        <w:ind w:firstLine="640" w:firstLineChars="200"/>
        <w:rPr>
          <w:rFonts w:hint="eastAsia" w:ascii="黑体" w:hAnsi="黑体"/>
          <w:b w:val="0"/>
          <w:bCs w:val="0"/>
          <w:szCs w:val="32"/>
        </w:rPr>
      </w:pPr>
      <w:bookmarkStart w:id="874" w:name="_Toc1822"/>
      <w:bookmarkStart w:id="875" w:name="_Toc24152"/>
      <w:bookmarkStart w:id="876" w:name="_Toc264"/>
      <w:bookmarkStart w:id="877" w:name="_Toc9656"/>
      <w:bookmarkStart w:id="878" w:name="_Toc8874"/>
      <w:bookmarkStart w:id="879" w:name="_Toc11703"/>
      <w:r>
        <w:rPr>
          <w:rFonts w:hint="eastAsia" w:ascii="黑体" w:hAnsi="黑体"/>
          <w:b w:val="0"/>
          <w:bCs w:val="0"/>
          <w:szCs w:val="32"/>
        </w:rPr>
        <w:t>一、基本情况</w:t>
      </w:r>
      <w:bookmarkEnd w:id="862"/>
      <w:bookmarkEnd w:id="863"/>
      <w:bookmarkEnd w:id="864"/>
      <w:bookmarkEnd w:id="865"/>
      <w:bookmarkEnd w:id="866"/>
      <w:bookmarkEnd w:id="867"/>
      <w:bookmarkEnd w:id="868"/>
      <w:bookmarkEnd w:id="869"/>
      <w:bookmarkEnd w:id="870"/>
      <w:bookmarkEnd w:id="874"/>
      <w:bookmarkEnd w:id="875"/>
      <w:bookmarkEnd w:id="876"/>
      <w:bookmarkEnd w:id="877"/>
      <w:bookmarkEnd w:id="878"/>
      <w:bookmarkEnd w:id="879"/>
    </w:p>
    <w:p>
      <w:pPr>
        <w:pStyle w:val="3"/>
        <w:spacing w:before="0"/>
        <w:ind w:firstLine="643"/>
        <w:rPr>
          <w:rFonts w:hint="eastAsia" w:ascii="仿宋_GB2312" w:hAnsi="仿宋_GB2312" w:cs="仿宋_GB2312"/>
        </w:rPr>
      </w:pPr>
      <w:bookmarkStart w:id="880" w:name="_Toc18267"/>
      <w:bookmarkStart w:id="881" w:name="_Toc2115"/>
      <w:bookmarkStart w:id="882" w:name="_Toc7899"/>
      <w:bookmarkStart w:id="883" w:name="_Toc8794"/>
      <w:bookmarkStart w:id="884" w:name="_Toc22355"/>
      <w:bookmarkStart w:id="885" w:name="_Toc16580"/>
      <w:bookmarkStart w:id="886" w:name="_Toc8948"/>
      <w:bookmarkStart w:id="887" w:name="_Toc28955"/>
      <w:bookmarkStart w:id="888" w:name="_Toc20850"/>
      <w:bookmarkStart w:id="889" w:name="_Toc25961"/>
      <w:bookmarkStart w:id="890" w:name="_Toc14084"/>
      <w:bookmarkStart w:id="891" w:name="_Toc27502"/>
      <w:r>
        <w:rPr>
          <w:rFonts w:hint="eastAsia" w:ascii="仿宋_GB2312" w:hAnsi="仿宋_GB2312" w:cs="仿宋_GB2312"/>
        </w:rPr>
        <w:t>（一）项目概况</w:t>
      </w:r>
      <w:bookmarkEnd w:id="871"/>
      <w:bookmarkEnd w:id="872"/>
      <w:bookmarkEnd w:id="880"/>
      <w:bookmarkEnd w:id="881"/>
      <w:bookmarkEnd w:id="882"/>
      <w:bookmarkEnd w:id="883"/>
      <w:bookmarkEnd w:id="884"/>
      <w:bookmarkEnd w:id="885"/>
      <w:bookmarkEnd w:id="886"/>
      <w:bookmarkEnd w:id="887"/>
      <w:bookmarkEnd w:id="888"/>
      <w:bookmarkEnd w:id="889"/>
      <w:bookmarkEnd w:id="890"/>
      <w:bookmarkEnd w:id="891"/>
    </w:p>
    <w:p>
      <w:pPr>
        <w:pStyle w:val="4"/>
        <w:spacing w:before="0" w:beforeLines="0"/>
        <w:ind w:firstLine="643"/>
        <w:rPr>
          <w:rFonts w:hint="eastAsia" w:ascii="楷体" w:hAnsi="楷体" w:cs="楷体"/>
        </w:rPr>
      </w:pPr>
      <w:r>
        <w:rPr>
          <w:rFonts w:hint="eastAsia" w:ascii="楷体" w:hAnsi="楷体" w:cs="楷体"/>
        </w:rPr>
        <w:t>1.项目背景</w:t>
      </w:r>
    </w:p>
    <w:bookmarkEnd w:id="873"/>
    <w:p>
      <w:pPr>
        <w:pStyle w:val="14"/>
        <w:overflowPunct w:val="0"/>
        <w:autoSpaceDE w:val="0"/>
        <w:autoSpaceDN w:val="0"/>
        <w:adjustRightInd w:val="0"/>
        <w:snapToGrid w:val="0"/>
        <w:spacing w:beforeAutospacing="0" w:after="0" w:afterAutospacing="0" w:line="560" w:lineRule="exact"/>
        <w:ind w:firstLine="640" w:firstLineChars="200"/>
        <w:jc w:val="both"/>
        <w:rPr>
          <w:rFonts w:hint="eastAsia" w:ascii="仿宋" w:hAnsi="仿宋" w:eastAsia="仿宋" w:cs="黑体"/>
          <w:kern w:val="2"/>
          <w:sz w:val="32"/>
          <w:szCs w:val="32"/>
          <w:shd w:val="clear" w:color="auto" w:fill="FFFFFF"/>
        </w:rPr>
      </w:pPr>
      <w:r>
        <w:rPr>
          <w:rFonts w:hint="eastAsia" w:ascii="仿宋" w:hAnsi="仿宋" w:eastAsia="仿宋" w:cs="黑体"/>
          <w:kern w:val="2"/>
          <w:sz w:val="32"/>
          <w:szCs w:val="32"/>
          <w:shd w:val="clear" w:color="auto" w:fill="FFFFFF"/>
        </w:rPr>
        <w:t>遂宁高新区黄龙路，位于遂宁城区西部入口处，肩负着展示遂宁城市形象及高新区风貌的重要使命。基于遂宁建设高品质城市道路的发展目标，考虑到黄龙路道路长度较短、主要交通流量为车辆通行的特点，设计范围涵盖了黄龙路至中环线两侧的绿化区域，总长度约为650米。北侧绿化区域包括山体治理和弃土场环境整治，而南侧则涉及中烟外河道的治理工作，总面积约300亩。作为城市门户空间上的关键风貌展示廊道，依据遂宁市委市政府提出的“筑三城、兴三都、升腾成渝之星”的战略规划，通过整合优势资源，旨在打造一条具有优质形象体验的城市风光带。此举将显著提升城市品质，优化城市发展空间，强化土地利用效率，为提升遂宁城市能级贡献高新力量。</w:t>
      </w:r>
    </w:p>
    <w:p>
      <w:pPr>
        <w:pStyle w:val="4"/>
        <w:spacing w:before="0" w:beforeLines="0"/>
        <w:ind w:firstLine="643"/>
        <w:rPr>
          <w:rFonts w:hint="eastAsia" w:ascii="楷体" w:hAnsi="楷体" w:cs="楷体"/>
        </w:rPr>
      </w:pPr>
      <w:r>
        <w:rPr>
          <w:rFonts w:hint="eastAsia" w:ascii="楷体" w:hAnsi="楷体" w:cs="楷体"/>
          <w:kern w:val="0"/>
        </w:rPr>
        <w:t>2.</w:t>
      </w:r>
      <w:r>
        <w:rPr>
          <w:rFonts w:hint="eastAsia" w:ascii="楷体" w:hAnsi="楷体" w:cs="楷体"/>
        </w:rPr>
        <w:t>主要内容及实施情况</w:t>
      </w:r>
    </w:p>
    <w:p>
      <w:pPr>
        <w:pStyle w:val="5"/>
        <w:ind w:firstLine="643"/>
        <w:rPr>
          <w:rFonts w:hint="eastAsia" w:ascii="仿宋" w:hAnsi="仿宋" w:eastAsia="仿宋" w:cs="仿宋"/>
          <w:szCs w:val="32"/>
        </w:rPr>
      </w:pPr>
      <w:r>
        <w:rPr>
          <w:rFonts w:hint="eastAsia" w:ascii="仿宋" w:hAnsi="仿宋" w:eastAsia="仿宋" w:cs="仿宋"/>
          <w:szCs w:val="32"/>
        </w:rPr>
        <w:t>（1）项目主要内容</w:t>
      </w:r>
    </w:p>
    <w:p>
      <w:pPr>
        <w:pStyle w:val="14"/>
        <w:overflowPunct w:val="0"/>
        <w:autoSpaceDE w:val="0"/>
        <w:autoSpaceDN w:val="0"/>
        <w:adjustRightInd w:val="0"/>
        <w:snapToGrid w:val="0"/>
        <w:spacing w:beforeAutospacing="0" w:after="0" w:afterAutospacing="0" w:line="560" w:lineRule="exact"/>
        <w:ind w:firstLine="640" w:firstLineChars="200"/>
        <w:jc w:val="both"/>
        <w:rPr>
          <w:rFonts w:hint="eastAsia" w:ascii="仿宋" w:hAnsi="仿宋" w:eastAsia="仿宋"/>
          <w:sz w:val="32"/>
          <w:szCs w:val="32"/>
        </w:rPr>
      </w:pPr>
      <w:r>
        <w:rPr>
          <w:rFonts w:hint="eastAsia" w:ascii="仿宋" w:hAnsi="仿宋" w:eastAsia="仿宋" w:cs="黑体"/>
          <w:kern w:val="2"/>
          <w:sz w:val="32"/>
          <w:szCs w:val="32"/>
          <w:shd w:val="clear" w:color="auto" w:fill="FFFFFF"/>
        </w:rPr>
        <w:t>遂宁高新区（遂宁西）高速公路出入口黄龙路景观及站房设计方案。</w:t>
      </w:r>
      <w:r>
        <w:rPr>
          <w:rFonts w:hint="eastAsia" w:ascii="仿宋" w:hAnsi="仿宋" w:eastAsia="仿宋"/>
          <w:sz w:val="32"/>
          <w:szCs w:val="32"/>
        </w:rPr>
        <w:t>项目设计范围主要包括遂资眉高速出入口，黄龙路、中环线和健坤片区，规划设计面积约72.5公顷（约1088.5亩）。</w:t>
      </w:r>
    </w:p>
    <w:p>
      <w:pPr>
        <w:tabs>
          <w:tab w:val="left" w:pos="625"/>
        </w:tabs>
        <w:spacing w:line="560" w:lineRule="exact"/>
        <w:ind w:firstLine="640" w:firstLineChars="200"/>
        <w:rPr>
          <w:rFonts w:hint="eastAsia" w:ascii="仿宋" w:hAnsi="仿宋" w:eastAsia="仿宋" w:cs="仿宋"/>
          <w:b/>
          <w:bCs/>
          <w:sz w:val="32"/>
          <w:szCs w:val="32"/>
        </w:rPr>
      </w:pPr>
      <w:r>
        <w:rPr>
          <w:rFonts w:hint="eastAsia"/>
        </w:rPr>
        <w:tab/>
      </w:r>
      <w:r>
        <w:rPr>
          <w:rFonts w:hint="eastAsia" w:ascii="仿宋" w:hAnsi="仿宋" w:eastAsia="仿宋" w:cs="仿宋"/>
          <w:b/>
          <w:bCs/>
          <w:sz w:val="32"/>
          <w:szCs w:val="32"/>
        </w:rPr>
        <w:t>（2）项目实施情况</w:t>
      </w:r>
    </w:p>
    <w:p>
      <w:pPr>
        <w:overflowPunct w:val="0"/>
        <w:autoSpaceDE w:val="0"/>
        <w:autoSpaceDN w:val="0"/>
        <w:adjustRightInd w:val="0"/>
        <w:snapToGrid w:val="0"/>
        <w:spacing w:line="560" w:lineRule="exact"/>
        <w:ind w:firstLine="640" w:firstLineChars="200"/>
        <w:rPr>
          <w:rFonts w:hint="eastAsia" w:ascii="仿宋" w:hAnsi="仿宋" w:eastAsia="仿宋" w:cs="仿宋"/>
          <w:bCs/>
          <w:sz w:val="32"/>
          <w:szCs w:val="32"/>
        </w:rPr>
      </w:pPr>
      <w:r>
        <w:rPr>
          <w:rFonts w:hint="eastAsia" w:ascii="仿宋" w:hAnsi="仿宋" w:eastAsia="仿宋" w:cs="仿宋"/>
          <w:bCs/>
          <w:sz w:val="32"/>
          <w:szCs w:val="32"/>
          <w:lang w:bidi="ar"/>
        </w:rPr>
        <w:t>本项目由遂宁市自规局高新区分局牵头组织实施，指导设计单位形成成果并审查后报</w:t>
      </w:r>
      <w:r>
        <w:rPr>
          <w:rFonts w:hint="eastAsia" w:ascii="仿宋" w:hAnsi="仿宋" w:eastAsia="仿宋" w:cs="仿宋"/>
          <w:sz w:val="32"/>
          <w:szCs w:val="32"/>
        </w:rPr>
        <w:t>遂宁市自规局高新区分局</w:t>
      </w:r>
      <w:r>
        <w:rPr>
          <w:rFonts w:hint="eastAsia" w:ascii="仿宋" w:hAnsi="仿宋" w:eastAsia="仿宋" w:cs="仿宋"/>
          <w:bCs/>
          <w:sz w:val="32"/>
          <w:szCs w:val="32"/>
          <w:lang w:bidi="ar"/>
        </w:rPr>
        <w:t>研究，后按程序报高新区管委会分管领导、主要领导审定，最终形成成果报遂宁市专委会、遂宁市规委会审查</w:t>
      </w:r>
      <w:r>
        <w:rPr>
          <w:rFonts w:hint="eastAsia"/>
        </w:rPr>
        <w:t>。</w:t>
      </w:r>
      <w:r>
        <w:rPr>
          <w:rFonts w:hint="eastAsia" w:ascii="仿宋" w:hAnsi="仿宋" w:eastAsia="仿宋" w:cs="仿宋"/>
          <w:bCs/>
          <w:sz w:val="32"/>
          <w:szCs w:val="32"/>
          <w:lang w:bidi="ar"/>
        </w:rPr>
        <w:t>项目为技术服务类，在实施过程中，严格按照招投标、政府采购、公示公告等相关法律法规制度执行。</w:t>
      </w:r>
    </w:p>
    <w:p>
      <w:pPr>
        <w:overflowPunct w:val="0"/>
        <w:autoSpaceDE w:val="0"/>
        <w:autoSpaceDN w:val="0"/>
        <w:adjustRightInd w:val="0"/>
        <w:snapToGrid w:val="0"/>
        <w:spacing w:line="560" w:lineRule="exact"/>
        <w:ind w:firstLine="640" w:firstLineChars="200"/>
        <w:rPr>
          <w:rFonts w:hint="eastAsia" w:ascii="仿宋" w:hAnsi="仿宋" w:eastAsia="仿宋" w:cs="仿宋"/>
          <w:bCs/>
          <w:sz w:val="32"/>
          <w:szCs w:val="32"/>
          <w:lang w:bidi="ar"/>
        </w:rPr>
      </w:pPr>
      <w:r>
        <w:rPr>
          <w:rFonts w:hint="eastAsia" w:ascii="仿宋" w:hAnsi="仿宋" w:eastAsia="仿宋" w:cs="仿宋"/>
          <w:bCs/>
          <w:sz w:val="32"/>
          <w:szCs w:val="32"/>
          <w:lang w:bidi="ar"/>
        </w:rPr>
        <w:t>通过前期询价和组织相关部门召开定价会议的方式，确定了设计任务的预算。预算金额121.00万元处于合理范围之内。《遂宁高新区（遂宁西）高速公路出入口黄龙路景观及站房设计方案》的竞争性磋商采购公告已于2021年11月29日在四川政府采购网发布（采购编号：510901202100359），邀请供应商参与采购活动。磋商文件由三家单位获取，委托代理机构负责主持招标工作。经过磋商小组与供应商的磋商和评审，依据政府采购的相关规定和竞争性磋商文件的要求，最终确定华诚博远工程技术集团有限公司为该项目的成交单位，成交金额为118.00万元。</w:t>
      </w:r>
    </w:p>
    <w:p>
      <w:pPr>
        <w:overflowPunct w:val="0"/>
        <w:autoSpaceDE w:val="0"/>
        <w:autoSpaceDN w:val="0"/>
        <w:adjustRightInd w:val="0"/>
        <w:snapToGrid w:val="0"/>
        <w:spacing w:line="560" w:lineRule="exact"/>
        <w:ind w:firstLine="640" w:firstLineChars="200"/>
        <w:rPr>
          <w:rFonts w:hint="eastAsia" w:ascii="仿宋" w:hAnsi="仿宋" w:eastAsia="仿宋" w:cs="仿宋"/>
          <w:bCs/>
          <w:sz w:val="32"/>
          <w:szCs w:val="32"/>
          <w:lang w:bidi="ar"/>
        </w:rPr>
      </w:pPr>
      <w:r>
        <w:rPr>
          <w:rFonts w:hint="eastAsia" w:ascii="仿宋" w:hAnsi="仿宋" w:eastAsia="仿宋" w:cs="仿宋"/>
          <w:sz w:val="32"/>
          <w:szCs w:val="32"/>
          <w:lang w:val="zh-CN"/>
        </w:rPr>
        <w:t>按照《遂宁市人民政府关于研究遂宁市主城区高速公路出</w:t>
      </w:r>
      <w:r>
        <w:rPr>
          <w:rFonts w:hint="eastAsia" w:ascii="仿宋" w:hAnsi="仿宋" w:eastAsia="仿宋" w:cs="仿宋"/>
          <w:bCs/>
          <w:sz w:val="32"/>
          <w:szCs w:val="32"/>
          <w:lang w:val="zh-CN" w:bidi="ar"/>
        </w:rPr>
        <w:t>入口城市形象提升有关工作的纪要》要求及管委会工作安排，高新区自然资源和规划局作为规划行业主管部门，经报高新区党政办公会同意，于</w:t>
      </w:r>
      <w:r>
        <w:rPr>
          <w:rFonts w:hint="eastAsia" w:ascii="仿宋" w:hAnsi="仿宋" w:eastAsia="仿宋" w:cs="仿宋"/>
          <w:bCs/>
          <w:sz w:val="32"/>
          <w:szCs w:val="32"/>
          <w:lang w:val="en-US" w:eastAsia="zh-CN" w:bidi="ar"/>
        </w:rPr>
        <w:t>2022年启动项目编制招标工作</w:t>
      </w:r>
      <w:r>
        <w:rPr>
          <w:rFonts w:hint="eastAsia" w:ascii="仿宋" w:hAnsi="仿宋" w:eastAsia="仿宋" w:cs="仿宋"/>
          <w:bCs/>
          <w:sz w:val="32"/>
          <w:szCs w:val="32"/>
          <w:lang w:bidi="ar"/>
        </w:rPr>
        <w:t>。项目预算费用为121.00万元，后经招标确定最终合同金额为118.00万元。项目实施全过程均由管委会审查把关，由遂宁市自规局高新区分局牵头实施，确保技术服务单位高质高效编制形成成果。</w:t>
      </w:r>
    </w:p>
    <w:p>
      <w:pPr>
        <w:pStyle w:val="4"/>
        <w:spacing w:before="0" w:beforeLines="0"/>
        <w:ind w:firstLine="643"/>
        <w:rPr>
          <w:rFonts w:hint="eastAsia" w:ascii="仿宋" w:hAnsi="仿宋" w:eastAsia="仿宋" w:cs="仿宋"/>
        </w:rPr>
      </w:pPr>
      <w:r>
        <w:rPr>
          <w:rFonts w:hint="eastAsia" w:ascii="仿宋" w:hAnsi="仿宋" w:eastAsia="仿宋" w:cs="仿宋"/>
        </w:rPr>
        <w:t>3.</w:t>
      </w:r>
      <w:r>
        <w:rPr>
          <w:rFonts w:hint="eastAsia"/>
        </w:rPr>
        <w:t>资金投入</w:t>
      </w:r>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lang w:val="zh-CN"/>
        </w:rPr>
        <w:t>按照综合预算的原则，遂宁高新区应急分局所有收入和支出均纳入部门预算管理。2023年度遂宁自规局高新区分局遂宁高新区（遂宁西）高速路口出入口黄龙路景观及站房设计项目预算为</w:t>
      </w:r>
      <w:r>
        <w:rPr>
          <w:rFonts w:hint="eastAsia" w:ascii="仿宋" w:hAnsi="仿宋" w:eastAsia="仿宋" w:cs="仿宋"/>
          <w:sz w:val="32"/>
          <w:szCs w:val="32"/>
        </w:rPr>
        <w:t>118.00</w:t>
      </w:r>
      <w:r>
        <w:rPr>
          <w:rFonts w:hint="eastAsia" w:ascii="仿宋" w:hAnsi="仿宋" w:eastAsia="仿宋" w:cs="仿宋"/>
          <w:sz w:val="32"/>
          <w:szCs w:val="32"/>
          <w:lang w:val="zh-CN"/>
        </w:rPr>
        <w:t>万元。</w:t>
      </w:r>
    </w:p>
    <w:p>
      <w:pPr>
        <w:adjustRightInd w:val="0"/>
        <w:snapToGrid w:val="0"/>
        <w:spacing w:line="560" w:lineRule="exact"/>
        <w:ind w:firstLine="640" w:firstLineChars="200"/>
        <w:rPr>
          <w:lang w:val="zh-CN"/>
        </w:rPr>
      </w:pPr>
      <w:r>
        <w:rPr>
          <w:rFonts w:hint="eastAsia" w:ascii="仿宋" w:hAnsi="仿宋" w:eastAsia="仿宋" w:cs="仿宋"/>
          <w:sz w:val="32"/>
          <w:szCs w:val="32"/>
          <w:lang w:val="zh-CN"/>
        </w:rPr>
        <w:t>遂宁高新区财政金融局下达遂宁高新区（遂宁西）高速路口出入口黄龙路景观及站房设计资金</w:t>
      </w:r>
      <w:r>
        <w:rPr>
          <w:rFonts w:hint="eastAsia" w:ascii="仿宋" w:hAnsi="仿宋" w:eastAsia="仿宋" w:cs="仿宋"/>
          <w:sz w:val="32"/>
          <w:szCs w:val="32"/>
        </w:rPr>
        <w:t>59.00</w:t>
      </w:r>
      <w:r>
        <w:rPr>
          <w:rFonts w:hint="eastAsia" w:ascii="仿宋" w:hAnsi="仿宋" w:eastAsia="仿宋" w:cs="仿宋"/>
          <w:sz w:val="32"/>
          <w:szCs w:val="32"/>
          <w:lang w:val="zh-CN"/>
        </w:rPr>
        <w:t>万元，资金到位率</w:t>
      </w:r>
      <w:r>
        <w:rPr>
          <w:rFonts w:hint="eastAsia" w:ascii="仿宋" w:hAnsi="仿宋" w:eastAsia="仿宋" w:cs="仿宋"/>
          <w:sz w:val="32"/>
          <w:szCs w:val="32"/>
        </w:rPr>
        <w:t>50.00</w:t>
      </w:r>
      <w:r>
        <w:rPr>
          <w:rFonts w:hint="eastAsia" w:ascii="仿宋" w:hAnsi="仿宋" w:eastAsia="仿宋" w:cs="仿宋"/>
          <w:sz w:val="32"/>
          <w:szCs w:val="32"/>
          <w:lang w:val="zh-CN"/>
        </w:rPr>
        <w:t>%，</w:t>
      </w:r>
      <w:r>
        <w:rPr>
          <w:rFonts w:hint="eastAsia" w:ascii="仿宋" w:hAnsi="仿宋" w:eastAsia="仿宋" w:cs="仿宋"/>
          <w:bCs/>
          <w:sz w:val="32"/>
          <w:szCs w:val="32"/>
        </w:rPr>
        <w:t>因项目尚未完成最终审定和备案，暂未支付合同金额的剩余50%，即59.00万元</w:t>
      </w:r>
      <w:r>
        <w:rPr>
          <w:rFonts w:hint="eastAsia" w:ascii="仿宋" w:hAnsi="仿宋" w:eastAsia="仿宋" w:cs="仿宋"/>
          <w:sz w:val="32"/>
          <w:szCs w:val="32"/>
          <w:lang w:val="zh-CN"/>
        </w:rPr>
        <w:t>。</w:t>
      </w:r>
    </w:p>
    <w:p>
      <w:pPr>
        <w:pStyle w:val="4"/>
        <w:spacing w:before="0" w:beforeLines="0"/>
        <w:ind w:firstLine="643"/>
        <w:rPr>
          <w:rFonts w:hint="eastAsia" w:ascii="楷体" w:hAnsi="楷体" w:cs="楷体"/>
        </w:rPr>
      </w:pPr>
      <w:r>
        <w:rPr>
          <w:rFonts w:hint="eastAsia" w:ascii="楷体" w:hAnsi="楷体" w:cs="楷体"/>
        </w:rPr>
        <w:t>4.资金使用情况</w:t>
      </w:r>
    </w:p>
    <w:p>
      <w:pPr>
        <w:pStyle w:val="14"/>
        <w:widowControl/>
        <w:overflowPunct w:val="0"/>
        <w:autoSpaceDE w:val="0"/>
        <w:autoSpaceDN w:val="0"/>
        <w:spacing w:beforeAutospacing="0" w:after="0" w:afterAutospacing="0" w:line="560" w:lineRule="exact"/>
        <w:ind w:firstLine="640" w:firstLineChars="200"/>
        <w:jc w:val="both"/>
        <w:rPr>
          <w:rFonts w:hint="eastAsia" w:ascii="仿宋" w:hAnsi="仿宋" w:eastAsia="仿宋"/>
          <w:sz w:val="32"/>
          <w:szCs w:val="32"/>
        </w:rPr>
      </w:pPr>
      <w:r>
        <w:rPr>
          <w:rFonts w:hint="eastAsia" w:ascii="仿宋" w:hAnsi="仿宋" w:eastAsia="仿宋" w:cs="仿宋"/>
          <w:kern w:val="2"/>
          <w:sz w:val="32"/>
          <w:szCs w:val="32"/>
        </w:rPr>
        <w:t>2023年度遂宁自规局高新区分局预算资金为59.00万元，</w:t>
      </w:r>
      <w:r>
        <w:rPr>
          <w:rFonts w:hint="eastAsia" w:ascii="仿宋" w:hAnsi="仿宋" w:eastAsia="仿宋" w:cs="仿宋"/>
          <w:kern w:val="2"/>
          <w:sz w:val="32"/>
          <w:szCs w:val="32"/>
          <w:lang w:val="zh-CN"/>
        </w:rPr>
        <w:t>用于</w:t>
      </w:r>
      <w:r>
        <w:rPr>
          <w:rFonts w:hint="eastAsia" w:ascii="仿宋" w:hAnsi="仿宋" w:eastAsia="仿宋" w:cs="仿宋"/>
          <w:kern w:val="2"/>
          <w:sz w:val="32"/>
          <w:szCs w:val="32"/>
        </w:rPr>
        <w:t>遂宁高新区（遂宁西）高速路口出入口黄龙路景观及站房设计服务费用2023年2月17日支付华诚博远工程技术集团有限公司29.00万元，四川观晟建筑设计有限公司房支付30.00万元，2023年度共计使用设计服务费59.00万元，资金使用率为100.00%。</w:t>
      </w:r>
      <w:bookmarkStart w:id="892" w:name="_Toc1999"/>
      <w:bookmarkStart w:id="893" w:name="_Toc10357"/>
      <w:r>
        <w:rPr>
          <w:rFonts w:ascii="仿宋" w:hAnsi="仿宋" w:eastAsia="仿宋" w:cs="仿宋"/>
          <w:kern w:val="2"/>
          <w:sz w:val="32"/>
          <w:szCs w:val="32"/>
        </w:rPr>
        <w:t>资金使用严格按照预算执行，无违规使用现象。</w:t>
      </w:r>
    </w:p>
    <w:bookmarkEnd w:id="892"/>
    <w:bookmarkEnd w:id="893"/>
    <w:p>
      <w:pPr>
        <w:pStyle w:val="3"/>
        <w:widowControl/>
        <w:spacing w:before="0"/>
        <w:ind w:firstLine="643"/>
      </w:pPr>
      <w:bookmarkStart w:id="894" w:name="_Toc13774"/>
      <w:bookmarkStart w:id="895" w:name="_Toc29547"/>
      <w:bookmarkStart w:id="896" w:name="_Toc230"/>
      <w:bookmarkStart w:id="897" w:name="_Toc16423"/>
      <w:bookmarkStart w:id="898" w:name="_Toc4350"/>
      <w:bookmarkStart w:id="899" w:name="_Toc6069"/>
      <w:bookmarkStart w:id="900" w:name="_Toc26686"/>
      <w:bookmarkStart w:id="901" w:name="_Toc9488"/>
      <w:bookmarkStart w:id="902" w:name="_Toc9623"/>
      <w:bookmarkStart w:id="903" w:name="_Toc14283"/>
      <w:bookmarkStart w:id="904" w:name="_Toc3921"/>
      <w:bookmarkStart w:id="905" w:name="_Toc24691"/>
      <w:bookmarkStart w:id="906" w:name="_Toc19339"/>
      <w:bookmarkStart w:id="907" w:name="_Toc18095"/>
      <w:bookmarkStart w:id="908" w:name="_Toc49780222"/>
      <w:r>
        <w:rPr>
          <w:rFonts w:hint="eastAsia"/>
        </w:rPr>
        <w:t>（二）</w:t>
      </w:r>
      <w:r>
        <w:rPr>
          <w:rFonts w:hint="eastAsia" w:ascii="仿宋_GB2312" w:hAnsi="Cambria" w:cs="仿宋_GB2312"/>
        </w:rPr>
        <w:t>项目绩效目标</w:t>
      </w:r>
      <w:bookmarkEnd w:id="894"/>
      <w:bookmarkEnd w:id="895"/>
      <w:bookmarkEnd w:id="896"/>
      <w:bookmarkEnd w:id="897"/>
      <w:bookmarkEnd w:id="898"/>
      <w:bookmarkEnd w:id="899"/>
      <w:bookmarkEnd w:id="900"/>
      <w:bookmarkEnd w:id="901"/>
      <w:bookmarkEnd w:id="902"/>
      <w:bookmarkEnd w:id="903"/>
      <w:bookmarkEnd w:id="904"/>
      <w:bookmarkEnd w:id="905"/>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2023年完成涉及遂宁高新区（遂宁西）高速公路出入口黄龙路景观及站房设计方案。项目设计范围主要包括遂资眉高速出入口，黄龙路、中环线和健坤片区，规划设计面积约72.5公顷（约1088.5亩）。</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全面贯彻落实筑“三城”兴“三都”，加速升腾“成渝之星”发展目标，聚焦“建设现代物流枢纽引领区、川渝毗邻地区高新产业集聚区”目标定位≥97.00%。</w:t>
      </w:r>
    </w:p>
    <w:p>
      <w:pPr>
        <w:pStyle w:val="2"/>
        <w:spacing w:before="0" w:after="0" w:line="560" w:lineRule="exact"/>
        <w:ind w:firstLine="640" w:firstLineChars="200"/>
        <w:rPr>
          <w:rFonts w:hint="eastAsia" w:ascii="黑体" w:hAnsi="黑体"/>
          <w:b w:val="0"/>
          <w:bCs w:val="0"/>
          <w:szCs w:val="32"/>
        </w:rPr>
      </w:pPr>
      <w:bookmarkStart w:id="909" w:name="_Toc1460"/>
      <w:bookmarkStart w:id="910" w:name="_Toc12107"/>
      <w:bookmarkStart w:id="911" w:name="_Toc25811"/>
      <w:bookmarkStart w:id="912" w:name="_Toc32724"/>
      <w:bookmarkStart w:id="913" w:name="_Toc3813"/>
      <w:bookmarkStart w:id="914" w:name="_Toc24856"/>
      <w:bookmarkStart w:id="915" w:name="_Toc4462"/>
      <w:bookmarkStart w:id="916" w:name="_Toc26487"/>
      <w:bookmarkStart w:id="917" w:name="_Toc13453"/>
      <w:bookmarkStart w:id="918" w:name="_Toc19878"/>
      <w:bookmarkStart w:id="919" w:name="_Toc10767"/>
      <w:bookmarkStart w:id="920" w:name="_Toc12233"/>
      <w:r>
        <w:rPr>
          <w:rFonts w:hint="eastAsia" w:ascii="黑体" w:hAnsi="黑体"/>
          <w:b w:val="0"/>
          <w:bCs w:val="0"/>
          <w:szCs w:val="32"/>
        </w:rPr>
        <w:t>二、绩效评价工作开展情况</w:t>
      </w:r>
      <w:bookmarkEnd w:id="909"/>
      <w:bookmarkEnd w:id="910"/>
      <w:bookmarkEnd w:id="911"/>
      <w:bookmarkEnd w:id="912"/>
      <w:bookmarkEnd w:id="913"/>
      <w:bookmarkEnd w:id="914"/>
      <w:bookmarkEnd w:id="915"/>
      <w:bookmarkEnd w:id="916"/>
      <w:bookmarkEnd w:id="917"/>
      <w:bookmarkEnd w:id="918"/>
      <w:bookmarkEnd w:id="919"/>
      <w:bookmarkEnd w:id="920"/>
    </w:p>
    <w:bookmarkEnd w:id="906"/>
    <w:p>
      <w:pPr>
        <w:pStyle w:val="3"/>
        <w:keepNext w:val="0"/>
        <w:keepLines w:val="0"/>
        <w:overflowPunct w:val="0"/>
        <w:autoSpaceDE w:val="0"/>
        <w:autoSpaceDN w:val="0"/>
        <w:spacing w:before="0"/>
        <w:ind w:firstLine="643"/>
      </w:pPr>
      <w:bookmarkStart w:id="921" w:name="_Toc23441"/>
      <w:bookmarkStart w:id="922" w:name="_Toc23053"/>
      <w:bookmarkStart w:id="923" w:name="_Toc21197"/>
      <w:bookmarkStart w:id="924" w:name="_Toc14781"/>
      <w:bookmarkStart w:id="925" w:name="_Toc5924"/>
      <w:bookmarkStart w:id="926" w:name="_Toc29150"/>
      <w:bookmarkStart w:id="927" w:name="_Toc28518"/>
      <w:bookmarkStart w:id="928" w:name="_Toc28839"/>
      <w:bookmarkStart w:id="929" w:name="_Toc26850"/>
      <w:bookmarkStart w:id="930" w:name="_Toc3306"/>
      <w:bookmarkStart w:id="931" w:name="_Toc29195"/>
      <w:bookmarkStart w:id="932" w:name="_Toc4163"/>
      <w:bookmarkStart w:id="933" w:name="_Toc16241"/>
      <w:bookmarkStart w:id="934" w:name="_Toc20098"/>
      <w:r>
        <w:rPr>
          <w:rFonts w:hint="eastAsia"/>
        </w:rPr>
        <w:t>（一）绩效评价目的、对象和范围</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pPr>
        <w:pStyle w:val="4"/>
        <w:keepNext w:val="0"/>
        <w:keepLines w:val="0"/>
        <w:overflowPunct w:val="0"/>
        <w:autoSpaceDE w:val="0"/>
        <w:autoSpaceDN w:val="0"/>
        <w:spacing w:before="0" w:beforeLines="0"/>
        <w:ind w:firstLine="643"/>
        <w:rPr>
          <w:rFonts w:hint="eastAsia" w:ascii="楷体" w:hAnsi="楷体" w:cs="楷体"/>
        </w:rPr>
      </w:pPr>
      <w:r>
        <w:rPr>
          <w:rFonts w:hint="eastAsia" w:ascii="楷体" w:hAnsi="楷体" w:cs="楷体"/>
        </w:rPr>
        <w:t>1.绩效评价目的</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根据项目绩效目标，运用科学合理的绩效评价指标、评价标准和评价方法，对遂宁自规局高新分局2023年遂宁高新区（遂宁西）高速路口出入口黄龙路景观及站房设计项目资金支出的经济性、效率性和效益性进行客观、公正的评价。通过绩效评价，有效贯彻落实中央关于全面实施预算绩效管理的决策部署，加强对项目资金监督，规范项目资金的使用，提高项目资金使用效益，不断强化绩效结果应用。通过对项目资金事后监督和评价工作，不断发现问题，总结经验，优化方法，提高资金使用的安全性、规范性和有效性。</w:t>
      </w:r>
    </w:p>
    <w:p>
      <w:pPr>
        <w:pStyle w:val="4"/>
        <w:keepLines w:val="0"/>
        <w:overflowPunct w:val="0"/>
        <w:autoSpaceDE w:val="0"/>
        <w:autoSpaceDN w:val="0"/>
        <w:spacing w:before="0" w:beforeLines="0"/>
        <w:ind w:firstLine="643"/>
        <w:rPr>
          <w:rFonts w:hint="eastAsia" w:ascii="楷体" w:hAnsi="楷体" w:cs="楷体"/>
        </w:rPr>
      </w:pPr>
      <w:bookmarkStart w:id="935" w:name="_Toc16721"/>
      <w:r>
        <w:rPr>
          <w:rFonts w:hint="eastAsia" w:ascii="楷体" w:hAnsi="楷体" w:cs="楷体"/>
        </w:rPr>
        <w:t>2.绩效评价对象</w:t>
      </w:r>
      <w:bookmarkEnd w:id="935"/>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遂宁市自然资源和规划局高新技术产业园区分局遂宁高新区（遂宁西）高速路口出入口黄龙路景观及站房设计方案金额为118.00万元。</w:t>
      </w:r>
    </w:p>
    <w:p>
      <w:pPr>
        <w:pStyle w:val="4"/>
        <w:keepLines w:val="0"/>
        <w:overflowPunct w:val="0"/>
        <w:autoSpaceDE w:val="0"/>
        <w:autoSpaceDN w:val="0"/>
        <w:spacing w:before="0" w:beforeLines="0"/>
        <w:ind w:firstLine="643"/>
        <w:rPr>
          <w:rFonts w:hint="eastAsia" w:ascii="楷体" w:hAnsi="楷体" w:cs="楷体"/>
        </w:rPr>
      </w:pPr>
      <w:bookmarkStart w:id="936" w:name="_Toc32657"/>
      <w:r>
        <w:rPr>
          <w:rFonts w:hint="eastAsia" w:ascii="楷体" w:hAnsi="楷体" w:cs="楷体"/>
        </w:rPr>
        <w:t>3.绩效评价范围</w:t>
      </w:r>
      <w:bookmarkEnd w:id="936"/>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bookmarkStart w:id="937" w:name="_Toc9584"/>
      <w:bookmarkStart w:id="938" w:name="_Toc8671"/>
      <w:r>
        <w:rPr>
          <w:rFonts w:hint="eastAsia" w:ascii="仿宋" w:hAnsi="仿宋" w:eastAsia="仿宋" w:cs="仿宋"/>
          <w:kern w:val="2"/>
          <w:sz w:val="32"/>
          <w:szCs w:val="32"/>
        </w:rPr>
        <w:t>本次绩效评价范围包括：一是决策管理情况（包括决策依据、决策程序、购买的必要性和目标内容）；二是项目购买与监管（包括管理制度、购买需求、测算依据、购买程序的规范性、服务合同；资金拨付、项目监管）；三是项目实施（包括组织管理、过程控制）；四是项目绩效（包括服务产出、服务效果、满意度）。</w:t>
      </w:r>
    </w:p>
    <w:p>
      <w:pPr>
        <w:pStyle w:val="3"/>
        <w:keepLines w:val="0"/>
        <w:overflowPunct w:val="0"/>
        <w:autoSpaceDE w:val="0"/>
        <w:autoSpaceDN w:val="0"/>
        <w:spacing w:before="0"/>
        <w:ind w:firstLine="643"/>
        <w:rPr>
          <w:rFonts w:hint="eastAsia" w:ascii="仿宋_GB2312" w:hAnsi="仿宋_GB2312" w:cs="仿宋_GB2312"/>
        </w:rPr>
      </w:pPr>
      <w:bookmarkStart w:id="939" w:name="_Toc19437"/>
      <w:bookmarkStart w:id="940" w:name="_Toc7588"/>
      <w:bookmarkStart w:id="941" w:name="_Toc13565"/>
      <w:bookmarkStart w:id="942" w:name="_Toc8391"/>
      <w:bookmarkStart w:id="943" w:name="_Toc10102"/>
      <w:bookmarkStart w:id="944" w:name="_Toc24403"/>
      <w:bookmarkStart w:id="945" w:name="_Toc12505"/>
      <w:bookmarkStart w:id="946" w:name="_Toc27709"/>
      <w:bookmarkStart w:id="947" w:name="_Toc30967"/>
      <w:bookmarkStart w:id="948" w:name="_Toc11002"/>
      <w:bookmarkStart w:id="949" w:name="_Toc4175"/>
      <w:bookmarkStart w:id="950" w:name="_Toc23387"/>
      <w:r>
        <w:rPr>
          <w:rFonts w:hint="eastAsia" w:ascii="仿宋_GB2312" w:hAnsi="仿宋_GB2312" w:cs="仿宋_GB2312"/>
        </w:rPr>
        <w:t>（二）</w:t>
      </w:r>
      <w:bookmarkEnd w:id="937"/>
      <w:bookmarkEnd w:id="938"/>
      <w:bookmarkEnd w:id="939"/>
      <w:bookmarkEnd w:id="940"/>
      <w:bookmarkEnd w:id="941"/>
      <w:bookmarkEnd w:id="942"/>
      <w:bookmarkEnd w:id="943"/>
      <w:r>
        <w:rPr>
          <w:rFonts w:hint="eastAsia" w:ascii="仿宋_GB2312" w:hAnsi="仿宋_GB2312" w:cs="仿宋_GB2312"/>
        </w:rPr>
        <w:t>绩效评价依据、原则、评价方法和指标体系</w:t>
      </w:r>
      <w:bookmarkEnd w:id="944"/>
      <w:bookmarkEnd w:id="945"/>
      <w:bookmarkEnd w:id="946"/>
      <w:bookmarkEnd w:id="947"/>
      <w:bookmarkEnd w:id="948"/>
      <w:bookmarkEnd w:id="949"/>
      <w:bookmarkEnd w:id="950"/>
    </w:p>
    <w:p>
      <w:pPr>
        <w:pStyle w:val="4"/>
        <w:keepLines w:val="0"/>
        <w:overflowPunct w:val="0"/>
        <w:autoSpaceDE w:val="0"/>
        <w:autoSpaceDN w:val="0"/>
        <w:spacing w:before="0" w:beforeLines="0"/>
        <w:ind w:firstLine="643"/>
        <w:rPr>
          <w:rFonts w:hint="eastAsia" w:ascii="楷体" w:hAnsi="楷体" w:cs="楷体"/>
        </w:rPr>
      </w:pPr>
      <w:bookmarkStart w:id="951" w:name="_Toc21737"/>
      <w:r>
        <w:rPr>
          <w:rFonts w:hint="eastAsia" w:ascii="楷体" w:hAnsi="楷体" w:cs="楷体"/>
        </w:rPr>
        <w:t>1.绩效评价依据</w:t>
      </w:r>
      <w:bookmarkEnd w:id="951"/>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本次绩效评价工作依据绩效评价相关法规、规章制度和城市规划设计服务工作相关法律法规、规章制度，相关行业标准及专项规范等具体如下：</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（1）《中华人民共和国预算法》；</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（2）《中共中央国务院关于全面实施预算绩效管理的意见》（中发〔2018〕34号）；</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（3）《财政部关于印发〈项目支出绩效评价管理办法〉的通知》（财预〔2020〕10号）；</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（4）《中共四川省委办公厅四川省人民政府办公厅关于深入实施预算绩效管理的通知》（川委厅〔2022〕5号）；</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（5）《遂宁市人民政府印发〈关于进一步深化预算管理制度改革的贯彻意见〉的通知》（遂府函〔2022〕119号）；</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bookmarkStart w:id="952" w:name="_Toc27232"/>
      <w:r>
        <w:rPr>
          <w:rFonts w:hint="eastAsia" w:ascii="仿宋" w:hAnsi="仿宋" w:eastAsia="仿宋" w:cs="仿宋"/>
          <w:kern w:val="2"/>
          <w:sz w:val="32"/>
          <w:szCs w:val="32"/>
        </w:rPr>
        <w:t>（6）《遂宁市人民政府关于研究遂宁市主城区高速公路出入口城市形象提升有关工作的纪要》（遂府阅〔2021〕38号）</w:t>
      </w:r>
      <w:bookmarkEnd w:id="952"/>
      <w:bookmarkStart w:id="953" w:name="_Toc26191"/>
      <w:r>
        <w:rPr>
          <w:rFonts w:hint="eastAsia" w:ascii="仿宋" w:hAnsi="仿宋" w:eastAsia="仿宋" w:cs="仿宋"/>
          <w:kern w:val="2"/>
          <w:sz w:val="32"/>
          <w:szCs w:val="32"/>
        </w:rPr>
        <w:t>；</w:t>
      </w:r>
    </w:p>
    <w:p>
      <w:pPr>
        <w:pStyle w:val="14"/>
        <w:overflowPunct w:val="0"/>
        <w:autoSpaceDE w:val="0"/>
        <w:autoSpaceDN w:val="0"/>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（7）其他有关政策文件。</w:t>
      </w:r>
    </w:p>
    <w:p>
      <w:pPr>
        <w:overflowPunct w:val="0"/>
        <w:autoSpaceDE w:val="0"/>
        <w:autoSpaceDN w:val="0"/>
        <w:spacing w:line="560" w:lineRule="exact"/>
        <w:ind w:firstLine="643" w:firstLineChars="200"/>
        <w:outlineLvl w:val="2"/>
        <w:rPr>
          <w:rFonts w:hint="eastAsia" w:ascii="楷体" w:hAnsi="楷体" w:eastAsia="楷体" w:cs="楷体"/>
          <w:b/>
          <w:bCs/>
          <w:sz w:val="32"/>
          <w:szCs w:val="32"/>
        </w:rPr>
      </w:pPr>
      <w:r>
        <w:rPr>
          <w:rFonts w:hint="eastAsia" w:ascii="楷体" w:hAnsi="楷体" w:eastAsia="楷体" w:cs="楷体"/>
          <w:b/>
          <w:bCs/>
          <w:sz w:val="32"/>
          <w:szCs w:val="32"/>
        </w:rPr>
        <w:t>2.绩效评价原则</w:t>
      </w:r>
      <w:bookmarkEnd w:id="953"/>
    </w:p>
    <w:p>
      <w:pPr>
        <w:pStyle w:val="14"/>
        <w:overflowPunct w:val="0"/>
        <w:autoSpaceDE w:val="0"/>
        <w:autoSpaceDN w:val="0"/>
        <w:spacing w:beforeAutospacing="0" w:after="0" w:afterAutospacing="0" w:line="560" w:lineRule="exact"/>
        <w:ind w:firstLine="640" w:firstLineChars="200"/>
        <w:jc w:val="both"/>
        <w:rPr>
          <w:rFonts w:eastAsia="仿宋" w:cs="Calibri"/>
          <w:sz w:val="32"/>
          <w:szCs w:val="21"/>
        </w:rPr>
      </w:pPr>
      <w:bookmarkStart w:id="954" w:name="_Toc32602"/>
      <w:r>
        <w:rPr>
          <w:rFonts w:hint="eastAsia" w:eastAsia="仿宋" w:cs="Calibri"/>
          <w:sz w:val="32"/>
          <w:szCs w:val="21"/>
        </w:rPr>
        <w:t>本次绩效评估遵循客观公正、科学规范、绩效相关、公开透明的原则，综合运用全面评估与重点评估相结合，以及现场评估与非现场评估互为补充的方式，对政府采购服务项目进行了综合评估。在评估过程中，依据被评估单位的实际情况，通过听取情况汇报、收集并核实相关资料、实地考察调查、综合分析等一系列工作流程，在全面了解政府购买服务的基础上，形成了评估结论。</w:t>
      </w:r>
    </w:p>
    <w:p>
      <w:pPr>
        <w:pStyle w:val="4"/>
        <w:keepLines w:val="0"/>
        <w:overflowPunct w:val="0"/>
        <w:autoSpaceDE w:val="0"/>
        <w:autoSpaceDN w:val="0"/>
        <w:spacing w:before="0" w:beforeLines="0"/>
        <w:ind w:firstLine="643"/>
        <w:rPr>
          <w:rFonts w:hint="eastAsia" w:ascii="楷体" w:hAnsi="楷体" w:cs="楷体"/>
        </w:rPr>
      </w:pPr>
      <w:r>
        <w:rPr>
          <w:rFonts w:hint="eastAsia" w:ascii="楷体" w:hAnsi="楷体" w:cs="楷体"/>
        </w:rPr>
        <w:t>3.评价方法</w:t>
      </w:r>
      <w:bookmarkEnd w:id="954"/>
    </w:p>
    <w:p>
      <w:pPr>
        <w:spacing w:line="560" w:lineRule="exact"/>
        <w:ind w:firstLine="640" w:firstLineChars="200"/>
        <w:rPr>
          <w:rFonts w:hint="eastAsia" w:ascii="仿宋" w:hAnsi="仿宋" w:eastAsia="仿宋"/>
          <w:sz w:val="32"/>
          <w:szCs w:val="32"/>
        </w:rPr>
      </w:pPr>
      <w:r>
        <w:rPr>
          <w:rFonts w:ascii="仿宋" w:hAnsi="仿宋" w:eastAsia="仿宋"/>
          <w:sz w:val="32"/>
          <w:szCs w:val="32"/>
        </w:rPr>
        <w:t>为客观、全面反映评价结果，根据项目特点，本次绩效评价工作拟采用（但不限于）以下评价方法：</w:t>
      </w:r>
    </w:p>
    <w:p>
      <w:pPr>
        <w:spacing w:line="560" w:lineRule="exact"/>
        <w:ind w:firstLine="640" w:firstLineChars="200"/>
        <w:rPr>
          <w:rFonts w:hint="eastAsia" w:ascii="仿宋" w:hAnsi="仿宋" w:eastAsia="仿宋"/>
          <w:sz w:val="32"/>
          <w:szCs w:val="32"/>
        </w:rPr>
      </w:pPr>
      <w:r>
        <w:rPr>
          <w:rFonts w:hint="eastAsia" w:ascii="仿宋" w:hAnsi="仿宋" w:eastAsia="仿宋"/>
          <w:bCs/>
          <w:sz w:val="32"/>
          <w:szCs w:val="32"/>
        </w:rPr>
        <w:t>（1）成本效益分析法。</w:t>
      </w:r>
      <w:r>
        <w:rPr>
          <w:rFonts w:hint="eastAsia" w:ascii="仿宋" w:hAnsi="仿宋" w:eastAsia="仿宋"/>
          <w:sz w:val="32"/>
          <w:szCs w:val="32"/>
        </w:rPr>
        <w:t>是指将一定时期内的支出与效益进行对比分析，以评价绩效目标实现程度。</w:t>
      </w:r>
    </w:p>
    <w:p>
      <w:pPr>
        <w:spacing w:line="560" w:lineRule="exact"/>
        <w:ind w:firstLine="640" w:firstLineChars="200"/>
        <w:rPr>
          <w:rFonts w:hint="eastAsia" w:ascii="仿宋" w:hAnsi="仿宋" w:eastAsia="仿宋"/>
          <w:sz w:val="32"/>
          <w:szCs w:val="32"/>
        </w:rPr>
      </w:pPr>
      <w:r>
        <w:rPr>
          <w:rFonts w:hint="eastAsia" w:ascii="仿宋" w:hAnsi="仿宋" w:eastAsia="仿宋"/>
          <w:bCs/>
          <w:sz w:val="32"/>
          <w:szCs w:val="32"/>
        </w:rPr>
        <w:t>（2）比较法。</w:t>
      </w:r>
      <w:r>
        <w:rPr>
          <w:rFonts w:hint="eastAsia" w:ascii="仿宋" w:hAnsi="仿宋" w:eastAsia="仿宋"/>
          <w:sz w:val="32"/>
          <w:szCs w:val="32"/>
        </w:rPr>
        <w:t>是指通过对绩效目标与实施效果、历史与当期情况、不同部门和地区同类支出的比较，综合分析绩效目标实现程度。</w:t>
      </w:r>
    </w:p>
    <w:p>
      <w:pPr>
        <w:spacing w:line="560" w:lineRule="exact"/>
        <w:ind w:firstLine="640" w:firstLineChars="200"/>
        <w:rPr>
          <w:rFonts w:hint="eastAsia" w:ascii="仿宋" w:hAnsi="仿宋" w:eastAsia="仿宋"/>
          <w:sz w:val="32"/>
          <w:szCs w:val="32"/>
        </w:rPr>
      </w:pPr>
      <w:r>
        <w:rPr>
          <w:rFonts w:hint="eastAsia" w:ascii="仿宋" w:hAnsi="仿宋" w:eastAsia="仿宋"/>
          <w:bCs/>
          <w:sz w:val="32"/>
          <w:szCs w:val="32"/>
        </w:rPr>
        <w:t>（3）因素分析法。</w:t>
      </w:r>
      <w:r>
        <w:rPr>
          <w:rFonts w:hint="eastAsia" w:ascii="仿宋" w:hAnsi="仿宋" w:eastAsia="仿宋"/>
          <w:sz w:val="32"/>
          <w:szCs w:val="32"/>
        </w:rPr>
        <w:t>是指通过综合分析影响绩效目标实现、实施效果的内外因素，评价绩效目标实现程度。</w:t>
      </w:r>
    </w:p>
    <w:p>
      <w:pPr>
        <w:spacing w:line="560" w:lineRule="exact"/>
        <w:ind w:firstLine="640" w:firstLineChars="200"/>
        <w:rPr>
          <w:rFonts w:hint="eastAsia" w:ascii="仿宋" w:hAnsi="仿宋" w:eastAsia="仿宋"/>
          <w:sz w:val="32"/>
          <w:szCs w:val="32"/>
        </w:rPr>
      </w:pPr>
      <w:r>
        <w:rPr>
          <w:rFonts w:hint="eastAsia" w:ascii="仿宋" w:hAnsi="仿宋" w:eastAsia="仿宋"/>
          <w:bCs/>
          <w:sz w:val="32"/>
          <w:szCs w:val="32"/>
        </w:rPr>
        <w:t>（4）最低成本法。</w:t>
      </w:r>
      <w:r>
        <w:rPr>
          <w:rFonts w:hint="eastAsia" w:ascii="仿宋" w:hAnsi="仿宋" w:eastAsia="仿宋"/>
          <w:sz w:val="32"/>
          <w:szCs w:val="32"/>
        </w:rPr>
        <w:t>是指对效益确定却不易计量的多个同类对象的实施成本进行比较，评价绩效目标实现程度。</w:t>
      </w:r>
    </w:p>
    <w:p>
      <w:pPr>
        <w:spacing w:line="560" w:lineRule="exact"/>
        <w:ind w:firstLine="640" w:firstLineChars="200"/>
        <w:rPr>
          <w:rFonts w:hint="eastAsia" w:ascii="仿宋" w:hAnsi="仿宋" w:eastAsia="仿宋"/>
          <w:sz w:val="32"/>
          <w:szCs w:val="32"/>
        </w:rPr>
      </w:pPr>
      <w:r>
        <w:rPr>
          <w:rFonts w:hint="eastAsia" w:ascii="仿宋" w:hAnsi="仿宋" w:eastAsia="仿宋"/>
          <w:bCs/>
          <w:sz w:val="32"/>
          <w:szCs w:val="32"/>
        </w:rPr>
        <w:t>（5）公众评判法。</w:t>
      </w:r>
      <w:r>
        <w:rPr>
          <w:rFonts w:hint="eastAsia" w:ascii="仿宋" w:hAnsi="仿宋" w:eastAsia="仿宋"/>
          <w:sz w:val="32"/>
          <w:szCs w:val="32"/>
        </w:rPr>
        <w:t>是指通过专家评估、公众问卷及抽样调查等对财政支出效果进行评判，评价绩效目标实现程度。</w:t>
      </w:r>
    </w:p>
    <w:p>
      <w:pPr>
        <w:pStyle w:val="4"/>
        <w:spacing w:before="0" w:beforeLines="0"/>
        <w:ind w:firstLine="643"/>
        <w:rPr>
          <w:rFonts w:hint="eastAsia" w:ascii="楷体" w:hAnsi="楷体" w:cs="楷体"/>
        </w:rPr>
      </w:pPr>
      <w:bookmarkStart w:id="955" w:name="_Toc10662"/>
      <w:r>
        <w:rPr>
          <w:rFonts w:hint="eastAsia" w:ascii="楷体" w:hAnsi="楷体" w:cs="楷体"/>
        </w:rPr>
        <w:t>4.评价指标体系</w:t>
      </w:r>
      <w:bookmarkEnd w:id="955"/>
    </w:p>
    <w:p>
      <w:pPr>
        <w:spacing w:line="560" w:lineRule="exact"/>
        <w:ind w:firstLine="643" w:firstLineChars="200"/>
        <w:outlineLvl w:val="3"/>
        <w:rPr>
          <w:rFonts w:hint="eastAsia" w:ascii="仿宋" w:hAnsi="仿宋" w:eastAsia="仿宋"/>
          <w:b/>
          <w:bCs/>
          <w:sz w:val="32"/>
          <w:szCs w:val="32"/>
        </w:rPr>
      </w:pPr>
      <w:r>
        <w:rPr>
          <w:rFonts w:ascii="仿宋" w:hAnsi="仿宋" w:eastAsia="仿宋"/>
          <w:b/>
          <w:bCs/>
          <w:sz w:val="32"/>
          <w:szCs w:val="32"/>
        </w:rPr>
        <w:t>（</w:t>
      </w:r>
      <w:r>
        <w:rPr>
          <w:rFonts w:hint="eastAsia" w:ascii="仿宋" w:hAnsi="仿宋" w:eastAsia="仿宋"/>
          <w:b/>
          <w:bCs/>
          <w:sz w:val="32"/>
          <w:szCs w:val="32"/>
        </w:rPr>
        <w:t>1</w:t>
      </w:r>
      <w:r>
        <w:rPr>
          <w:rFonts w:ascii="仿宋" w:hAnsi="仿宋" w:eastAsia="仿宋"/>
          <w:b/>
          <w:bCs/>
          <w:sz w:val="32"/>
          <w:szCs w:val="32"/>
        </w:rPr>
        <w:t>）本次评价指标的构建思路</w:t>
      </w:r>
    </w:p>
    <w:p>
      <w:pPr>
        <w:adjustRightInd w:val="0"/>
        <w:snapToGrid w:val="0"/>
        <w:spacing w:line="560" w:lineRule="exact"/>
        <w:ind w:firstLine="640" w:firstLineChars="200"/>
        <w:rPr>
          <w:rFonts w:hint="eastAsia" w:ascii="仿宋" w:hAnsi="仿宋" w:eastAsia="仿宋" w:cs="仿宋"/>
          <w:sz w:val="32"/>
          <w:szCs w:val="32"/>
          <w:bdr w:val="single" w:color="auto" w:sz="4" w:space="0"/>
          <w:lang w:val="zh-CN"/>
        </w:rPr>
      </w:pPr>
      <w:r>
        <w:rPr>
          <w:rFonts w:hint="eastAsia" w:ascii="仿宋" w:hAnsi="仿宋" w:eastAsia="仿宋" w:cs="仿宋"/>
          <w:sz w:val="32"/>
          <w:szCs w:val="32"/>
        </w:rPr>
        <w:t>本次绩效评价对象遂宁自规局高新分局2023年遂宁高新区（遂宁西）高速路口出入口黄龙路景观及站房设计项目，针对绩效指标体系建立是本次绩效评价的一个关键部分，在确定绩效评价指标方面，我们主要考虑到两个重点：一是设置合理的绩效指标，绩效指标要能够准确清晰地反映采购资金使用效益，需尽量设置为可衡量、可考核的清晰明确的指标，指标值需具有约束力；二是绩效指标体系要综合科学合理地考虑项目采购程序及资金效益，从采购计划到执行、项目验收、政策合规的各项细化指标，全面考核不留死角，三是项目效益指标要评价综合效益实现情况</w:t>
      </w:r>
      <w:r>
        <w:rPr>
          <w:rFonts w:hint="eastAsia" w:ascii="仿宋" w:hAnsi="仿宋" w:eastAsia="仿宋" w:cs="仿宋"/>
          <w:sz w:val="32"/>
          <w:szCs w:val="32"/>
          <w:lang w:val="zh-CN"/>
        </w:rPr>
        <w:t>项目的实施有助于提升园区风貌，塑造良好的对外展示窗，具有较高的社会经济效益。</w:t>
      </w:r>
      <w:r>
        <w:rPr>
          <w:rFonts w:hint="eastAsia" w:ascii="仿宋" w:hAnsi="仿宋" w:eastAsia="仿宋" w:cs="仿宋"/>
          <w:sz w:val="32"/>
          <w:szCs w:val="32"/>
        </w:rPr>
        <w:t>可持续效益上持续完善，遂宁西高速路出入口沿线风貌得到提升塑造了高新特色的城市风貌形象特征。</w:t>
      </w:r>
    </w:p>
    <w:p>
      <w:pPr>
        <w:spacing w:line="560" w:lineRule="exact"/>
        <w:ind w:firstLine="643" w:firstLineChars="200"/>
        <w:outlineLvl w:val="3"/>
        <w:rPr>
          <w:rFonts w:hint="eastAsia" w:ascii="仿宋" w:hAnsi="仿宋" w:eastAsia="仿宋"/>
          <w:b/>
          <w:bCs/>
          <w:sz w:val="32"/>
          <w:szCs w:val="32"/>
        </w:rPr>
      </w:pPr>
      <w:r>
        <w:rPr>
          <w:rFonts w:ascii="仿宋" w:hAnsi="仿宋" w:eastAsia="仿宋"/>
          <w:b/>
          <w:bCs/>
          <w:sz w:val="32"/>
          <w:szCs w:val="32"/>
        </w:rPr>
        <w:t>（</w:t>
      </w:r>
      <w:r>
        <w:rPr>
          <w:rFonts w:hint="eastAsia" w:ascii="仿宋" w:hAnsi="仿宋" w:eastAsia="仿宋"/>
          <w:b/>
          <w:bCs/>
          <w:sz w:val="32"/>
          <w:szCs w:val="32"/>
        </w:rPr>
        <w:t>2</w:t>
      </w:r>
      <w:r>
        <w:rPr>
          <w:rFonts w:ascii="仿宋" w:hAnsi="仿宋" w:eastAsia="仿宋"/>
          <w:b/>
          <w:bCs/>
          <w:sz w:val="32"/>
          <w:szCs w:val="32"/>
        </w:rPr>
        <w:t>）指标体系</w:t>
      </w:r>
    </w:p>
    <w:p>
      <w:pPr>
        <w:spacing w:line="560" w:lineRule="exact"/>
        <w:ind w:firstLine="640" w:firstLineChars="200"/>
        <w:rPr>
          <w:rFonts w:hint="eastAsia" w:ascii="仿宋" w:hAnsi="仿宋" w:eastAsia="仿宋"/>
          <w:sz w:val="32"/>
          <w:szCs w:val="32"/>
        </w:rPr>
      </w:pPr>
      <w:r>
        <w:rPr>
          <w:rFonts w:hint="eastAsia" w:ascii="仿宋" w:hAnsi="仿宋" w:eastAsia="仿宋"/>
          <w:sz w:val="32"/>
          <w:szCs w:val="32"/>
        </w:rPr>
        <w:t>根据《遂宁市人民政府关于研究遂宁市主城区高速公路出入口城市形象提升有关工作的纪要》（遂府阅〔2021〕38号）要求，结合项目内容和资金特点，绩效评价组在与专家组充分沟通的基础上，拟定本次绩效评价指标体系。本绩效评价指标体系设决策、过程、产出和效益及加减分项4个一级指标、9个二级指标、22个三级指标，指标体如下。</w:t>
      </w:r>
    </w:p>
    <w:p>
      <w:pPr>
        <w:spacing w:after="240" w:afterLines="100" w:line="560" w:lineRule="exact"/>
        <w:jc w:val="center"/>
        <w:rPr>
          <w:rFonts w:hint="eastAsia" w:ascii="宋体" w:hAnsi="宋体" w:cs="宋体"/>
          <w:b/>
          <w:bCs/>
          <w:sz w:val="28"/>
          <w:szCs w:val="28"/>
        </w:rPr>
      </w:pPr>
      <w:r>
        <w:rPr>
          <w:rFonts w:hint="eastAsia" w:ascii="宋体" w:hAnsi="宋体" w:cs="宋体"/>
          <w:b/>
          <w:bCs/>
          <w:sz w:val="28"/>
          <w:szCs w:val="28"/>
        </w:rPr>
        <w:t>遂宁高新区（遂宁西）高速路口出入口黄龙路景观及站房设计项目绩效评价指标体系</w:t>
      </w:r>
    </w:p>
    <w:tbl>
      <w:tblPr>
        <w:tblStyle w:val="17"/>
        <w:tblW w:w="85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7"/>
        <w:gridCol w:w="2366"/>
        <w:gridCol w:w="1333"/>
        <w:gridCol w:w="2491"/>
        <w:gridCol w:w="11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1137"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
                <w:sz w:val="24"/>
                <w:szCs w:val="24"/>
              </w:rPr>
            </w:pPr>
            <w:r>
              <w:rPr>
                <w:rFonts w:hint="eastAsia" w:ascii="宋体" w:hAnsi="宋体" w:cs="宋体"/>
                <w:b/>
                <w:sz w:val="24"/>
                <w:szCs w:val="24"/>
              </w:rPr>
              <w:t>评价</w:t>
            </w:r>
          </w:p>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
                <w:sz w:val="24"/>
                <w:szCs w:val="24"/>
              </w:rPr>
            </w:pPr>
            <w:r>
              <w:rPr>
                <w:rFonts w:hint="eastAsia" w:ascii="宋体" w:hAnsi="宋体" w:cs="宋体"/>
                <w:b/>
                <w:sz w:val="24"/>
                <w:szCs w:val="24"/>
              </w:rPr>
              <w:t>对象</w:t>
            </w:r>
          </w:p>
        </w:tc>
        <w:tc>
          <w:tcPr>
            <w:tcW w:w="2366"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
                <w:sz w:val="24"/>
                <w:szCs w:val="24"/>
              </w:rPr>
            </w:pPr>
            <w:r>
              <w:rPr>
                <w:rFonts w:hint="eastAsia" w:ascii="宋体" w:hAnsi="宋体" w:cs="宋体"/>
                <w:b/>
                <w:sz w:val="24"/>
                <w:szCs w:val="24"/>
              </w:rPr>
              <w:t>一级指标</w:t>
            </w:r>
          </w:p>
        </w:tc>
        <w:tc>
          <w:tcPr>
            <w:tcW w:w="1333"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
                <w:sz w:val="24"/>
                <w:szCs w:val="24"/>
              </w:rPr>
            </w:pPr>
            <w:r>
              <w:rPr>
                <w:rFonts w:hint="eastAsia" w:ascii="宋体" w:hAnsi="宋体" w:cs="宋体"/>
                <w:b/>
                <w:sz w:val="24"/>
                <w:szCs w:val="24"/>
              </w:rPr>
              <w:t>二级指标</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
                <w:sz w:val="24"/>
                <w:szCs w:val="24"/>
              </w:rPr>
            </w:pPr>
            <w:r>
              <w:rPr>
                <w:rFonts w:hint="eastAsia" w:ascii="宋体" w:hAnsi="宋体" w:cs="宋体"/>
                <w:b/>
                <w:sz w:val="24"/>
                <w:szCs w:val="24"/>
              </w:rPr>
              <w:t>三级指标</w:t>
            </w:r>
          </w:p>
        </w:tc>
        <w:tc>
          <w:tcPr>
            <w:tcW w:w="11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
                <w:sz w:val="24"/>
                <w:szCs w:val="24"/>
              </w:rPr>
            </w:pPr>
            <w:r>
              <w:rPr>
                <w:rFonts w:hint="eastAsia" w:ascii="宋体" w:hAnsi="宋体" w:cs="宋体"/>
                <w:b/>
                <w:sz w:val="24"/>
                <w:szCs w:val="24"/>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购买主体</w:t>
            </w:r>
          </w:p>
        </w:tc>
        <w:tc>
          <w:tcPr>
            <w:tcW w:w="236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决策管理（10分）</w:t>
            </w:r>
          </w:p>
        </w:tc>
        <w:tc>
          <w:tcPr>
            <w:tcW w:w="1333"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项目决策</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决策依据</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决策程序</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购买的必要性</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绩效目标</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目标内容</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项目购买与监管（20分）</w:t>
            </w:r>
          </w:p>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项目管理</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管理制度</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购买需求</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测算依据</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购买程序的规范性</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服务合同</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8"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资金管理</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资金拨付</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项目监管</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监管执行</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承接</w:t>
            </w:r>
          </w:p>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主体</w:t>
            </w:r>
          </w:p>
        </w:tc>
        <w:tc>
          <w:tcPr>
            <w:tcW w:w="236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组织管理（10分）</w:t>
            </w:r>
          </w:p>
        </w:tc>
        <w:tc>
          <w:tcPr>
            <w:tcW w:w="1333"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项目实施</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组织管理</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过程控制</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项目绩效（60分）</w:t>
            </w:r>
          </w:p>
        </w:tc>
        <w:tc>
          <w:tcPr>
            <w:tcW w:w="1333"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服务产出</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服务数量</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服务时效</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服务质量</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服务成本</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restart"/>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服务效果</w:t>
            </w: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专业性效果</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适用性效果</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应用性效果</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6"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1333"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满意度</w:t>
            </w:r>
          </w:p>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Cs/>
                <w:sz w:val="24"/>
                <w:szCs w:val="24"/>
              </w:rPr>
            </w:pPr>
            <w:r>
              <w:rPr>
                <w:rFonts w:hint="eastAsia" w:ascii="宋体" w:hAnsi="宋体" w:cs="宋体"/>
                <w:bCs/>
                <w:sz w:val="24"/>
                <w:szCs w:val="24"/>
              </w:rPr>
              <w:t>服务对象、购买主体满意度</w:t>
            </w: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Cs/>
                <w:sz w:val="24"/>
                <w:szCs w:val="24"/>
              </w:rPr>
            </w:pPr>
            <w:r>
              <w:rPr>
                <w:rFonts w:hint="eastAsia" w:ascii="宋体" w:hAnsi="宋体" w:cs="宋体"/>
                <w:bCs/>
                <w:kern w:val="0"/>
                <w:sz w:val="24"/>
                <w:szCs w:val="24"/>
                <w:lang w:bidi="ar"/>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137" w:type="dxa"/>
            <w:vMerge w:val="continue"/>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Cs/>
                <w:sz w:val="24"/>
                <w:szCs w:val="24"/>
              </w:rPr>
            </w:pPr>
          </w:p>
        </w:tc>
        <w:tc>
          <w:tcPr>
            <w:tcW w:w="2366"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
                <w:sz w:val="24"/>
                <w:szCs w:val="24"/>
              </w:rPr>
            </w:pPr>
            <w:r>
              <w:rPr>
                <w:rFonts w:hint="eastAsia" w:ascii="宋体" w:hAnsi="宋体" w:cs="宋体"/>
                <w:b/>
                <w:sz w:val="24"/>
                <w:szCs w:val="24"/>
              </w:rPr>
              <w:t>合计</w:t>
            </w:r>
          </w:p>
        </w:tc>
        <w:tc>
          <w:tcPr>
            <w:tcW w:w="1333"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rPr>
                <w:rFonts w:hint="eastAsia" w:ascii="宋体" w:hAnsi="宋体" w:cs="宋体"/>
                <w:b/>
                <w:sz w:val="24"/>
                <w:szCs w:val="24"/>
              </w:rPr>
            </w:pPr>
          </w:p>
        </w:tc>
        <w:tc>
          <w:tcPr>
            <w:tcW w:w="2491" w:type="dxa"/>
            <w:tcBorders>
              <w:tl2br w:val="nil"/>
              <w:tr2bl w:val="nil"/>
            </w:tcBorders>
            <w:vAlign w:val="center"/>
          </w:tcPr>
          <w:p>
            <w:pPr>
              <w:keepNext w:val="0"/>
              <w:keepLines w:val="0"/>
              <w:pageBreakBefore w:val="0"/>
              <w:kinsoku/>
              <w:wordWrap/>
              <w:overflowPunct/>
              <w:topLinePunct w:val="0"/>
              <w:autoSpaceDE/>
              <w:autoSpaceDN/>
              <w:bidi w:val="0"/>
              <w:adjustRightInd/>
              <w:snapToGrid/>
              <w:spacing w:line="240" w:lineRule="auto"/>
              <w:ind w:firstLine="0" w:firstLineChars="0"/>
              <w:jc w:val="center"/>
              <w:rPr>
                <w:rFonts w:hint="eastAsia" w:ascii="宋体" w:hAnsi="宋体" w:cs="宋体"/>
                <w:b/>
                <w:sz w:val="24"/>
                <w:szCs w:val="24"/>
              </w:rPr>
            </w:pPr>
          </w:p>
        </w:tc>
        <w:tc>
          <w:tcPr>
            <w:tcW w:w="1191" w:type="dxa"/>
            <w:tcBorders>
              <w:tl2br w:val="nil"/>
              <w:tr2bl w:val="nil"/>
            </w:tcBorders>
            <w:vAlign w:val="center"/>
          </w:tcPr>
          <w:p>
            <w:pPr>
              <w:keepNext w:val="0"/>
              <w:keepLines w:val="0"/>
              <w:pageBreakBefore w:val="0"/>
              <w:widowControl/>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cs="宋体"/>
                <w:b/>
                <w:sz w:val="24"/>
                <w:szCs w:val="24"/>
              </w:rPr>
            </w:pPr>
            <w:r>
              <w:rPr>
                <w:rFonts w:hint="eastAsia" w:ascii="宋体" w:hAnsi="宋体" w:cs="宋体"/>
                <w:b/>
                <w:kern w:val="0"/>
                <w:sz w:val="24"/>
                <w:szCs w:val="24"/>
                <w:lang w:bidi="ar"/>
              </w:rPr>
              <w:t>100.00</w:t>
            </w:r>
          </w:p>
        </w:tc>
      </w:tr>
    </w:tbl>
    <w:p>
      <w:pPr>
        <w:spacing w:line="560" w:lineRule="exact"/>
        <w:ind w:firstLine="643" w:firstLineChars="200"/>
        <w:outlineLvl w:val="3"/>
        <w:rPr>
          <w:rFonts w:hint="eastAsia" w:ascii="仿宋" w:hAnsi="仿宋" w:eastAsia="仿宋" w:cs="仿宋"/>
          <w:b/>
          <w:bCs/>
          <w:sz w:val="32"/>
          <w:szCs w:val="32"/>
        </w:rPr>
      </w:pPr>
      <w:r>
        <w:rPr>
          <w:rFonts w:hint="eastAsia" w:ascii="仿宋" w:hAnsi="仿宋" w:eastAsia="仿宋" w:cs="仿宋"/>
          <w:b/>
          <w:bCs/>
          <w:sz w:val="32"/>
          <w:szCs w:val="32"/>
        </w:rPr>
        <w:t>（3）评价等级</w:t>
      </w:r>
    </w:p>
    <w:p>
      <w:pPr>
        <w:overflowPunct w:val="0"/>
        <w:autoSpaceDE w:val="0"/>
        <w:autoSpaceDN w:val="0"/>
        <w:spacing w:line="560" w:lineRule="exact"/>
        <w:ind w:firstLine="640" w:firstLineChars="200"/>
        <w:rPr>
          <w:rFonts w:hint="eastAsia" w:ascii="仿宋" w:hAnsi="仿宋" w:eastAsia="仿宋"/>
          <w:sz w:val="32"/>
          <w:szCs w:val="32"/>
        </w:rPr>
      </w:pPr>
      <w:r>
        <w:rPr>
          <w:rFonts w:hint="eastAsia" w:ascii="仿宋" w:hAnsi="仿宋" w:eastAsia="仿宋"/>
          <w:sz w:val="32"/>
          <w:szCs w:val="32"/>
        </w:rPr>
        <w:t>绩效评价结果量化为百分制综合评分，并按照综合评分进行分级。综合评分为90.00分（含）以上的为“优”，80.00分（含）至90分的为“良”，60.00分（含）至80.00分的为“中”，60.00分以下的为“差”。</w:t>
      </w:r>
    </w:p>
    <w:p>
      <w:pPr>
        <w:pStyle w:val="3"/>
        <w:keepLines w:val="0"/>
        <w:overflowPunct w:val="0"/>
        <w:autoSpaceDE w:val="0"/>
        <w:autoSpaceDN w:val="0"/>
        <w:spacing w:before="0"/>
        <w:ind w:firstLine="643"/>
        <w:rPr>
          <w:rFonts w:hint="eastAsia" w:ascii="仿宋_GB2312" w:hAnsi="仿宋_GB2312" w:cs="仿宋_GB2312"/>
        </w:rPr>
      </w:pPr>
      <w:bookmarkStart w:id="956" w:name="_Toc6393"/>
      <w:bookmarkStart w:id="957" w:name="_Toc25821"/>
      <w:bookmarkStart w:id="958" w:name="_Toc5972"/>
      <w:bookmarkStart w:id="959" w:name="_Toc6814"/>
      <w:bookmarkStart w:id="960" w:name="_Toc22859"/>
      <w:bookmarkStart w:id="961" w:name="_Toc10989"/>
      <w:bookmarkStart w:id="962" w:name="_Toc25897"/>
      <w:bookmarkStart w:id="963" w:name="_Toc7361"/>
      <w:bookmarkStart w:id="964" w:name="_Toc31918"/>
      <w:bookmarkStart w:id="965" w:name="_Toc1836"/>
      <w:bookmarkStart w:id="966" w:name="_Toc23985"/>
      <w:bookmarkStart w:id="967" w:name="_Toc31344"/>
      <w:bookmarkStart w:id="968" w:name="_Toc4422"/>
      <w:bookmarkStart w:id="969" w:name="_Toc20298"/>
      <w:bookmarkStart w:id="970" w:name="_Toc12933"/>
      <w:bookmarkStart w:id="971" w:name="_Toc13993"/>
      <w:bookmarkStart w:id="972" w:name="_Toc8016"/>
      <w:r>
        <w:rPr>
          <w:rFonts w:hint="eastAsia" w:ascii="仿宋_GB2312" w:hAnsi="仿宋_GB2312" w:cs="仿宋_GB2312"/>
        </w:rPr>
        <w:t>（三）本次绩效评价的程序</w:t>
      </w:r>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p>
    <w:p>
      <w:pPr>
        <w:pStyle w:val="4"/>
        <w:keepLines w:val="0"/>
        <w:overflowPunct w:val="0"/>
        <w:autoSpaceDE w:val="0"/>
        <w:autoSpaceDN w:val="0"/>
        <w:spacing w:before="0" w:beforeLines="0"/>
        <w:ind w:firstLine="643"/>
        <w:rPr>
          <w:rFonts w:hint="eastAsia" w:ascii="楷体" w:hAnsi="楷体" w:cs="楷体"/>
        </w:rPr>
      </w:pPr>
      <w:bookmarkStart w:id="973" w:name="_Toc26455"/>
      <w:r>
        <w:rPr>
          <w:rFonts w:hint="eastAsia" w:ascii="楷体" w:hAnsi="楷体" w:cs="楷体"/>
        </w:rPr>
        <w:t>1.进驻单位，初步沟通</w:t>
      </w:r>
      <w:bookmarkEnd w:id="973"/>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绩效评价工作组根据委托方的指示，进驻被评价单位，参与现场评价工作会议。评价组听取了遂宁市自然资源和规划局高新区分局关于遂宁高新区（遂宁西）高速路口出入口黄龙路景观及站房设计项目的目标设定、完成情况、项目组织管理制度的建立与执行情况、预算支出的执行情况、财务管理状况以及预算支出执行所产生的效益效果等方面的介绍。通过初步了解，评价组掌握了遂宁高新区（遂宁西）高速路口出入口黄龙路景观及站房设计项目的整体进展情况，并根据实际情况，制定了具体的评价工作方案。</w:t>
      </w:r>
    </w:p>
    <w:p>
      <w:pPr>
        <w:pStyle w:val="4"/>
        <w:overflowPunct w:val="0"/>
        <w:autoSpaceDE w:val="0"/>
        <w:autoSpaceDN w:val="0"/>
        <w:spacing w:before="0" w:beforeLines="0"/>
        <w:ind w:firstLine="643"/>
        <w:rPr>
          <w:rFonts w:hint="eastAsia" w:ascii="楷体" w:hAnsi="楷体" w:cs="楷体"/>
        </w:rPr>
      </w:pPr>
      <w:bookmarkStart w:id="974" w:name="_Toc7127"/>
      <w:r>
        <w:rPr>
          <w:rFonts w:hint="eastAsia" w:ascii="楷体" w:hAnsi="楷体" w:cs="楷体"/>
        </w:rPr>
        <w:t>2.收集资料，复核分析</w:t>
      </w:r>
      <w:bookmarkEnd w:id="974"/>
    </w:p>
    <w:p>
      <w:pPr>
        <w:pStyle w:val="6"/>
        <w:spacing w:line="560" w:lineRule="exact"/>
        <w:ind w:firstLine="640"/>
        <w:rPr>
          <w:rFonts w:hint="eastAsia" w:ascii="仿宋" w:hAnsi="仿宋" w:eastAsia="仿宋" w:cs="仿宋"/>
          <w:sz w:val="32"/>
          <w:szCs w:val="32"/>
        </w:rPr>
      </w:pPr>
      <w:r>
        <w:rPr>
          <w:rFonts w:hint="eastAsia" w:ascii="仿宋" w:hAnsi="仿宋" w:eastAsia="仿宋" w:cs="仿宋"/>
          <w:sz w:val="32"/>
          <w:szCs w:val="32"/>
        </w:rPr>
        <w:t>查阅被评估单位提供的财务资料，核实其真实性。包括：财务报表与总账、明细账核对，明细账和记账凭证核对，记账凭证和后附附件的核对，检查账务处理的合规性；检查政策收支数据，与财务资料比对复核，核实资金下达与资金拨付手续，核实项目公示信息；检查遂宁高新区（遂宁西）高速路口出入口黄龙路景观及站房设计项目各项管理制度设置的完善性和合理性，落实制度的实际运行状况；检查各项收支审批程序、核实资金是否按来源和预算用途规范管理和运用；检查遂宁高新区（遂宁西）高速路口出入口黄龙路景观及站房设计项目进度和政策落实资料，核实遂宁高新区（遂宁西）高速路口出入口黄龙路景观及站房设计项目的数量、质量及政策效果情况。</w:t>
      </w:r>
    </w:p>
    <w:p>
      <w:pPr>
        <w:pStyle w:val="4"/>
        <w:spacing w:before="0" w:beforeLines="0"/>
        <w:ind w:firstLine="643"/>
        <w:rPr>
          <w:rFonts w:hint="eastAsia" w:ascii="楷体" w:hAnsi="楷体" w:cs="楷体"/>
        </w:rPr>
      </w:pPr>
      <w:bookmarkStart w:id="975" w:name="_Toc349"/>
      <w:r>
        <w:rPr>
          <w:rFonts w:hint="eastAsia" w:ascii="楷体" w:hAnsi="楷体" w:cs="楷体"/>
        </w:rPr>
        <w:t>3.发放调查问卷</w:t>
      </w:r>
      <w:bookmarkEnd w:id="975"/>
    </w:p>
    <w:p>
      <w:pPr>
        <w:spacing w:line="560" w:lineRule="exact"/>
        <w:ind w:firstLine="640" w:firstLineChars="200"/>
        <w:rPr>
          <w:rFonts w:hint="eastAsia" w:ascii="仿宋" w:hAnsi="仿宋" w:cs="仿宋"/>
          <w:szCs w:val="32"/>
        </w:rPr>
      </w:pPr>
      <w:bookmarkStart w:id="976" w:name="_Toc32041"/>
      <w:r>
        <w:rPr>
          <w:rFonts w:hint="eastAsia" w:ascii="仿宋" w:hAnsi="仿宋" w:eastAsia="仿宋" w:cs="仿宋"/>
          <w:sz w:val="32"/>
          <w:szCs w:val="32"/>
        </w:rPr>
        <w:t>对项目实施满意度情况进行调查，对具有明确受益对象的评价项目，根据需要收集的评价数据设置调查表并认真做好调查表的发放与回收工作。对回收有效问卷进行科学统计分析，并通过统计结果分析原因，评价其对项目绩效成果的影响程度。</w:t>
      </w:r>
    </w:p>
    <w:p>
      <w:pPr>
        <w:pStyle w:val="4"/>
        <w:spacing w:before="0" w:beforeLines="0"/>
        <w:ind w:firstLine="643"/>
      </w:pPr>
      <w:r>
        <w:rPr>
          <w:rFonts w:hint="eastAsia" w:ascii="楷体" w:hAnsi="楷体" w:cs="楷体"/>
        </w:rPr>
        <w:t>4.综合分析，客观评价</w:t>
      </w:r>
      <w:bookmarkEnd w:id="976"/>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根据对遂宁高新区（遂宁西）高速路口出入口黄龙路景观及站房设计项目核实的情况，独立、客观、公正地开展现场评价工作，对提供的材料及自评报告，结合现场评价情况进行综合分析重点逐项分析评价遂宁高新区（遂宁西）高速路口出入口黄龙路景观及站房设计项目目标设置情况；决策管理情况；项目购买与监管情况；项目实施情况、项目绩效情况；项目资金使用绩效情况。对各项指标对比分析和归纳总结，初步形成项目综合评价。</w:t>
      </w:r>
    </w:p>
    <w:p>
      <w:pPr>
        <w:keepNext/>
        <w:keepLines/>
        <w:spacing w:line="560" w:lineRule="exact"/>
        <w:ind w:firstLine="643" w:firstLineChars="200"/>
        <w:outlineLvl w:val="2"/>
        <w:rPr>
          <w:rFonts w:hint="eastAsia" w:ascii="楷体" w:hAnsi="楷体" w:eastAsia="楷体" w:cs="楷体"/>
          <w:b/>
          <w:bCs/>
          <w:sz w:val="32"/>
          <w:szCs w:val="32"/>
        </w:rPr>
      </w:pPr>
      <w:r>
        <w:rPr>
          <w:rFonts w:hint="eastAsia" w:ascii="楷体" w:hAnsi="楷体" w:eastAsia="楷体" w:cs="楷体"/>
          <w:b/>
          <w:bCs/>
          <w:sz w:val="32"/>
          <w:szCs w:val="32"/>
        </w:rPr>
        <w:t>5.沟通说明，现场评分</w:t>
      </w:r>
    </w:p>
    <w:p>
      <w:pPr>
        <w:overflowPunct w:val="0"/>
        <w:autoSpaceDE w:val="0"/>
        <w:autoSpaceDN w:val="0"/>
        <w:spacing w:line="560" w:lineRule="exact"/>
        <w:ind w:firstLine="640" w:firstLineChars="200"/>
        <w:rPr>
          <w:rFonts w:hint="eastAsia" w:ascii="仿宋" w:hAnsi="仿宋" w:cs="仿宋"/>
          <w:sz w:val="32"/>
          <w:szCs w:val="32"/>
        </w:rPr>
      </w:pPr>
      <w:r>
        <w:rPr>
          <w:rFonts w:hint="eastAsia" w:ascii="仿宋" w:hAnsi="仿宋" w:eastAsia="仿宋" w:cs="仿宋"/>
          <w:sz w:val="32"/>
          <w:szCs w:val="32"/>
        </w:rPr>
        <w:t>针对分析、评价中发现的情况与被评价单位沟通。评价组对各项评价指标进行分析讨论，经反复分析、研究，按预先设计的评价指标体系进行现场评价打分</w:t>
      </w:r>
      <w:r>
        <w:rPr>
          <w:rFonts w:hint="eastAsia"/>
        </w:rPr>
        <w:t>。</w:t>
      </w:r>
    </w:p>
    <w:p>
      <w:pPr>
        <w:pStyle w:val="4"/>
        <w:spacing w:before="0" w:beforeLines="0"/>
        <w:ind w:firstLine="643"/>
        <w:rPr>
          <w:rFonts w:hint="eastAsia" w:ascii="楷体" w:hAnsi="楷体" w:cs="楷体"/>
        </w:rPr>
      </w:pPr>
      <w:bookmarkStart w:id="977" w:name="_Toc11740"/>
      <w:r>
        <w:rPr>
          <w:rFonts w:hint="eastAsia" w:ascii="楷体" w:hAnsi="楷体" w:cs="楷体"/>
        </w:rPr>
        <w:t>6.绩效评价报告</w:t>
      </w:r>
      <w:bookmarkEnd w:id="977"/>
    </w:p>
    <w:p>
      <w:pPr>
        <w:pStyle w:val="5"/>
        <w:ind w:firstLine="643"/>
      </w:pPr>
      <w:r>
        <w:rPr>
          <w:rFonts w:hint="eastAsia" w:ascii="仿宋" w:hAnsi="仿宋" w:eastAsia="仿宋" w:cs="仿宋"/>
        </w:rPr>
        <w:t>（1）撰写绩效评价报告</w:t>
      </w:r>
    </w:p>
    <w:p>
      <w:pPr>
        <w:spacing w:line="560" w:lineRule="exact"/>
        <w:ind w:firstLine="640" w:firstLineChars="200"/>
        <w:rPr>
          <w:rFonts w:hint="eastAsia" w:ascii="仿宋" w:hAnsi="仿宋" w:eastAsia="仿宋"/>
          <w:sz w:val="32"/>
          <w:szCs w:val="32"/>
        </w:rPr>
      </w:pPr>
      <w:r>
        <w:rPr>
          <w:rFonts w:hint="eastAsia" w:ascii="仿宋" w:hAnsi="仿宋" w:eastAsia="仿宋"/>
          <w:sz w:val="32"/>
          <w:szCs w:val="32"/>
        </w:rPr>
        <w:t>绩效评价报告的具体格式由财政部门统一制定，绩效评价人员按照规定的文本格式和协议要求撰写绩效评价报告，做到依据充分、数据真实、内容完整、客观公正、结论明确、建议可行。</w:t>
      </w:r>
    </w:p>
    <w:p>
      <w:pPr>
        <w:pStyle w:val="5"/>
        <w:ind w:firstLine="643"/>
        <w:rPr>
          <w:rFonts w:hint="eastAsia" w:ascii="仿宋" w:hAnsi="仿宋" w:eastAsia="仿宋" w:cs="仿宋"/>
        </w:rPr>
      </w:pPr>
      <w:r>
        <w:rPr>
          <w:rFonts w:hint="eastAsia" w:ascii="仿宋" w:hAnsi="仿宋" w:eastAsia="仿宋" w:cs="仿宋"/>
        </w:rPr>
        <w:t>（2）绩效评价报告征求意见</w:t>
      </w:r>
    </w:p>
    <w:p>
      <w:pPr>
        <w:spacing w:line="560" w:lineRule="exact"/>
        <w:ind w:firstLine="640" w:firstLineChars="200"/>
        <w:rPr>
          <w:rFonts w:hint="eastAsia" w:ascii="仿宋" w:hAnsi="仿宋" w:eastAsia="仿宋"/>
          <w:sz w:val="32"/>
          <w:szCs w:val="32"/>
        </w:rPr>
      </w:pPr>
      <w:r>
        <w:rPr>
          <w:rFonts w:hint="eastAsia" w:ascii="仿宋" w:hAnsi="仿宋" w:eastAsia="仿宋"/>
          <w:sz w:val="32"/>
          <w:szCs w:val="32"/>
        </w:rPr>
        <w:t>绩效评价报告初稿完成后，由财政部门牵头，出具绩效评价报告征求意见稿，征求被评价单位的意见，根据反馈的有效意见对评价报告进行修改。如对评价报告存在意见分歧，经协商仍不能取得一致的，绩效评价组在出具正式绩效评价报告时须同时提交被评价单位的不同意见。</w:t>
      </w:r>
    </w:p>
    <w:p>
      <w:pPr>
        <w:pStyle w:val="5"/>
        <w:ind w:firstLine="643"/>
        <w:rPr>
          <w:rFonts w:hint="eastAsia" w:ascii="仿宋" w:hAnsi="仿宋" w:eastAsia="仿宋" w:cs="黑体"/>
          <w:szCs w:val="32"/>
        </w:rPr>
      </w:pPr>
      <w:r>
        <w:rPr>
          <w:rFonts w:hint="eastAsia" w:ascii="仿宋" w:hAnsi="仿宋" w:eastAsia="仿宋" w:cs="黑体"/>
          <w:szCs w:val="32"/>
        </w:rPr>
        <w:t>（3）提交绩效评价报告</w:t>
      </w:r>
    </w:p>
    <w:p>
      <w:pPr>
        <w:overflowPunct w:val="0"/>
        <w:autoSpaceDE w:val="0"/>
        <w:autoSpaceDN w:val="0"/>
        <w:spacing w:line="560" w:lineRule="exact"/>
        <w:ind w:firstLine="640" w:firstLineChars="200"/>
        <w:rPr>
          <w:rFonts w:hint="eastAsia" w:ascii="仿宋" w:hAnsi="仿宋" w:eastAsia="仿宋" w:cs="仿宋"/>
          <w:sz w:val="32"/>
          <w:szCs w:val="32"/>
        </w:rPr>
      </w:pPr>
      <w:bookmarkStart w:id="978" w:name="_Toc12652"/>
      <w:bookmarkStart w:id="979" w:name="_Toc8242"/>
      <w:bookmarkStart w:id="980" w:name="_Toc31546"/>
      <w:bookmarkStart w:id="981" w:name="_Toc9312"/>
      <w:bookmarkStart w:id="982" w:name="_Toc2497"/>
      <w:r>
        <w:rPr>
          <w:rFonts w:hint="eastAsia" w:ascii="仿宋" w:hAnsi="仿宋" w:eastAsia="仿宋" w:cs="仿宋"/>
          <w:sz w:val="32"/>
          <w:szCs w:val="32"/>
        </w:rPr>
        <w:t>出具遂宁市自然资源和规划局高新技术产业园区分局遂宁高新区（遂宁西）高速路口出入口黄龙路景观及站房设计项目绩效评价报告。</w:t>
      </w:r>
    </w:p>
    <w:p>
      <w:pPr>
        <w:pStyle w:val="2"/>
        <w:keepLines w:val="0"/>
        <w:overflowPunct w:val="0"/>
        <w:autoSpaceDE w:val="0"/>
        <w:autoSpaceDN w:val="0"/>
        <w:spacing w:before="0" w:after="0" w:line="560" w:lineRule="exact"/>
        <w:ind w:firstLine="640" w:firstLineChars="200"/>
        <w:rPr>
          <w:rFonts w:hint="eastAsia" w:ascii="黑体" w:hAnsi="黑体"/>
          <w:b w:val="0"/>
          <w:bCs w:val="0"/>
          <w:szCs w:val="32"/>
        </w:rPr>
      </w:pPr>
      <w:bookmarkStart w:id="983" w:name="_Toc13243"/>
      <w:bookmarkStart w:id="984" w:name="_Toc955"/>
      <w:bookmarkStart w:id="985" w:name="_Toc28916"/>
      <w:bookmarkStart w:id="986" w:name="_Toc7964"/>
      <w:bookmarkStart w:id="987" w:name="_Toc16215"/>
      <w:bookmarkStart w:id="988" w:name="_Toc11140"/>
      <w:bookmarkStart w:id="989" w:name="_Toc16971"/>
      <w:bookmarkStart w:id="990" w:name="_Toc6893"/>
      <w:bookmarkStart w:id="991" w:name="_Toc11948"/>
      <w:bookmarkStart w:id="992" w:name="_Toc11184"/>
      <w:bookmarkStart w:id="993" w:name="_Toc5567"/>
      <w:bookmarkStart w:id="994" w:name="_Toc29937"/>
      <w:r>
        <w:rPr>
          <w:rFonts w:hint="eastAsia" w:ascii="黑体" w:hAnsi="黑体"/>
          <w:b w:val="0"/>
          <w:bCs w:val="0"/>
          <w:szCs w:val="32"/>
        </w:rPr>
        <w:t>三、综合评价情况及评价结论</w:t>
      </w:r>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pPr>
        <w:adjustRightInd w:val="0"/>
        <w:snapToGrid w:val="0"/>
        <w:spacing w:line="560" w:lineRule="exact"/>
        <w:ind w:firstLine="640" w:firstLineChars="200"/>
        <w:rPr>
          <w:rFonts w:hint="eastAsia" w:ascii="仿宋" w:hAnsi="仿宋" w:eastAsia="仿宋" w:cs="Times New Roman"/>
          <w:sz w:val="32"/>
          <w:szCs w:val="24"/>
        </w:rPr>
      </w:pPr>
      <w:r>
        <w:rPr>
          <w:rFonts w:hint="eastAsia" w:ascii="仿宋" w:hAnsi="仿宋" w:eastAsia="仿宋" w:cs="仿宋"/>
          <w:sz w:val="32"/>
          <w:szCs w:val="32"/>
        </w:rPr>
        <w:t>通过对资料查阅、分析和现场调研及综合分析，</w:t>
      </w:r>
      <w:r>
        <w:rPr>
          <w:rFonts w:hint="eastAsia" w:ascii="仿宋" w:hAnsi="仿宋" w:eastAsia="仿宋"/>
          <w:sz w:val="32"/>
          <w:szCs w:val="32"/>
        </w:rPr>
        <w:t>通过对遂宁高新区（遂宁西）高速路口出入口黄龙路景观及站房设计项目的符合中央、省、市、区决策部署；符合当前经济社会发展需求；属于城市规划服务范畴；与遂宁自规局高新区分局职能职责相匹配，项目设计规划方案于遂宁市自规局职责范围，决策程序合规，证明资料齐全，</w:t>
      </w:r>
      <w:r>
        <w:rPr>
          <w:rFonts w:hint="eastAsia" w:ascii="仿宋" w:hAnsi="仿宋" w:eastAsia="仿宋" w:cs="Times New Roman"/>
          <w:sz w:val="32"/>
          <w:szCs w:val="24"/>
        </w:rPr>
        <w:t>项目方案设计已通过遂宁市专委会审查、遂宁市规委会审议并报遂宁市自然资源和规划局备案。</w:t>
      </w:r>
      <w:r>
        <w:rPr>
          <w:rFonts w:hint="eastAsia" w:ascii="仿宋" w:hAnsi="仿宋" w:eastAsia="仿宋" w:cs="仿宋"/>
          <w:sz w:val="32"/>
          <w:szCs w:val="32"/>
        </w:rPr>
        <w:t>但在监管执行过程方面仍存在一些问题，有待加强。</w:t>
      </w:r>
      <w:r>
        <w:rPr>
          <w:rFonts w:hint="eastAsia" w:ascii="仿宋" w:hAnsi="仿宋" w:eastAsia="仿宋"/>
          <w:sz w:val="32"/>
          <w:szCs w:val="32"/>
        </w:rPr>
        <w:t>项目绩效目标与购买服务的内容相关联，总体能够做到科学合理设置，能达到细化量化、可衡量的标准，基本满足绩效管理要求。资金指标已下达59.00万元，下达的资金59.00万元按规定全部支付给中标单位。但因项目尚未完成最终审定和备案，暂未支付合同金额的剩余50.00%，即59.00万元</w:t>
      </w:r>
      <w:r>
        <w:rPr>
          <w:rFonts w:hint="eastAsia" w:ascii="仿宋" w:hAnsi="仿宋" w:eastAsia="仿宋"/>
          <w:sz w:val="32"/>
          <w:szCs w:val="32"/>
          <w:lang w:val="zh-CN"/>
        </w:rPr>
        <w:t>。</w:t>
      </w:r>
      <w:r>
        <w:rPr>
          <w:rFonts w:hint="eastAsia" w:ascii="仿宋" w:hAnsi="仿宋" w:eastAsia="仿宋"/>
          <w:sz w:val="32"/>
          <w:szCs w:val="32"/>
        </w:rPr>
        <w:t>项目资金的使用总体符合国家财经法规和财务管理制度以及有关专项资金管理办法的规定，未</w:t>
      </w:r>
      <w:r>
        <w:rPr>
          <w:rFonts w:hint="eastAsia" w:eastAsia="仿宋_GB2312" w:cs="Times New Roman"/>
          <w:sz w:val="32"/>
          <w:szCs w:val="24"/>
        </w:rPr>
        <w:t>发现截留、挤占、挪用、虚列支出等情况。</w:t>
      </w:r>
      <w:r>
        <w:rPr>
          <w:rFonts w:ascii="仿宋" w:hAnsi="仿宋" w:eastAsia="仿宋" w:cs="Times New Roman"/>
          <w:sz w:val="32"/>
          <w:szCs w:val="24"/>
        </w:rPr>
        <w:t>因黄龙路纳入全市示范道路建设，现设计方案中已取消黄龙路相关设计内容，由华诚博远工程技术集团有限公司进行专门设计。</w:t>
      </w:r>
      <w:r>
        <w:rPr>
          <w:rFonts w:hint="eastAsia" w:ascii="仿宋" w:hAnsi="仿宋" w:eastAsia="仿宋" w:cs="Times New Roman"/>
          <w:sz w:val="32"/>
          <w:szCs w:val="24"/>
        </w:rPr>
        <w:t>本</w:t>
      </w:r>
      <w:r>
        <w:rPr>
          <w:rFonts w:ascii="仿宋" w:hAnsi="仿宋" w:eastAsia="仿宋" w:cs="Times New Roman"/>
          <w:sz w:val="32"/>
          <w:szCs w:val="24"/>
        </w:rPr>
        <w:t>项目于2023年5月24日通过第九次市专委会审查，目前已修改完善</w:t>
      </w:r>
      <w:r>
        <w:rPr>
          <w:rFonts w:hint="eastAsia" w:ascii="仿宋" w:hAnsi="仿宋" w:eastAsia="仿宋" w:cs="Times New Roman"/>
          <w:sz w:val="32"/>
          <w:szCs w:val="24"/>
        </w:rPr>
        <w:t>，但社会、经济效益和生态效益等相关的指标依据的资料不完整。</w:t>
      </w:r>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经绩效评价组从项目的决策管理、购买与监管、组织管理、项目绩效指标四方面进行综合评议，本项目绩效评价综合评分为</w:t>
      </w:r>
      <w:r>
        <w:rPr>
          <w:rFonts w:hint="eastAsia" w:ascii="仿宋" w:hAnsi="仿宋" w:eastAsia="仿宋" w:cs="仿宋"/>
          <w:sz w:val="32"/>
          <w:szCs w:val="32"/>
          <w:lang w:val="en-US" w:eastAsia="zh-CN"/>
        </w:rPr>
        <w:t>74.64</w:t>
      </w:r>
      <w:r>
        <w:rPr>
          <w:rFonts w:hint="eastAsia" w:ascii="仿宋" w:hAnsi="仿宋" w:eastAsia="仿宋" w:cs="仿宋"/>
          <w:sz w:val="32"/>
          <w:szCs w:val="32"/>
        </w:rPr>
        <w:t>分，综合绩效评定结论为“</w:t>
      </w:r>
      <w:r>
        <w:rPr>
          <w:rFonts w:hint="eastAsia" w:ascii="仿宋" w:hAnsi="仿宋" w:eastAsia="仿宋" w:cs="仿宋"/>
          <w:sz w:val="32"/>
          <w:szCs w:val="32"/>
          <w:lang w:eastAsia="zh-CN"/>
        </w:rPr>
        <w:t>中</w:t>
      </w:r>
      <w:r>
        <w:rPr>
          <w:rFonts w:hint="eastAsia" w:ascii="仿宋" w:hAnsi="仿宋" w:eastAsia="仿宋" w:cs="仿宋"/>
          <w:sz w:val="32"/>
          <w:szCs w:val="32"/>
        </w:rPr>
        <w:t>”。</w:t>
      </w:r>
    </w:p>
    <w:p>
      <w:pPr>
        <w:overflowPunct w:val="0"/>
        <w:autoSpaceDE w:val="0"/>
        <w:autoSpaceDN w:val="0"/>
        <w:spacing w:after="240" w:afterLines="100" w:line="560" w:lineRule="exact"/>
        <w:jc w:val="center"/>
        <w:rPr>
          <w:rFonts w:hint="eastAsia" w:ascii="宋体" w:hAnsi="宋体" w:cs="宋体"/>
          <w:b/>
          <w:bCs/>
          <w:iCs/>
          <w:sz w:val="28"/>
          <w:szCs w:val="28"/>
        </w:rPr>
      </w:pPr>
      <w:r>
        <w:rPr>
          <w:rFonts w:hint="eastAsia" w:ascii="宋体" w:hAnsi="宋体" w:cs="宋体"/>
          <w:b/>
          <w:bCs/>
          <w:iCs/>
          <w:sz w:val="28"/>
          <w:szCs w:val="28"/>
        </w:rPr>
        <w:t>综合评价得分情况表</w:t>
      </w:r>
    </w:p>
    <w:tbl>
      <w:tblPr>
        <w:tblStyle w:val="17"/>
        <w:tblW w:w="495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85"/>
        <w:gridCol w:w="1892"/>
        <w:gridCol w:w="1666"/>
        <w:gridCol w:w="20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4" w:hRule="atLeast"/>
          <w:tblHeader/>
        </w:trPr>
        <w:tc>
          <w:tcPr>
            <w:tcW w:w="1650" w:type="pct"/>
            <w:vAlign w:val="center"/>
          </w:tcPr>
          <w:p>
            <w:pPr>
              <w:overflowPunct w:val="0"/>
              <w:autoSpaceDE w:val="0"/>
              <w:autoSpaceDN w:val="0"/>
              <w:spacing w:line="560" w:lineRule="exact"/>
              <w:ind w:firstLine="482" w:firstLineChars="200"/>
              <w:rPr>
                <w:rFonts w:hint="eastAsia" w:ascii="宋体" w:hAnsi="宋体" w:cs="宋体"/>
                <w:b/>
                <w:bCs/>
                <w:sz w:val="24"/>
                <w:szCs w:val="24"/>
              </w:rPr>
            </w:pPr>
            <w:r>
              <w:rPr>
                <w:rFonts w:hint="eastAsia" w:ascii="宋体" w:hAnsi="宋体" w:cs="宋体"/>
                <w:b/>
                <w:bCs/>
                <w:sz w:val="24"/>
                <w:szCs w:val="24"/>
              </w:rPr>
              <w:t>一级指标</w:t>
            </w:r>
          </w:p>
        </w:tc>
        <w:tc>
          <w:tcPr>
            <w:tcW w:w="1121" w:type="pct"/>
            <w:vAlign w:val="center"/>
          </w:tcPr>
          <w:p>
            <w:pPr>
              <w:overflowPunct w:val="0"/>
              <w:autoSpaceDE w:val="0"/>
              <w:autoSpaceDN w:val="0"/>
              <w:spacing w:line="560" w:lineRule="exact"/>
              <w:ind w:firstLine="482" w:firstLineChars="200"/>
              <w:rPr>
                <w:rFonts w:hint="eastAsia" w:ascii="宋体" w:hAnsi="宋体" w:cs="宋体"/>
                <w:b/>
                <w:bCs/>
                <w:sz w:val="24"/>
                <w:szCs w:val="24"/>
              </w:rPr>
            </w:pPr>
            <w:r>
              <w:rPr>
                <w:rFonts w:hint="eastAsia" w:ascii="宋体" w:hAnsi="宋体" w:cs="宋体"/>
                <w:b/>
                <w:bCs/>
                <w:sz w:val="24"/>
                <w:szCs w:val="24"/>
              </w:rPr>
              <w:t>分值</w:t>
            </w:r>
          </w:p>
        </w:tc>
        <w:tc>
          <w:tcPr>
            <w:tcW w:w="987" w:type="pct"/>
            <w:vAlign w:val="center"/>
          </w:tcPr>
          <w:p>
            <w:pPr>
              <w:overflowPunct w:val="0"/>
              <w:autoSpaceDE w:val="0"/>
              <w:autoSpaceDN w:val="0"/>
              <w:spacing w:line="560" w:lineRule="exact"/>
              <w:ind w:firstLine="482" w:firstLineChars="200"/>
              <w:rPr>
                <w:rFonts w:hint="eastAsia" w:ascii="宋体" w:hAnsi="宋体" w:cs="宋体"/>
                <w:b/>
                <w:bCs/>
                <w:sz w:val="24"/>
                <w:szCs w:val="24"/>
              </w:rPr>
            </w:pPr>
            <w:r>
              <w:rPr>
                <w:rFonts w:hint="eastAsia" w:ascii="宋体" w:hAnsi="宋体" w:cs="宋体"/>
                <w:b/>
                <w:bCs/>
                <w:sz w:val="24"/>
                <w:szCs w:val="24"/>
              </w:rPr>
              <w:t>得分</w:t>
            </w:r>
          </w:p>
        </w:tc>
        <w:tc>
          <w:tcPr>
            <w:tcW w:w="1240" w:type="pct"/>
            <w:vAlign w:val="center"/>
          </w:tcPr>
          <w:p>
            <w:pPr>
              <w:overflowPunct w:val="0"/>
              <w:autoSpaceDE w:val="0"/>
              <w:autoSpaceDN w:val="0"/>
              <w:spacing w:line="560" w:lineRule="exact"/>
              <w:ind w:firstLine="482" w:firstLineChars="200"/>
              <w:rPr>
                <w:rFonts w:hint="eastAsia" w:ascii="宋体" w:hAnsi="宋体" w:cs="宋体"/>
                <w:b/>
                <w:bCs/>
                <w:sz w:val="24"/>
                <w:szCs w:val="24"/>
              </w:rPr>
            </w:pPr>
            <w:r>
              <w:rPr>
                <w:rFonts w:hint="eastAsia" w:ascii="宋体" w:hAnsi="宋体" w:cs="宋体"/>
                <w:b/>
                <w:bCs/>
                <w:sz w:val="24"/>
                <w:szCs w:val="24"/>
              </w:rPr>
              <w:t>得分率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4" w:hRule="atLeast"/>
        </w:trPr>
        <w:tc>
          <w:tcPr>
            <w:tcW w:w="165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决策管理</w:t>
            </w:r>
          </w:p>
        </w:tc>
        <w:tc>
          <w:tcPr>
            <w:tcW w:w="1121" w:type="pct"/>
            <w:vAlign w:val="center"/>
          </w:tcPr>
          <w:p>
            <w:pPr>
              <w:overflowPunct w:val="0"/>
              <w:autoSpaceDE w:val="0"/>
              <w:autoSpaceDN w:val="0"/>
              <w:spacing w:line="560" w:lineRule="exact"/>
              <w:ind w:firstLine="480" w:firstLineChars="200"/>
              <w:textAlignment w:val="center"/>
              <w:rPr>
                <w:rFonts w:hint="eastAsia" w:ascii="宋体" w:hAnsi="宋体" w:cs="宋体"/>
                <w:sz w:val="24"/>
                <w:szCs w:val="24"/>
                <w:lang w:bidi="ar"/>
              </w:rPr>
            </w:pPr>
            <w:r>
              <w:rPr>
                <w:rFonts w:hint="eastAsia" w:ascii="宋体" w:hAnsi="宋体" w:cs="宋体"/>
                <w:sz w:val="24"/>
                <w:szCs w:val="24"/>
                <w:lang w:bidi="ar"/>
              </w:rPr>
              <w:t>10.00</w:t>
            </w:r>
          </w:p>
        </w:tc>
        <w:tc>
          <w:tcPr>
            <w:tcW w:w="987" w:type="pct"/>
            <w:vAlign w:val="center"/>
          </w:tcPr>
          <w:p>
            <w:pPr>
              <w:overflowPunct w:val="0"/>
              <w:autoSpaceDE w:val="0"/>
              <w:autoSpaceDN w:val="0"/>
              <w:spacing w:line="560" w:lineRule="exact"/>
              <w:ind w:firstLine="480" w:firstLineChars="200"/>
              <w:textAlignment w:val="center"/>
              <w:rPr>
                <w:rFonts w:hint="eastAsia" w:ascii="宋体" w:hAnsi="宋体" w:cs="宋体"/>
                <w:sz w:val="24"/>
                <w:szCs w:val="24"/>
                <w:lang w:bidi="ar"/>
              </w:rPr>
            </w:pPr>
            <w:r>
              <w:rPr>
                <w:rFonts w:hint="eastAsia" w:ascii="宋体" w:hAnsi="宋体" w:cs="宋体"/>
                <w:sz w:val="24"/>
                <w:szCs w:val="24"/>
                <w:lang w:bidi="ar"/>
              </w:rPr>
              <w:t>10.00</w:t>
            </w:r>
          </w:p>
        </w:tc>
        <w:tc>
          <w:tcPr>
            <w:tcW w:w="124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lang w:bidi="ar"/>
              </w:rPr>
              <w:t>100.00%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4" w:hRule="atLeast"/>
        </w:trPr>
        <w:tc>
          <w:tcPr>
            <w:tcW w:w="165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项目购买与监管</w:t>
            </w:r>
          </w:p>
        </w:tc>
        <w:tc>
          <w:tcPr>
            <w:tcW w:w="1121"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20.00</w:t>
            </w:r>
          </w:p>
        </w:tc>
        <w:tc>
          <w:tcPr>
            <w:tcW w:w="987"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18.00</w:t>
            </w:r>
          </w:p>
        </w:tc>
        <w:tc>
          <w:tcPr>
            <w:tcW w:w="124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lang w:bidi="ar"/>
              </w:rPr>
              <w:t>90.00%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4" w:hRule="atLeast"/>
        </w:trPr>
        <w:tc>
          <w:tcPr>
            <w:tcW w:w="165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组织管理</w:t>
            </w:r>
          </w:p>
        </w:tc>
        <w:tc>
          <w:tcPr>
            <w:tcW w:w="1121"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10.00</w:t>
            </w:r>
          </w:p>
        </w:tc>
        <w:tc>
          <w:tcPr>
            <w:tcW w:w="987"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9.00</w:t>
            </w:r>
          </w:p>
        </w:tc>
        <w:tc>
          <w:tcPr>
            <w:tcW w:w="1240" w:type="pct"/>
            <w:vAlign w:val="center"/>
          </w:tcPr>
          <w:p>
            <w:pPr>
              <w:overflowPunct w:val="0"/>
              <w:autoSpaceDE w:val="0"/>
              <w:autoSpaceDN w:val="0"/>
              <w:spacing w:line="560" w:lineRule="exact"/>
              <w:ind w:firstLine="480" w:firstLineChars="200"/>
              <w:rPr>
                <w:rFonts w:hint="eastAsia" w:ascii="宋体" w:hAnsi="宋体" w:cs="宋体"/>
                <w:sz w:val="24"/>
                <w:szCs w:val="24"/>
                <w:lang w:bidi="ar"/>
              </w:rPr>
            </w:pPr>
            <w:r>
              <w:rPr>
                <w:rFonts w:hint="eastAsia" w:ascii="宋体" w:hAnsi="宋体" w:cs="宋体"/>
                <w:sz w:val="24"/>
                <w:szCs w:val="24"/>
                <w:lang w:bidi="ar"/>
              </w:rPr>
              <w:t>90.00%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44" w:hRule="atLeast"/>
        </w:trPr>
        <w:tc>
          <w:tcPr>
            <w:tcW w:w="165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项目绩效</w:t>
            </w:r>
          </w:p>
        </w:tc>
        <w:tc>
          <w:tcPr>
            <w:tcW w:w="1121"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60.00</w:t>
            </w:r>
          </w:p>
        </w:tc>
        <w:tc>
          <w:tcPr>
            <w:tcW w:w="987" w:type="pct"/>
            <w:vAlign w:val="center"/>
          </w:tcPr>
          <w:p>
            <w:pPr>
              <w:overflowPunct w:val="0"/>
              <w:autoSpaceDE w:val="0"/>
              <w:autoSpaceDN w:val="0"/>
              <w:spacing w:line="560" w:lineRule="exact"/>
              <w:ind w:firstLine="480" w:firstLineChars="200"/>
              <w:rPr>
                <w:rFonts w:hint="default" w:ascii="宋体" w:hAnsi="宋体" w:eastAsia="宋体" w:cs="宋体"/>
                <w:sz w:val="24"/>
                <w:szCs w:val="24"/>
                <w:lang w:val="en-US" w:eastAsia="zh-CN"/>
              </w:rPr>
            </w:pPr>
            <w:r>
              <w:rPr>
                <w:rFonts w:hint="eastAsia" w:ascii="宋体" w:hAnsi="宋体" w:cs="宋体"/>
                <w:sz w:val="24"/>
                <w:szCs w:val="24"/>
                <w:lang w:val="en-US" w:eastAsia="zh-CN"/>
              </w:rPr>
              <w:t>37.64</w:t>
            </w:r>
          </w:p>
        </w:tc>
        <w:tc>
          <w:tcPr>
            <w:tcW w:w="124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lang w:val="en-US" w:eastAsia="zh-CN" w:bidi="ar"/>
              </w:rPr>
              <w:t>62.73</w:t>
            </w:r>
            <w:r>
              <w:rPr>
                <w:rFonts w:hint="eastAsia" w:ascii="宋体" w:hAnsi="宋体" w:cs="宋体"/>
                <w:sz w:val="24"/>
                <w:szCs w:val="24"/>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3" w:hRule="atLeast"/>
        </w:trPr>
        <w:tc>
          <w:tcPr>
            <w:tcW w:w="165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合计</w:t>
            </w:r>
          </w:p>
        </w:tc>
        <w:tc>
          <w:tcPr>
            <w:tcW w:w="1121"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rPr>
              <w:t>100.00</w:t>
            </w:r>
          </w:p>
        </w:tc>
        <w:tc>
          <w:tcPr>
            <w:tcW w:w="987" w:type="pct"/>
            <w:vAlign w:val="center"/>
          </w:tcPr>
          <w:p>
            <w:pPr>
              <w:overflowPunct w:val="0"/>
              <w:autoSpaceDE w:val="0"/>
              <w:autoSpaceDN w:val="0"/>
              <w:spacing w:line="560" w:lineRule="exact"/>
              <w:ind w:firstLine="420" w:firstLineChars="175"/>
              <w:rPr>
                <w:rFonts w:hint="default" w:ascii="宋体" w:hAnsi="宋体" w:eastAsia="宋体" w:cs="宋体"/>
                <w:sz w:val="24"/>
                <w:szCs w:val="24"/>
                <w:lang w:val="en-US" w:eastAsia="zh-CN"/>
              </w:rPr>
            </w:pPr>
            <w:r>
              <w:rPr>
                <w:rFonts w:hint="eastAsia" w:ascii="宋体" w:hAnsi="宋体" w:cs="宋体"/>
                <w:sz w:val="24"/>
                <w:szCs w:val="24"/>
                <w:lang w:val="en-US" w:eastAsia="zh-CN"/>
              </w:rPr>
              <w:t>74.64</w:t>
            </w:r>
          </w:p>
        </w:tc>
        <w:tc>
          <w:tcPr>
            <w:tcW w:w="1240" w:type="pct"/>
            <w:vAlign w:val="center"/>
          </w:tcPr>
          <w:p>
            <w:pPr>
              <w:overflowPunct w:val="0"/>
              <w:autoSpaceDE w:val="0"/>
              <w:autoSpaceDN w:val="0"/>
              <w:spacing w:line="560" w:lineRule="exact"/>
              <w:ind w:firstLine="480" w:firstLineChars="200"/>
              <w:rPr>
                <w:rFonts w:hint="eastAsia" w:ascii="宋体" w:hAnsi="宋体" w:cs="宋体"/>
                <w:sz w:val="24"/>
                <w:szCs w:val="24"/>
              </w:rPr>
            </w:pPr>
            <w:r>
              <w:rPr>
                <w:rFonts w:hint="eastAsia" w:ascii="宋体" w:hAnsi="宋体" w:cs="宋体"/>
                <w:sz w:val="24"/>
                <w:szCs w:val="24"/>
                <w:lang w:val="en-US" w:eastAsia="zh-CN" w:bidi="ar"/>
              </w:rPr>
              <w:t>74.64</w:t>
            </w:r>
            <w:r>
              <w:rPr>
                <w:rFonts w:hint="eastAsia" w:ascii="宋体" w:hAnsi="宋体" w:cs="宋体"/>
                <w:sz w:val="24"/>
                <w:szCs w:val="24"/>
                <w:lang w:bidi="ar"/>
              </w:rPr>
              <w:t>%</w:t>
            </w:r>
          </w:p>
        </w:tc>
      </w:tr>
      <w:bookmarkEnd w:id="907"/>
      <w:bookmarkEnd w:id="908"/>
    </w:tbl>
    <w:p>
      <w:pPr>
        <w:pStyle w:val="2"/>
        <w:spacing w:before="240" w:beforeLines="100" w:after="0" w:line="560" w:lineRule="exact"/>
        <w:ind w:firstLine="640" w:firstLineChars="200"/>
        <w:rPr>
          <w:b w:val="0"/>
          <w:bCs w:val="0"/>
        </w:rPr>
      </w:pPr>
      <w:bookmarkStart w:id="995" w:name="_Toc9331"/>
      <w:bookmarkStart w:id="996" w:name="_Toc19357"/>
      <w:bookmarkStart w:id="997" w:name="_Toc15999"/>
      <w:bookmarkStart w:id="998" w:name="_Toc8177"/>
      <w:bookmarkStart w:id="999" w:name="_Toc2490"/>
      <w:bookmarkStart w:id="1000" w:name="_Toc16221"/>
      <w:bookmarkStart w:id="1001" w:name="_Toc12681"/>
      <w:bookmarkStart w:id="1002" w:name="_Toc31772"/>
      <w:bookmarkStart w:id="1003" w:name="_Toc5405"/>
      <w:bookmarkStart w:id="1004" w:name="_Toc26787"/>
      <w:bookmarkStart w:id="1005" w:name="_Toc8313"/>
      <w:bookmarkStart w:id="1006" w:name="_Toc8647"/>
      <w:bookmarkStart w:id="1007" w:name="_Toc9113"/>
      <w:bookmarkStart w:id="1008" w:name="_Toc24223"/>
      <w:bookmarkStart w:id="1009" w:name="_Toc17368"/>
      <w:bookmarkStart w:id="1010" w:name="_Toc23194"/>
      <w:bookmarkStart w:id="1011" w:name="_Toc10687"/>
      <w:r>
        <w:rPr>
          <w:rFonts w:hint="eastAsia"/>
          <w:b w:val="0"/>
          <w:bCs w:val="0"/>
        </w:rPr>
        <w:t>四、绩效指标分析情况</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Start w:id="1012" w:name="_Toc31282"/>
      <w:bookmarkStart w:id="1013" w:name="_Toc30415"/>
      <w:bookmarkStart w:id="1014" w:name="_Toc16025"/>
      <w:bookmarkStart w:id="1015" w:name="_Toc27299"/>
      <w:bookmarkStart w:id="1016" w:name="_Toc28789"/>
      <w:bookmarkStart w:id="1017" w:name="_Toc18809"/>
      <w:bookmarkStart w:id="1018" w:name="_Toc15525"/>
    </w:p>
    <w:p>
      <w:pPr>
        <w:pStyle w:val="3"/>
        <w:spacing w:before="0"/>
        <w:ind w:firstLine="643"/>
      </w:pPr>
      <w:bookmarkStart w:id="1019" w:name="_Toc29814"/>
      <w:bookmarkStart w:id="1020" w:name="_Toc21065"/>
      <w:bookmarkStart w:id="1021" w:name="_Toc31691"/>
      <w:bookmarkStart w:id="1022" w:name="_Toc15172"/>
      <w:bookmarkStart w:id="1023" w:name="_Toc29418"/>
      <w:bookmarkStart w:id="1024" w:name="_Toc7088"/>
      <w:bookmarkStart w:id="1025" w:name="_Toc17792"/>
      <w:bookmarkStart w:id="1026" w:name="_Toc22819"/>
      <w:bookmarkStart w:id="1027" w:name="_Toc18791"/>
      <w:bookmarkStart w:id="1028" w:name="_Toc14858"/>
      <w:bookmarkStart w:id="1029" w:name="_Toc6755"/>
      <w:r>
        <w:rPr>
          <w:rFonts w:hint="eastAsia"/>
        </w:rPr>
        <w:t>（一）决策管理情况</w:t>
      </w:r>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p>
    <w:p>
      <w:pPr>
        <w:tabs>
          <w:tab w:val="left" w:pos="1178"/>
        </w:tabs>
        <w:overflowPunct w:val="0"/>
        <w:autoSpaceDE w:val="0"/>
        <w:autoSpaceDN w:val="0"/>
        <w:spacing w:line="560" w:lineRule="exact"/>
        <w:ind w:firstLine="643" w:firstLineChars="200"/>
        <w:outlineLvl w:val="2"/>
        <w:rPr>
          <w:rFonts w:hint="eastAsia" w:ascii="楷体" w:hAnsi="楷体" w:eastAsia="楷体" w:cs="楷体"/>
          <w:b/>
          <w:bCs/>
          <w:sz w:val="32"/>
          <w:szCs w:val="32"/>
        </w:rPr>
      </w:pPr>
      <w:r>
        <w:rPr>
          <w:rFonts w:hint="eastAsia" w:ascii="楷体" w:hAnsi="楷体" w:eastAsia="楷体" w:cs="楷体"/>
          <w:b/>
          <w:bCs/>
          <w:sz w:val="32"/>
          <w:szCs w:val="32"/>
        </w:rPr>
        <w:t>1.项目依据（满分5.00分，评价得分5.00分）</w:t>
      </w:r>
    </w:p>
    <w:p>
      <w:pPr>
        <w:tabs>
          <w:tab w:val="left" w:pos="1173"/>
        </w:tabs>
        <w:spacing w:line="560" w:lineRule="exact"/>
        <w:ind w:firstLine="640" w:firstLineChars="200"/>
        <w:rPr>
          <w:rFonts w:hint="eastAsia" w:ascii="仿宋" w:hAnsi="仿宋" w:eastAsia="仿宋" w:cs="仿宋"/>
          <w:sz w:val="32"/>
          <w:szCs w:val="32"/>
        </w:rPr>
      </w:pPr>
      <w:bookmarkStart w:id="1030" w:name="_Toc1459"/>
      <w:bookmarkStart w:id="1031" w:name="_Toc22054"/>
      <w:r>
        <w:rPr>
          <w:rFonts w:hint="eastAsia" w:ascii="仿宋" w:hAnsi="仿宋" w:eastAsia="仿宋" w:cs="仿宋"/>
          <w:sz w:val="32"/>
          <w:szCs w:val="32"/>
        </w:rPr>
        <w:t>根据《遂宁市人民政府关于研究遂宁市主城区高速公路出入口城市形象提升有关工作的纪要》的规定及管委会的工作部署，遂宁自规局高新区分局作为规划行业的主管部门，在取得高新区党政办公会的批准后，基于遂宁市建设高品质城市道路的发展需求，针对城市规划与设计服务领域，遂宁自规高新区分局已将购买资格响应文件纳入政府采购项目计划并完成备案。项目预算经由本单位责任项目经办人员进行前期询价，并通过部门召开的定价会议确定。</w:t>
      </w:r>
      <w:r>
        <w:rPr>
          <w:rFonts w:hint="eastAsia" w:ascii="仿宋" w:hAnsi="仿宋" w:eastAsia="仿宋" w:cs="仿宋"/>
          <w:sz w:val="32"/>
          <w:szCs w:val="32"/>
          <w:lang w:val="zh-CN"/>
        </w:rPr>
        <w:t>于</w:t>
      </w:r>
      <w:r>
        <w:rPr>
          <w:rFonts w:hint="eastAsia" w:ascii="仿宋" w:hAnsi="仿宋" w:eastAsia="仿宋" w:cs="仿宋"/>
          <w:sz w:val="32"/>
          <w:szCs w:val="32"/>
        </w:rPr>
        <w:t>2022年启动项目编制招标工作项目完成后，将有助于实现遂宁高新区“科技高新”的总体定位。本项得5.00分。</w:t>
      </w:r>
    </w:p>
    <w:p>
      <w:pPr>
        <w:pStyle w:val="4"/>
        <w:spacing w:before="0" w:beforeLines="0"/>
        <w:ind w:firstLine="643"/>
        <w:rPr>
          <w:rFonts w:hint="eastAsia" w:ascii="楷体" w:hAnsi="楷体" w:cs="楷体"/>
        </w:rPr>
      </w:pPr>
      <w:r>
        <w:rPr>
          <w:rFonts w:hint="eastAsia" w:ascii="楷体" w:hAnsi="楷体" w:cs="楷体"/>
        </w:rPr>
        <w:t>2.绩效目标（满分5.00分，评价得分5.00分）</w:t>
      </w:r>
      <w:bookmarkEnd w:id="1030"/>
    </w:p>
    <w:bookmarkEnd w:id="1031"/>
    <w:p>
      <w:pPr>
        <w:overflowPunct w:val="0"/>
        <w:autoSpaceDE w:val="0"/>
        <w:autoSpaceDN w:val="0"/>
        <w:spacing w:line="560" w:lineRule="exact"/>
        <w:ind w:firstLine="640" w:firstLineChars="200"/>
        <w:rPr>
          <w:rFonts w:eastAsia="仿宋"/>
        </w:rPr>
      </w:pPr>
      <w:bookmarkStart w:id="1032" w:name="_Toc1796"/>
      <w:bookmarkStart w:id="1033" w:name="_Toc31688"/>
      <w:bookmarkStart w:id="1034" w:name="_Toc28145"/>
      <w:bookmarkStart w:id="1035" w:name="_Toc7436"/>
      <w:bookmarkStart w:id="1036" w:name="_Toc5799"/>
      <w:bookmarkStart w:id="1037" w:name="_Toc29910223"/>
      <w:bookmarkStart w:id="1038" w:name="_Toc30087654"/>
      <w:r>
        <w:rPr>
          <w:rFonts w:hint="eastAsia" w:ascii="仿宋" w:hAnsi="仿宋" w:eastAsia="仿宋" w:cs="Times New Roman"/>
          <w:kern w:val="0"/>
          <w:sz w:val="32"/>
          <w:szCs w:val="32"/>
        </w:rPr>
        <w:t>项目绩效目标设置清晰、明确，比如数量指标项目设计范围主要包括遂资眉高速出入口，黄龙路、中环线和健坤片区，规划设计面积约72.5公顷（约1088.5亩）。</w:t>
      </w:r>
    </w:p>
    <w:p>
      <w:pPr>
        <w:overflowPunct w:val="0"/>
        <w:autoSpaceDE w:val="0"/>
        <w:autoSpaceDN w:val="0"/>
        <w:spacing w:line="560" w:lineRule="exact"/>
        <w:ind w:firstLine="640" w:firstLineChars="200"/>
        <w:rPr>
          <w:rFonts w:hint="eastAsia" w:ascii="仿宋" w:hAnsi="仿宋" w:eastAsia="仿宋" w:cs="Times New Roman"/>
          <w:kern w:val="0"/>
          <w:sz w:val="32"/>
          <w:szCs w:val="32"/>
        </w:rPr>
      </w:pPr>
      <w:r>
        <w:rPr>
          <w:rFonts w:hint="eastAsia" w:ascii="仿宋" w:hAnsi="仿宋" w:eastAsia="仿宋" w:cs="Times New Roman"/>
          <w:kern w:val="0"/>
          <w:sz w:val="32"/>
          <w:szCs w:val="32"/>
        </w:rPr>
        <w:t>质量指标为全面贯彻落实筑“三城”兴“三都”，加速升腾“成渝之星”发展目标，聚焦“建设现代物流枢纽引领区、川渝毗邻地区高新产业集聚区”目标定位≥98%。</w:t>
      </w:r>
    </w:p>
    <w:p>
      <w:pPr>
        <w:overflowPunct w:val="0"/>
        <w:autoSpaceDE w:val="0"/>
        <w:autoSpaceDN w:val="0"/>
        <w:spacing w:line="560" w:lineRule="exact"/>
        <w:ind w:firstLine="640" w:firstLineChars="200"/>
        <w:rPr>
          <w:rFonts w:hint="eastAsia" w:ascii="仿宋" w:hAnsi="仿宋" w:eastAsia="仿宋" w:cs="Times New Roman"/>
          <w:kern w:val="0"/>
          <w:sz w:val="32"/>
          <w:szCs w:val="32"/>
        </w:rPr>
      </w:pPr>
      <w:r>
        <w:rPr>
          <w:rFonts w:hint="eastAsia" w:ascii="仿宋" w:hAnsi="仿宋" w:eastAsia="仿宋" w:cs="Times New Roman"/>
          <w:kern w:val="0"/>
          <w:sz w:val="32"/>
          <w:szCs w:val="32"/>
        </w:rPr>
        <w:t>时效指标设置出具设计方案及时率≥98%，</w:t>
      </w:r>
      <w:r>
        <w:rPr>
          <w:rFonts w:ascii="仿宋" w:hAnsi="仿宋" w:eastAsia="仿宋" w:cs="Times New Roman"/>
          <w:kern w:val="0"/>
          <w:sz w:val="32"/>
          <w:szCs w:val="32"/>
        </w:rPr>
        <w:t>因黄龙路纳入全市示范道路建设，现设计方案中已取消黄龙路相关设计内容目前项目设计成果已修改完善</w:t>
      </w:r>
      <w:r>
        <w:rPr>
          <w:rFonts w:hint="eastAsia" w:ascii="仿宋" w:hAnsi="仿宋" w:eastAsia="仿宋" w:cs="Times New Roman"/>
          <w:kern w:val="0"/>
          <w:sz w:val="32"/>
          <w:szCs w:val="32"/>
        </w:rPr>
        <w:t>中，未能及时出具设计方案。本项得5.00分。</w:t>
      </w:r>
    </w:p>
    <w:p>
      <w:pPr>
        <w:overflowPunct w:val="0"/>
        <w:autoSpaceDE w:val="0"/>
        <w:autoSpaceDN w:val="0"/>
        <w:spacing w:line="560" w:lineRule="exact"/>
        <w:ind w:firstLine="640" w:firstLineChars="200"/>
        <w:rPr>
          <w:rFonts w:hint="eastAsia" w:ascii="仿宋" w:hAnsi="仿宋" w:eastAsia="仿宋" w:cs="Times New Roman"/>
          <w:kern w:val="0"/>
          <w:sz w:val="32"/>
          <w:szCs w:val="32"/>
        </w:rPr>
      </w:pPr>
      <w:bookmarkStart w:id="1039" w:name="_Toc1863"/>
      <w:bookmarkStart w:id="1040" w:name="_Toc12677"/>
      <w:bookmarkStart w:id="1041" w:name="_Toc21727"/>
      <w:bookmarkStart w:id="1042" w:name="_Toc6964"/>
      <w:bookmarkStart w:id="1043" w:name="_Toc5839"/>
      <w:bookmarkStart w:id="1044" w:name="_Toc21870"/>
      <w:r>
        <w:rPr>
          <w:rFonts w:hint="eastAsia" w:ascii="仿宋" w:hAnsi="仿宋" w:eastAsia="仿宋" w:cs="Times New Roman"/>
          <w:kern w:val="0"/>
          <w:sz w:val="32"/>
          <w:szCs w:val="32"/>
        </w:rPr>
        <w:t>综上所述，决策管理部分满分10.00分，评价得分10.00分。</w:t>
      </w:r>
    </w:p>
    <w:p>
      <w:pPr>
        <w:pStyle w:val="3"/>
        <w:keepLines w:val="0"/>
        <w:overflowPunct w:val="0"/>
        <w:autoSpaceDE w:val="0"/>
        <w:autoSpaceDN w:val="0"/>
        <w:spacing w:before="0"/>
        <w:ind w:firstLine="643"/>
      </w:pPr>
      <w:bookmarkStart w:id="1045" w:name="_Toc31260"/>
      <w:bookmarkStart w:id="1046" w:name="_Toc23464"/>
      <w:bookmarkStart w:id="1047" w:name="_Toc27150"/>
      <w:bookmarkStart w:id="1048" w:name="_Toc8296"/>
      <w:bookmarkStart w:id="1049" w:name="_Toc3623"/>
      <w:bookmarkStart w:id="1050" w:name="_Toc32032"/>
      <w:bookmarkStart w:id="1051" w:name="_Toc5976"/>
      <w:r>
        <w:rPr>
          <w:rFonts w:hint="eastAsia"/>
        </w:rPr>
        <w:t>（二）</w:t>
      </w:r>
      <w:bookmarkEnd w:id="1032"/>
      <w:bookmarkEnd w:id="1033"/>
      <w:bookmarkEnd w:id="1034"/>
      <w:bookmarkEnd w:id="1035"/>
      <w:bookmarkEnd w:id="1036"/>
      <w:r>
        <w:rPr>
          <w:rFonts w:hint="eastAsia"/>
        </w:rPr>
        <w:t>项目购买与监管</w:t>
      </w:r>
      <w:bookmarkEnd w:id="1039"/>
      <w:bookmarkEnd w:id="1040"/>
      <w:bookmarkEnd w:id="1041"/>
      <w:bookmarkEnd w:id="1042"/>
      <w:bookmarkEnd w:id="1043"/>
      <w:bookmarkEnd w:id="1044"/>
      <w:bookmarkEnd w:id="1045"/>
      <w:bookmarkEnd w:id="1046"/>
      <w:bookmarkEnd w:id="1047"/>
      <w:bookmarkEnd w:id="1048"/>
      <w:bookmarkEnd w:id="1049"/>
      <w:bookmarkEnd w:id="1050"/>
      <w:bookmarkEnd w:id="1051"/>
    </w:p>
    <w:p>
      <w:pPr>
        <w:pStyle w:val="4"/>
        <w:spacing w:before="0" w:beforeLines="0"/>
        <w:ind w:firstLine="643"/>
        <w:rPr>
          <w:rFonts w:hint="eastAsia" w:ascii="楷体" w:hAnsi="楷体" w:cs="楷体"/>
        </w:rPr>
      </w:pPr>
      <w:bookmarkStart w:id="1052" w:name="_Toc26284"/>
      <w:r>
        <w:rPr>
          <w:rFonts w:hint="eastAsia" w:ascii="楷体" w:hAnsi="楷体" w:cs="楷体"/>
        </w:rPr>
        <w:t>1.项目管理（满分15.00分，评价得分15.00分）</w:t>
      </w:r>
      <w:bookmarkEnd w:id="1052"/>
    </w:p>
    <w:p>
      <w:pPr>
        <w:pStyle w:val="14"/>
        <w:widowControl/>
        <w:spacing w:beforeAutospacing="0" w:after="0" w:afterAutospacing="0" w:line="560" w:lineRule="exact"/>
        <w:ind w:firstLine="640" w:firstLineChars="200"/>
        <w:jc w:val="both"/>
        <w:rPr>
          <w:rFonts w:hint="eastAsia" w:ascii="仿宋" w:hAnsi="仿宋" w:eastAsia="仿宋" w:cs="仿宋"/>
          <w:kern w:val="2"/>
          <w:sz w:val="32"/>
          <w:szCs w:val="32"/>
        </w:rPr>
      </w:pPr>
      <w:bookmarkStart w:id="1053" w:name="_Toc16960"/>
      <w:r>
        <w:rPr>
          <w:rFonts w:hint="eastAsia" w:ascii="仿宋" w:hAnsi="仿宋" w:eastAsia="仿宋" w:cs="仿宋"/>
          <w:sz w:val="32"/>
          <w:szCs w:val="32"/>
        </w:rPr>
        <w:t>为规范各个业务环节的管理，参照《遂宁高新区党政办公室关于印发</w:t>
      </w:r>
      <w:r>
        <w:rPr>
          <w:rFonts w:hint="eastAsia" w:ascii="仿宋" w:hAnsi="仿宋" w:eastAsia="仿宋" w:cs="仿宋"/>
          <w:sz w:val="32"/>
          <w:szCs w:val="32"/>
          <w:lang w:eastAsia="zh-CN"/>
        </w:rPr>
        <w:t>〈</w:t>
      </w:r>
      <w:r>
        <w:rPr>
          <w:rFonts w:hint="eastAsia" w:ascii="仿宋" w:hAnsi="仿宋" w:eastAsia="仿宋" w:cs="仿宋"/>
          <w:sz w:val="32"/>
          <w:szCs w:val="32"/>
        </w:rPr>
        <w:t>机关财务管理制度（试行）</w:t>
      </w:r>
      <w:r>
        <w:rPr>
          <w:rFonts w:hint="eastAsia" w:ascii="仿宋" w:hAnsi="仿宋" w:eastAsia="仿宋" w:cs="仿宋"/>
          <w:sz w:val="32"/>
          <w:szCs w:val="32"/>
          <w:lang w:eastAsia="zh-CN"/>
        </w:rPr>
        <w:t>〉</w:t>
      </w:r>
      <w:r>
        <w:rPr>
          <w:rFonts w:hint="eastAsia" w:ascii="仿宋" w:hAnsi="仿宋" w:eastAsia="仿宋" w:cs="仿宋"/>
          <w:sz w:val="32"/>
          <w:szCs w:val="32"/>
        </w:rPr>
        <w:t>的通知》（遂高办〔2021〕269号）、《遂宁高新区财政性资金使用管理暂行办法（试行）》的通知（遂高办〔2021〕270号）、《遂宁市自然资源和规划局高新技术产业园区分局政府采购内部控制管理制度》</w:t>
      </w:r>
      <w:r>
        <w:rPr>
          <w:rFonts w:hint="eastAsia" w:ascii="仿宋" w:hAnsi="仿宋" w:eastAsia="仿宋" w:cs="仿宋"/>
          <w:kern w:val="2"/>
          <w:sz w:val="32"/>
          <w:szCs w:val="32"/>
        </w:rPr>
        <w:t>《遂宁市建设项目设计方案审度管理规定》（遂规发〔2015〕12号）等相关文件。</w:t>
      </w:r>
    </w:p>
    <w:p>
      <w:pPr>
        <w:spacing w:line="560" w:lineRule="exact"/>
        <w:ind w:firstLine="640" w:firstLineChars="200"/>
        <w:rPr>
          <w:rFonts w:hint="eastAsia" w:ascii="仿宋" w:hAnsi="仿宋" w:cs="仿宋"/>
          <w:sz w:val="32"/>
          <w:szCs w:val="32"/>
        </w:rPr>
      </w:pPr>
      <w:r>
        <w:rPr>
          <w:rFonts w:hint="eastAsia" w:ascii="仿宋" w:hAnsi="仿宋" w:eastAsia="仿宋" w:cs="仿宋"/>
          <w:sz w:val="32"/>
          <w:szCs w:val="32"/>
        </w:rPr>
        <w:t>遂宁西高速出入口收费站，打造高新科技之门，助力实现“科技高新”的遂宁高新区总体定位，中标后立即实施项目。购买需求明确完整、合规。项目预算根据设计任务内容由</w:t>
      </w:r>
      <w:r>
        <w:rPr>
          <w:rFonts w:hint="eastAsia" w:ascii="仿宋" w:hAnsi="仿宋" w:eastAsia="仿宋" w:cs="Times New Roman"/>
          <w:kern w:val="0"/>
          <w:sz w:val="32"/>
          <w:szCs w:val="32"/>
        </w:rPr>
        <w:t>遂宁市自规局高新分局负责该项目的经办人员</w:t>
      </w:r>
      <w:r>
        <w:rPr>
          <w:rFonts w:hint="eastAsia" w:ascii="仿宋" w:hAnsi="仿宋" w:eastAsia="仿宋" w:cs="仿宋"/>
          <w:sz w:val="32"/>
          <w:szCs w:val="32"/>
        </w:rPr>
        <w:t>前期询价和召集部门召开定价会方式确定；该项目以询价最低价为预算金额121.00万元，经过认真测算比较在合理区间，遂宁高新区（遂宁西）高速公路出入口黄龙路景观及站房设计方案竞争性磋商采购公告于</w:t>
      </w:r>
      <w:r>
        <w:rPr>
          <w:rFonts w:hint="eastAsia" w:ascii="仿宋" w:hAnsi="仿宋" w:eastAsia="仿宋" w:cs="仿宋"/>
          <w:sz w:val="32"/>
          <w:szCs w:val="32"/>
          <w:lang w:val="en-US" w:eastAsia="zh-CN"/>
        </w:rPr>
        <w:t>2021</w:t>
      </w:r>
      <w:r>
        <w:rPr>
          <w:rFonts w:hint="eastAsia" w:ascii="仿宋" w:hAnsi="仿宋" w:eastAsia="仿宋" w:cs="仿宋"/>
          <w:sz w:val="32"/>
          <w:szCs w:val="32"/>
        </w:rPr>
        <w:t>年11月29日在四川政府采购网发布（采购编号：510901202100359）邀请供应商参加采购活动，获取磋商文件的供应商有三家单位，由代理机构主持招标。经磋商小组与供应商磋商、评审后，根据政府采购相关规定和竞争性磋商文件要求，确定项目成交单位并出具确认函。购买程序规范。并签订技术服务合同金额为118.00万元，并签订技术服务合同，合同内容规范、合理、公平、完备、详实，合同内容约定了项目实施后应实现的绩效目标，约定履约验收标准，履约验收结果与资金支付挂钩。本项得分15.00分</w:t>
      </w:r>
      <w:r>
        <w:rPr>
          <w:rFonts w:hint="eastAsia" w:ascii="仿宋" w:hAnsi="仿宋" w:eastAsia="仿宋" w:cs="Times New Roman"/>
          <w:kern w:val="0"/>
          <w:sz w:val="32"/>
          <w:szCs w:val="32"/>
        </w:rPr>
        <w:t>。</w:t>
      </w:r>
    </w:p>
    <w:p>
      <w:pPr>
        <w:pStyle w:val="4"/>
        <w:spacing w:before="0" w:beforeLines="0"/>
        <w:ind w:firstLine="643"/>
      </w:pPr>
      <w:r>
        <w:rPr>
          <w:rFonts w:hint="eastAsia" w:ascii="楷体" w:hAnsi="楷体" w:cs="楷体"/>
        </w:rPr>
        <w:t>2.资金管理（满分2.00分，评价得分1.00分）</w:t>
      </w:r>
      <w:bookmarkEnd w:id="1053"/>
    </w:p>
    <w:p>
      <w:pPr>
        <w:pStyle w:val="14"/>
        <w:widowControl/>
        <w:spacing w:beforeAutospacing="0" w:after="0" w:afterAutospacing="0" w:line="560" w:lineRule="exact"/>
        <w:ind w:firstLine="640" w:firstLineChars="200"/>
        <w:jc w:val="both"/>
        <w:rPr>
          <w:rFonts w:hint="eastAsia" w:ascii="仿宋" w:hAnsi="仿宋" w:eastAsia="仿宋"/>
          <w:sz w:val="32"/>
          <w:szCs w:val="32"/>
        </w:rPr>
      </w:pPr>
      <w:r>
        <w:rPr>
          <w:rFonts w:hint="eastAsia" w:ascii="仿宋" w:hAnsi="仿宋" w:eastAsia="仿宋" w:cs="仿宋"/>
          <w:kern w:val="2"/>
          <w:sz w:val="32"/>
          <w:szCs w:val="32"/>
        </w:rPr>
        <w:t>遂宁高新区自规局</w:t>
      </w:r>
      <w:r>
        <w:rPr>
          <w:rFonts w:ascii="仿宋" w:hAnsi="仿宋" w:eastAsia="仿宋" w:cs="仿宋"/>
          <w:kern w:val="2"/>
          <w:sz w:val="32"/>
          <w:szCs w:val="32"/>
        </w:rPr>
        <w:t>建立健全资金管理制度，实行专款专用，确保资金安全。加强资金监管，定期进行财务审计，确保资金使用合规、高效。</w:t>
      </w:r>
      <w:r>
        <w:rPr>
          <w:rFonts w:hint="eastAsia" w:ascii="仿宋" w:hAnsi="仿宋" w:eastAsia="仿宋" w:cs="仿宋"/>
          <w:kern w:val="2"/>
          <w:sz w:val="32"/>
          <w:szCs w:val="32"/>
        </w:rPr>
        <w:t>项目资金支付进度按照合同签订后7个工作日内支付第一笔资金，超过30日支付资金。有拖欠资金现象。因本项目尚未完成最终审定和备案，暂未支付合同金额的剩余50.00%，即59.00万元。本项得1.00分</w:t>
      </w:r>
      <w:bookmarkStart w:id="1054" w:name="_Toc28060"/>
      <w:r>
        <w:rPr>
          <w:rFonts w:hint="eastAsia" w:ascii="仿宋" w:hAnsi="仿宋" w:eastAsia="仿宋"/>
          <w:sz w:val="32"/>
          <w:szCs w:val="32"/>
        </w:rPr>
        <w:t>。</w:t>
      </w:r>
    </w:p>
    <w:p>
      <w:pPr>
        <w:pStyle w:val="4"/>
        <w:spacing w:before="0" w:beforeLines="0"/>
        <w:ind w:firstLine="643"/>
        <w:rPr>
          <w:rFonts w:hint="eastAsia" w:ascii="楷体" w:hAnsi="楷体" w:cs="楷体"/>
        </w:rPr>
      </w:pPr>
      <w:r>
        <w:rPr>
          <w:rFonts w:hint="eastAsia" w:ascii="楷体" w:hAnsi="楷体" w:cs="楷体"/>
        </w:rPr>
        <w:t>3.项目监管（满分3.00分，评价得分2.00分）</w:t>
      </w:r>
      <w:bookmarkEnd w:id="1054"/>
    </w:p>
    <w:p>
      <w:pPr>
        <w:pStyle w:val="14"/>
        <w:widowControl/>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在项目执行过程中，对承担主体所提供的服务数量、质量情况进行监管，实施全过程均由管委会审查把关，由于项目因需重新设计，新的设计方案通过市专业委员会的第九次审查，目前正处于修改与完善阶段。然而，项目监管的相关记录存在缺失，未能满足规定要求履约验收。本项得2.00分。</w:t>
      </w:r>
    </w:p>
    <w:p>
      <w:pPr>
        <w:pStyle w:val="14"/>
        <w:widowControl/>
        <w:spacing w:beforeAutospacing="0" w:after="0" w:afterAutospacing="0" w:line="560" w:lineRule="exact"/>
        <w:ind w:firstLine="640" w:firstLineChars="200"/>
        <w:jc w:val="both"/>
        <w:rPr>
          <w:rFonts w:hint="eastAsia" w:ascii="仿宋" w:hAnsi="仿宋" w:eastAsia="仿宋" w:cs="仿宋"/>
          <w:kern w:val="2"/>
          <w:sz w:val="32"/>
          <w:szCs w:val="32"/>
        </w:rPr>
      </w:pPr>
      <w:r>
        <w:rPr>
          <w:rFonts w:hint="eastAsia" w:ascii="仿宋" w:hAnsi="仿宋" w:eastAsia="仿宋" w:cs="仿宋"/>
          <w:kern w:val="2"/>
          <w:sz w:val="32"/>
          <w:szCs w:val="32"/>
        </w:rPr>
        <w:t>综上所述，项目购买与监管部分满分20分，评价得分18.00分。</w:t>
      </w:r>
    </w:p>
    <w:p>
      <w:pPr>
        <w:pStyle w:val="3"/>
        <w:spacing w:before="0"/>
        <w:ind w:firstLine="643"/>
      </w:pPr>
      <w:bookmarkStart w:id="1055" w:name="_Toc11030"/>
      <w:bookmarkStart w:id="1056" w:name="_Toc21783"/>
      <w:bookmarkStart w:id="1057" w:name="_Toc10797"/>
      <w:bookmarkStart w:id="1058" w:name="_Toc32180"/>
      <w:bookmarkStart w:id="1059" w:name="_Toc30753"/>
      <w:bookmarkStart w:id="1060" w:name="_Toc15276"/>
      <w:bookmarkStart w:id="1061" w:name="_Toc4848"/>
      <w:bookmarkStart w:id="1062" w:name="_Toc8291"/>
      <w:bookmarkStart w:id="1063" w:name="_Toc31104"/>
      <w:bookmarkStart w:id="1064" w:name="_Toc19885"/>
      <w:bookmarkStart w:id="1065" w:name="_Toc12532"/>
      <w:bookmarkStart w:id="1066" w:name="_Toc14383"/>
      <w:r>
        <w:rPr>
          <w:rFonts w:hint="eastAsia"/>
        </w:rPr>
        <w:t>（三）组织管理</w:t>
      </w:r>
      <w:bookmarkEnd w:id="1055"/>
      <w:bookmarkEnd w:id="1056"/>
      <w:bookmarkEnd w:id="1057"/>
      <w:bookmarkEnd w:id="1058"/>
      <w:bookmarkEnd w:id="1059"/>
      <w:bookmarkEnd w:id="1060"/>
      <w:bookmarkEnd w:id="1061"/>
      <w:bookmarkEnd w:id="1062"/>
      <w:bookmarkEnd w:id="1063"/>
      <w:bookmarkEnd w:id="1064"/>
      <w:bookmarkEnd w:id="1065"/>
      <w:bookmarkEnd w:id="1066"/>
    </w:p>
    <w:p>
      <w:pPr>
        <w:pStyle w:val="4"/>
        <w:spacing w:before="0" w:beforeLines="0"/>
        <w:ind w:firstLine="643"/>
        <w:rPr>
          <w:rFonts w:hint="eastAsia" w:ascii="楷体" w:hAnsi="楷体" w:cs="楷体"/>
        </w:rPr>
      </w:pPr>
      <w:r>
        <w:rPr>
          <w:rFonts w:hint="eastAsia" w:ascii="楷体" w:hAnsi="楷体" w:cs="楷体"/>
        </w:rPr>
        <w:t>1.项目实施（满分10.00分，评价得分9.00分）</w:t>
      </w:r>
    </w:p>
    <w:p>
      <w:pPr>
        <w:spacing w:line="560" w:lineRule="exact"/>
        <w:ind w:firstLine="640" w:firstLineChars="200"/>
        <w:rPr>
          <w:rFonts w:hint="eastAsia" w:ascii="仿宋" w:hAnsi="仿宋" w:eastAsia="仿宋" w:cs="仿宋_GB2312"/>
          <w:sz w:val="32"/>
          <w:szCs w:val="32"/>
        </w:rPr>
      </w:pPr>
      <w:r>
        <w:rPr>
          <w:rFonts w:hint="eastAsia" w:ascii="仿宋" w:hAnsi="仿宋" w:eastAsia="仿宋" w:cs="仿宋_GB2312"/>
          <w:sz w:val="32"/>
          <w:szCs w:val="32"/>
        </w:rPr>
        <w:t>本项目承接主体是</w:t>
      </w:r>
      <w:r>
        <w:rPr>
          <w:rFonts w:ascii="仿宋" w:hAnsi="仿宋" w:eastAsia="仿宋" w:cs="仿宋_GB2312"/>
          <w:sz w:val="32"/>
          <w:szCs w:val="32"/>
        </w:rPr>
        <w:t>华诚博远工程技术集团有限公司是一家集工程咨询、设计、施工、监理、项目管理于一体的综合性集团公司</w:t>
      </w:r>
      <w:r>
        <w:rPr>
          <w:rFonts w:hint="eastAsia" w:ascii="仿宋" w:hAnsi="仿宋" w:eastAsia="仿宋" w:cs="仿宋_GB2312"/>
          <w:sz w:val="32"/>
          <w:szCs w:val="32"/>
        </w:rPr>
        <w:t>.具有</w:t>
      </w:r>
      <w:r>
        <w:rPr>
          <w:rFonts w:ascii="仿宋" w:hAnsi="仿宋" w:eastAsia="仿宋" w:cs="仿宋_GB2312"/>
          <w:sz w:val="32"/>
          <w:szCs w:val="32"/>
        </w:rPr>
        <w:t>建筑行业甲级资质</w:t>
      </w:r>
      <w:r>
        <w:rPr>
          <w:rFonts w:hint="eastAsia" w:ascii="仿宋" w:hAnsi="仿宋" w:eastAsia="仿宋" w:cs="仿宋_GB2312"/>
          <w:sz w:val="32"/>
          <w:szCs w:val="32"/>
        </w:rPr>
        <w:t>，</w:t>
      </w:r>
      <w:r>
        <w:rPr>
          <w:rFonts w:ascii="仿宋" w:hAnsi="仿宋" w:eastAsia="仿宋" w:cs="仿宋_GB2312"/>
          <w:sz w:val="32"/>
          <w:szCs w:val="32"/>
        </w:rPr>
        <w:t>城乡规划编制甲级资质</w:t>
      </w:r>
      <w:r>
        <w:rPr>
          <w:rFonts w:hint="eastAsia" w:ascii="仿宋" w:hAnsi="仿宋" w:eastAsia="仿宋" w:cs="仿宋_GB2312"/>
          <w:sz w:val="32"/>
          <w:szCs w:val="32"/>
        </w:rPr>
        <w:t>、</w:t>
      </w:r>
      <w:r>
        <w:rPr>
          <w:rFonts w:ascii="仿宋" w:hAnsi="仿宋" w:eastAsia="仿宋" w:cs="仿宋_GB2312"/>
          <w:sz w:val="32"/>
          <w:szCs w:val="32"/>
        </w:rPr>
        <w:t>风景园林工程设计专项甲级资质</w:t>
      </w:r>
      <w:r>
        <w:rPr>
          <w:rFonts w:hint="eastAsia" w:ascii="仿宋" w:hAnsi="仿宋" w:eastAsia="仿宋" w:cs="仿宋_GB2312"/>
          <w:sz w:val="32"/>
          <w:szCs w:val="32"/>
        </w:rPr>
        <w:t>、</w:t>
      </w:r>
      <w:r>
        <w:rPr>
          <w:rFonts w:ascii="仿宋" w:hAnsi="仿宋" w:eastAsia="仿宋" w:cs="仿宋_GB2312"/>
          <w:sz w:val="32"/>
          <w:szCs w:val="32"/>
        </w:rPr>
        <w:t>市政行业乙级资质</w:t>
      </w:r>
      <w:r>
        <w:rPr>
          <w:rFonts w:hint="eastAsia" w:ascii="仿宋" w:hAnsi="仿宋" w:eastAsia="仿宋" w:cs="仿宋_GB2312"/>
          <w:sz w:val="32"/>
          <w:szCs w:val="32"/>
        </w:rPr>
        <w:t>等多项</w:t>
      </w:r>
      <w:r>
        <w:rPr>
          <w:rFonts w:ascii="仿宋" w:hAnsi="仿宋" w:eastAsia="仿宋" w:cs="仿宋_GB2312"/>
          <w:sz w:val="32"/>
          <w:szCs w:val="32"/>
        </w:rPr>
        <w:t>重要资质</w:t>
      </w:r>
      <w:r>
        <w:rPr>
          <w:rFonts w:hint="eastAsia" w:ascii="仿宋" w:hAnsi="仿宋" w:eastAsia="仿宋" w:cs="仿宋_GB2312"/>
          <w:sz w:val="32"/>
          <w:szCs w:val="32"/>
        </w:rPr>
        <w:t>。承接主体能及时响应遂宁市自规局高新区分局要求，</w:t>
      </w:r>
      <w:r>
        <w:rPr>
          <w:rFonts w:ascii="仿宋" w:hAnsi="仿宋" w:eastAsia="仿宋" w:cs="仿宋_GB2312"/>
          <w:sz w:val="32"/>
          <w:szCs w:val="32"/>
        </w:rPr>
        <w:t>成立项目领导小组，明确职责分工，确保项目顺利推进成立项目领导小组</w:t>
      </w:r>
      <w:r>
        <w:rPr>
          <w:rFonts w:hint="eastAsia" w:ascii="仿宋" w:hAnsi="仿宋" w:eastAsia="仿宋" w:cs="仿宋_GB2312"/>
          <w:sz w:val="32"/>
          <w:szCs w:val="32"/>
        </w:rPr>
        <w:t>，</w:t>
      </w:r>
      <w:r>
        <w:rPr>
          <w:rFonts w:ascii="仿宋" w:hAnsi="仿宋" w:eastAsia="仿宋" w:cs="仿宋_GB2312"/>
          <w:sz w:val="32"/>
          <w:szCs w:val="32"/>
        </w:rPr>
        <w:t>制定项目管理制度，加强项目过程监管，确保服务质量按照项目规划，分阶段实施，确保服务提供及时、有效加强与服务提供方的沟通协调，及时解决项目实施过程中遇到的问题。</w:t>
      </w:r>
      <w:r>
        <w:rPr>
          <w:rFonts w:hint="eastAsia" w:ascii="仿宋" w:hAnsi="仿宋" w:eastAsia="仿宋" w:cs="仿宋_GB2312"/>
          <w:sz w:val="32"/>
          <w:szCs w:val="32"/>
        </w:rPr>
        <w:t>项目实施过程中，因本项目重新设计存在实际痕迹管理、档案资料不规范不齐备。本项得分9.00分。</w:t>
      </w:r>
    </w:p>
    <w:p>
      <w:pPr>
        <w:spacing w:line="560" w:lineRule="exact"/>
        <w:ind w:firstLine="640" w:firstLineChars="200"/>
        <w:rPr>
          <w:rFonts w:hint="eastAsia" w:ascii="仿宋" w:hAnsi="仿宋" w:eastAsia="仿宋" w:cs="仿宋_GB2312"/>
          <w:sz w:val="32"/>
          <w:szCs w:val="32"/>
        </w:rPr>
      </w:pPr>
      <w:r>
        <w:rPr>
          <w:rFonts w:hint="eastAsia" w:ascii="仿宋" w:hAnsi="仿宋" w:eastAsia="仿宋" w:cs="仿宋_GB2312"/>
          <w:sz w:val="32"/>
          <w:szCs w:val="32"/>
        </w:rPr>
        <w:t>综上所述，组织管理部分满分10分，评价得分9.00分。</w:t>
      </w:r>
    </w:p>
    <w:bookmarkEnd w:id="1037"/>
    <w:bookmarkEnd w:id="1038"/>
    <w:p>
      <w:pPr>
        <w:pStyle w:val="3"/>
        <w:spacing w:before="0"/>
        <w:ind w:firstLine="643"/>
      </w:pPr>
      <w:bookmarkStart w:id="1067" w:name="_Toc15090"/>
      <w:bookmarkStart w:id="1068" w:name="_Toc20500"/>
      <w:bookmarkStart w:id="1069" w:name="_Toc1628"/>
      <w:bookmarkStart w:id="1070" w:name="_Toc23890"/>
      <w:bookmarkStart w:id="1071" w:name="_Toc7676"/>
      <w:bookmarkStart w:id="1072" w:name="_Toc16428"/>
      <w:bookmarkStart w:id="1073" w:name="_Toc31015"/>
      <w:bookmarkStart w:id="1074" w:name="_Toc15912"/>
      <w:bookmarkStart w:id="1075" w:name="_Toc2467"/>
      <w:bookmarkStart w:id="1076" w:name="_Toc5425"/>
      <w:bookmarkStart w:id="1077" w:name="_Toc4662"/>
      <w:bookmarkStart w:id="1078" w:name="_Toc18437"/>
      <w:bookmarkStart w:id="1079" w:name="_Toc4046"/>
      <w:bookmarkStart w:id="1080" w:name="_Toc14851"/>
      <w:bookmarkStart w:id="1081" w:name="_Toc10965"/>
      <w:bookmarkStart w:id="1082" w:name="_Toc6549"/>
      <w:bookmarkStart w:id="1083" w:name="_Toc30691"/>
      <w:r>
        <w:rPr>
          <w:rFonts w:hint="eastAsia"/>
        </w:rPr>
        <w:t>（四）项目</w:t>
      </w:r>
      <w:bookmarkEnd w:id="1067"/>
      <w:bookmarkEnd w:id="1068"/>
      <w:bookmarkEnd w:id="1069"/>
      <w:bookmarkEnd w:id="1070"/>
      <w:bookmarkEnd w:id="1071"/>
      <w:r>
        <w:rPr>
          <w:rFonts w:hint="eastAsia"/>
        </w:rPr>
        <w:t>绩效</w:t>
      </w:r>
      <w:bookmarkEnd w:id="1072"/>
      <w:bookmarkEnd w:id="1073"/>
      <w:bookmarkEnd w:id="1074"/>
      <w:bookmarkEnd w:id="1075"/>
      <w:bookmarkEnd w:id="1076"/>
      <w:bookmarkEnd w:id="1077"/>
      <w:bookmarkEnd w:id="1078"/>
      <w:bookmarkEnd w:id="1079"/>
      <w:bookmarkEnd w:id="1080"/>
      <w:bookmarkEnd w:id="1081"/>
      <w:bookmarkEnd w:id="1082"/>
      <w:bookmarkEnd w:id="1083"/>
    </w:p>
    <w:p>
      <w:pPr>
        <w:overflowPunct w:val="0"/>
        <w:autoSpaceDE w:val="0"/>
        <w:autoSpaceDN w:val="0"/>
        <w:spacing w:line="560" w:lineRule="exact"/>
        <w:ind w:firstLine="643" w:firstLineChars="200"/>
        <w:outlineLvl w:val="2"/>
        <w:rPr>
          <w:rFonts w:hint="eastAsia" w:ascii="楷体" w:hAnsi="楷体" w:eastAsia="楷体" w:cs="楷体"/>
          <w:b/>
          <w:bCs/>
          <w:sz w:val="32"/>
          <w:szCs w:val="32"/>
        </w:rPr>
      </w:pPr>
      <w:bookmarkStart w:id="1084" w:name="_Toc19710"/>
      <w:bookmarkStart w:id="1085" w:name="_Toc16544"/>
      <w:bookmarkStart w:id="1086" w:name="_Toc13534"/>
      <w:bookmarkStart w:id="1087" w:name="_Toc10597"/>
      <w:r>
        <w:rPr>
          <w:rFonts w:hint="eastAsia" w:ascii="楷体" w:hAnsi="楷体" w:eastAsia="楷体" w:cs="楷体"/>
          <w:b/>
          <w:bCs/>
          <w:sz w:val="32"/>
          <w:szCs w:val="32"/>
        </w:rPr>
        <w:t>1.服务产出</w:t>
      </w:r>
      <w:bookmarkEnd w:id="1084"/>
      <w:bookmarkEnd w:id="1085"/>
      <w:bookmarkEnd w:id="1086"/>
      <w:bookmarkEnd w:id="1087"/>
    </w:p>
    <w:p>
      <w:pPr>
        <w:pStyle w:val="5"/>
        <w:ind w:firstLine="643"/>
        <w:rPr>
          <w:rFonts w:hint="eastAsia" w:ascii="楷体" w:hAnsi="楷体" w:cs="楷体"/>
        </w:rPr>
      </w:pPr>
      <w:r>
        <w:rPr>
          <w:rFonts w:hint="eastAsia" w:ascii="仿宋" w:hAnsi="仿宋" w:eastAsia="仿宋" w:cs="仿宋"/>
        </w:rPr>
        <w:t>（1）服务数量（满分5.00分，评价得分5.00分</w:t>
      </w:r>
      <w:r>
        <w:rPr>
          <w:rFonts w:hint="eastAsia" w:ascii="楷体" w:hAnsi="楷体" w:cs="楷体"/>
        </w:rPr>
        <w:t>）</w:t>
      </w:r>
    </w:p>
    <w:p>
      <w:pPr>
        <w:overflowPunct w:val="0"/>
        <w:autoSpaceDE w:val="0"/>
        <w:autoSpaceDN w:val="0"/>
        <w:adjustRightInd w:val="0"/>
        <w:snapToGrid w:val="0"/>
        <w:spacing w:line="560" w:lineRule="exact"/>
        <w:ind w:firstLine="640" w:firstLineChars="200"/>
        <w:rPr>
          <w:rFonts w:hint="eastAsia" w:ascii="仿宋" w:hAnsi="仿宋"/>
          <w:sz w:val="32"/>
          <w:szCs w:val="32"/>
        </w:rPr>
      </w:pPr>
      <w:r>
        <w:rPr>
          <w:rFonts w:hint="eastAsia" w:ascii="仿宋" w:hAnsi="仿宋" w:eastAsia="仿宋"/>
          <w:sz w:val="32"/>
          <w:szCs w:val="32"/>
        </w:rPr>
        <w:t>已完成遂资眉高速出入口，黄龙路、中环线和健坤片区，规划设计面积约72.5公顷（约1088.5亩）站房设计规划方案。方案已交专委会评审。本项得5.00分</w:t>
      </w:r>
      <w:r>
        <w:rPr>
          <w:rFonts w:hint="eastAsia"/>
        </w:rPr>
        <w:t>。</w:t>
      </w:r>
    </w:p>
    <w:p>
      <w:pPr>
        <w:pStyle w:val="5"/>
        <w:ind w:firstLine="643"/>
        <w:rPr>
          <w:rFonts w:hint="eastAsia" w:ascii="仿宋" w:hAnsi="仿宋" w:eastAsia="仿宋" w:cs="仿宋"/>
          <w:sz w:val="32"/>
          <w:szCs w:val="32"/>
        </w:rPr>
      </w:pPr>
      <w:r>
        <w:rPr>
          <w:rFonts w:hint="eastAsia" w:ascii="仿宋" w:hAnsi="仿宋" w:eastAsia="仿宋" w:cs="仿宋"/>
          <w:sz w:val="32"/>
          <w:szCs w:val="32"/>
        </w:rPr>
        <w:t>（2）服务时效（满分5.00分，评价得分</w:t>
      </w:r>
      <w:r>
        <w:rPr>
          <w:rFonts w:hint="eastAsia" w:ascii="仿宋" w:hAnsi="仿宋" w:eastAsia="仿宋" w:cs="仿宋"/>
          <w:sz w:val="32"/>
          <w:szCs w:val="32"/>
          <w:lang w:val="en-US" w:eastAsia="zh-CN"/>
        </w:rPr>
        <w:t>5</w:t>
      </w:r>
      <w:r>
        <w:rPr>
          <w:rFonts w:hint="eastAsia" w:ascii="仿宋" w:hAnsi="仿宋" w:eastAsia="仿宋" w:cs="仿宋"/>
          <w:sz w:val="32"/>
          <w:szCs w:val="32"/>
        </w:rPr>
        <w:t>.00分）</w:t>
      </w:r>
    </w:p>
    <w:p>
      <w:pPr>
        <w:overflowPunct w:val="0"/>
        <w:autoSpaceDE w:val="0"/>
        <w:autoSpaceDN w:val="0"/>
        <w:adjustRightInd w:val="0"/>
        <w:snapToGrid w:val="0"/>
        <w:spacing w:line="560" w:lineRule="exact"/>
        <w:ind w:firstLine="640" w:firstLineChars="200"/>
        <w:rPr>
          <w:rFonts w:hint="eastAsia" w:ascii="仿宋" w:hAnsi="仿宋" w:eastAsia="仿宋" w:cs="仿宋"/>
          <w:sz w:val="32"/>
          <w:szCs w:val="32"/>
        </w:rPr>
      </w:pPr>
      <w:bookmarkStart w:id="1088" w:name="_Toc26392"/>
      <w:r>
        <w:rPr>
          <w:rFonts w:hint="eastAsia" w:ascii="仿宋" w:hAnsi="仿宋" w:eastAsia="仿宋" w:cs="仿宋"/>
          <w:sz w:val="32"/>
          <w:szCs w:val="32"/>
          <w:lang w:eastAsia="zh-CN"/>
        </w:rPr>
        <w:t>年初制定的目标是设计方案的及时出具率需达到或超过98%。根据合同规定，设计方案在提交并得到发包人确认备案后，项目设计成果已通过第九次市专委会的审查。目前，该设计方案</w:t>
      </w:r>
      <w:r>
        <w:rPr>
          <w:rFonts w:hint="eastAsia" w:ascii="仿宋" w:hAnsi="仿宋" w:eastAsia="仿宋" w:cs="仿宋"/>
          <w:sz w:val="32"/>
          <w:szCs w:val="32"/>
          <w:highlight w:val="none"/>
        </w:rPr>
        <w:t>已修改完善</w:t>
      </w:r>
      <w:r>
        <w:rPr>
          <w:rFonts w:hint="eastAsia" w:ascii="仿宋" w:hAnsi="仿宋" w:eastAsia="仿宋" w:cs="仿宋"/>
          <w:sz w:val="32"/>
          <w:szCs w:val="32"/>
          <w:lang w:eastAsia="zh-CN"/>
        </w:rPr>
        <w:t>。</w:t>
      </w:r>
      <w:r>
        <w:rPr>
          <w:rFonts w:hint="eastAsia" w:ascii="仿宋" w:hAnsi="仿宋" w:eastAsia="仿宋" w:cs="仿宋"/>
          <w:sz w:val="32"/>
          <w:szCs w:val="32"/>
        </w:rPr>
        <w:t>本次服务按照规定期限完成，服务时效结果完成情况较好。本项得</w:t>
      </w:r>
      <w:r>
        <w:rPr>
          <w:rFonts w:hint="eastAsia" w:ascii="仿宋" w:hAnsi="仿宋" w:eastAsia="仿宋" w:cs="仿宋"/>
          <w:sz w:val="32"/>
          <w:szCs w:val="32"/>
          <w:lang w:val="en-US" w:eastAsia="zh-CN"/>
        </w:rPr>
        <w:t>5</w:t>
      </w:r>
      <w:r>
        <w:rPr>
          <w:rFonts w:hint="eastAsia" w:ascii="仿宋" w:hAnsi="仿宋" w:eastAsia="仿宋" w:cs="仿宋"/>
          <w:sz w:val="32"/>
          <w:szCs w:val="32"/>
        </w:rPr>
        <w:t>.00分。</w:t>
      </w:r>
    </w:p>
    <w:p>
      <w:pPr>
        <w:pStyle w:val="5"/>
        <w:ind w:firstLine="643"/>
        <w:rPr>
          <w:rFonts w:hint="eastAsia" w:ascii="仿宋" w:hAnsi="仿宋" w:eastAsia="仿宋" w:cs="仿宋"/>
        </w:rPr>
      </w:pPr>
      <w:r>
        <w:rPr>
          <w:rFonts w:hint="eastAsia" w:ascii="仿宋" w:hAnsi="仿宋" w:eastAsia="仿宋" w:cs="仿宋"/>
        </w:rPr>
        <w:t>（3）服务质量（满分5.00分，评价得分</w:t>
      </w:r>
      <w:r>
        <w:rPr>
          <w:rFonts w:hint="eastAsia" w:ascii="仿宋" w:hAnsi="仿宋" w:eastAsia="仿宋" w:cs="仿宋"/>
          <w:lang w:val="en-US" w:eastAsia="zh-CN"/>
        </w:rPr>
        <w:t>5</w:t>
      </w:r>
      <w:r>
        <w:rPr>
          <w:rFonts w:hint="eastAsia" w:ascii="仿宋" w:hAnsi="仿宋" w:eastAsia="仿宋" w:cs="仿宋"/>
        </w:rPr>
        <w:t>.00分）</w:t>
      </w:r>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sz w:val="32"/>
          <w:szCs w:val="32"/>
        </w:rPr>
        <w:t>主要反映承接主体提供服务品质情况，</w:t>
      </w:r>
      <w:r>
        <w:rPr>
          <w:rFonts w:ascii="仿宋" w:hAnsi="仿宋" w:eastAsia="仿宋" w:cs="Times New Roman"/>
          <w:kern w:val="0"/>
          <w:sz w:val="32"/>
          <w:szCs w:val="32"/>
        </w:rPr>
        <w:t>因黄龙路纳入全市示范道路建设，</w:t>
      </w:r>
      <w:r>
        <w:rPr>
          <w:rFonts w:hint="eastAsia" w:ascii="仿宋" w:hAnsi="仿宋" w:eastAsia="仿宋" w:cs="Times New Roman"/>
          <w:kern w:val="0"/>
          <w:sz w:val="32"/>
          <w:szCs w:val="32"/>
        </w:rPr>
        <w:t>最新要求</w:t>
      </w:r>
      <w:r>
        <w:rPr>
          <w:rFonts w:ascii="仿宋" w:hAnsi="仿宋" w:eastAsia="仿宋" w:cs="Times New Roman"/>
          <w:kern w:val="0"/>
          <w:sz w:val="32"/>
          <w:szCs w:val="32"/>
        </w:rPr>
        <w:t>已取消黄龙路相关设计内容</w:t>
      </w:r>
      <w:r>
        <w:rPr>
          <w:rFonts w:hint="eastAsia" w:ascii="仿宋" w:hAnsi="仿宋" w:eastAsia="仿宋" w:cs="Times New Roman"/>
          <w:kern w:val="0"/>
          <w:sz w:val="32"/>
          <w:szCs w:val="32"/>
        </w:rPr>
        <w:t>，本项设计已经无法满足新的规划要求。新的设计</w:t>
      </w:r>
      <w:r>
        <w:rPr>
          <w:rFonts w:hint="eastAsia" w:ascii="仿宋" w:hAnsi="仿宋" w:eastAsia="仿宋" w:cs="仿宋"/>
          <w:sz w:val="32"/>
          <w:szCs w:val="32"/>
        </w:rPr>
        <w:t>目前正处于修改与完善阶段。</w:t>
      </w:r>
      <w:r>
        <w:rPr>
          <w:rFonts w:hint="eastAsia" w:ascii="仿宋" w:hAnsi="仿宋" w:eastAsia="仿宋" w:cs="仿宋"/>
          <w:sz w:val="32"/>
          <w:szCs w:val="32"/>
          <w:lang w:eastAsia="zh-CN"/>
        </w:rPr>
        <w:t>故本次</w:t>
      </w:r>
      <w:r>
        <w:rPr>
          <w:rFonts w:hint="eastAsia" w:ascii="仿宋" w:hAnsi="仿宋" w:eastAsia="仿宋" w:cs="仿宋"/>
          <w:sz w:val="32"/>
          <w:szCs w:val="32"/>
        </w:rPr>
        <w:t>设计工作质量达标与否已经失去绩效考核的意义，其原因亦非服务方主观错误和失误或者执业水平导致。所以本项分数得5分。</w:t>
      </w:r>
    </w:p>
    <w:p>
      <w:pPr>
        <w:pStyle w:val="5"/>
        <w:ind w:firstLine="643"/>
        <w:rPr>
          <w:rFonts w:hint="eastAsia" w:ascii="仿宋" w:hAnsi="仿宋" w:eastAsia="仿宋" w:cs="仿宋"/>
        </w:rPr>
      </w:pPr>
      <w:r>
        <w:rPr>
          <w:rFonts w:hint="eastAsia" w:ascii="仿宋" w:hAnsi="仿宋" w:eastAsia="仿宋" w:cs="仿宋"/>
        </w:rPr>
        <w:t>（4）服务成本（满分5.00分，评价得分1.00分）</w:t>
      </w:r>
    </w:p>
    <w:p>
      <w:pPr>
        <w:overflowPunct w:val="0"/>
        <w:autoSpaceDE w:val="0"/>
        <w:autoSpaceDN w:val="0"/>
        <w:adjustRightInd w:val="0"/>
        <w:snapToGrid w:val="0"/>
        <w:spacing w:line="560" w:lineRule="exact"/>
        <w:ind w:firstLine="640" w:firstLineChars="200"/>
        <w:rPr>
          <w:rFonts w:hint="eastAsia" w:ascii="仿宋" w:hAnsi="仿宋" w:eastAsia="仿宋" w:cs="..ì."/>
          <w:kern w:val="0"/>
          <w:sz w:val="32"/>
          <w:szCs w:val="32"/>
        </w:rPr>
      </w:pPr>
      <w:r>
        <w:rPr>
          <w:rFonts w:hint="eastAsia" w:ascii="仿宋" w:hAnsi="仿宋" w:eastAsia="仿宋" w:cs="仿宋"/>
          <w:bCs/>
          <w:sz w:val="32"/>
          <w:szCs w:val="32"/>
          <w:lang w:bidi="ar"/>
        </w:rPr>
        <w:t>通过前期询价和组织相关部门召开定价会议的方式，确定了设计任务的预算；项目预算以询价中最低报价为准，</w:t>
      </w:r>
      <w:r>
        <w:rPr>
          <w:rFonts w:hint="eastAsia" w:ascii="仿宋" w:hAnsi="仿宋" w:eastAsia="仿宋" w:cs="..ì."/>
          <w:kern w:val="0"/>
          <w:sz w:val="32"/>
          <w:szCs w:val="32"/>
        </w:rPr>
        <w:t>本项目的市场摸底价为121.00万元，公开招标后确定合同设计服务费118.00万元，根据招标结果核算资金节约率为2.5%。资金成本达到一定的节约性。本项得1.00分。</w:t>
      </w:r>
    </w:p>
    <w:p>
      <w:pPr>
        <w:pStyle w:val="4"/>
        <w:spacing w:before="0" w:beforeLines="0"/>
        <w:ind w:firstLine="643"/>
        <w:rPr>
          <w:rFonts w:hint="eastAsia" w:ascii="楷体" w:hAnsi="楷体" w:cs="楷体"/>
        </w:rPr>
      </w:pPr>
      <w:bookmarkStart w:id="1089" w:name="_Toc23172"/>
      <w:bookmarkStart w:id="1090" w:name="_Toc5442"/>
      <w:bookmarkStart w:id="1091" w:name="_Toc21537"/>
      <w:bookmarkStart w:id="1092" w:name="_Toc5923"/>
      <w:bookmarkStart w:id="1093" w:name="_Toc17015"/>
      <w:bookmarkStart w:id="1094" w:name="_Toc14550"/>
      <w:r>
        <w:rPr>
          <w:rFonts w:hint="eastAsia" w:ascii="楷体" w:hAnsi="楷体" w:cs="楷体"/>
        </w:rPr>
        <w:t>2.服务效果</w:t>
      </w:r>
      <w:bookmarkEnd w:id="1089"/>
      <w:bookmarkEnd w:id="1090"/>
      <w:bookmarkEnd w:id="1091"/>
      <w:bookmarkEnd w:id="1092"/>
      <w:bookmarkEnd w:id="1093"/>
      <w:bookmarkEnd w:id="1094"/>
    </w:p>
    <w:p>
      <w:pPr>
        <w:pStyle w:val="5"/>
        <w:ind w:firstLine="643"/>
        <w:rPr>
          <w:rFonts w:hint="eastAsia" w:ascii="仿宋" w:hAnsi="仿宋" w:eastAsia="仿宋" w:cs="仿宋"/>
        </w:rPr>
      </w:pPr>
      <w:r>
        <w:rPr>
          <w:rFonts w:hint="eastAsia" w:ascii="仿宋" w:hAnsi="仿宋" w:eastAsia="仿宋" w:cs="仿宋"/>
        </w:rPr>
        <w:t>（1）专业性效果（满分10.00分，评价得分10.00分）</w:t>
      </w:r>
    </w:p>
    <w:p>
      <w:pPr>
        <w:overflowPunct w:val="0"/>
        <w:autoSpaceDE w:val="0"/>
        <w:autoSpaceDN w:val="0"/>
        <w:adjustRightInd w:val="0"/>
        <w:snapToGrid w:val="0"/>
        <w:spacing w:line="560" w:lineRule="exact"/>
        <w:ind w:firstLine="640" w:firstLineChars="200"/>
        <w:rPr>
          <w:rFonts w:hint="eastAsia" w:ascii="仿宋" w:hAnsi="仿宋" w:eastAsia="仿宋" w:cs="仿宋"/>
          <w:bCs/>
          <w:sz w:val="32"/>
          <w:szCs w:val="32"/>
          <w:lang w:bidi="ar"/>
        </w:rPr>
      </w:pPr>
      <w:r>
        <w:rPr>
          <w:rFonts w:hint="eastAsia" w:ascii="仿宋" w:hAnsi="仿宋" w:eastAsia="仿宋" w:cs="仿宋"/>
          <w:bCs/>
          <w:sz w:val="32"/>
          <w:szCs w:val="32"/>
          <w:lang w:bidi="ar"/>
        </w:rPr>
        <w:t>遂宁西高速出入口收费站，打造高新科技之门，助力实现“科技高新”的遂宁高新区总体定位。</w:t>
      </w:r>
      <w:r>
        <w:rPr>
          <w:rFonts w:hint="eastAsia" w:ascii="仿宋" w:hAnsi="仿宋" w:eastAsia="仿宋" w:cs="仿宋"/>
          <w:bCs/>
          <w:sz w:val="32"/>
          <w:szCs w:val="32"/>
          <w:lang w:val="zh-CN" w:bidi="ar"/>
        </w:rPr>
        <w:t>黄龙路的纳入示范道路建设，是在全市范围内进行的。</w:t>
      </w:r>
      <w:r>
        <w:rPr>
          <w:rFonts w:hint="eastAsia" w:ascii="仿宋" w:hAnsi="仿宋" w:eastAsia="仿宋" w:cs="仿宋"/>
          <w:bCs/>
          <w:sz w:val="32"/>
          <w:szCs w:val="32"/>
          <w:lang w:bidi="ar"/>
        </w:rPr>
        <w:t>这表明设计团队在设计方案时</w:t>
      </w:r>
      <w:r>
        <w:rPr>
          <w:rFonts w:hint="eastAsia" w:ascii="仿宋" w:hAnsi="仿宋" w:eastAsia="仿宋" w:cs="仿宋"/>
          <w:bCs/>
          <w:sz w:val="32"/>
          <w:szCs w:val="32"/>
          <w:lang w:val="zh-CN" w:bidi="ar"/>
        </w:rPr>
        <w:t>，已经充分顾及了道路建设的专业需求和标准，展现了其高度的专业素养。在设计过程中，团队进行了深入的专业讨论和方案修订，以确保设计方案的专业性和科学性。本次设计工作，设计内容专业、设计成果总体达到专业领域水平。</w:t>
      </w:r>
      <w:r>
        <w:rPr>
          <w:rFonts w:hint="eastAsia" w:ascii="仿宋" w:hAnsi="仿宋" w:eastAsia="仿宋" w:cs="仿宋"/>
          <w:bCs/>
          <w:sz w:val="32"/>
          <w:szCs w:val="32"/>
          <w:lang w:bidi="ar"/>
        </w:rPr>
        <w:t>本项得10.00分。</w:t>
      </w:r>
    </w:p>
    <w:p>
      <w:pPr>
        <w:pStyle w:val="5"/>
        <w:ind w:firstLine="643"/>
        <w:rPr>
          <w:rFonts w:hint="eastAsia" w:ascii="仿宋" w:hAnsi="仿宋" w:eastAsia="仿宋" w:cs="仿宋"/>
        </w:rPr>
      </w:pPr>
      <w:r>
        <w:rPr>
          <w:rFonts w:hint="eastAsia" w:ascii="仿宋" w:hAnsi="仿宋" w:eastAsia="仿宋" w:cs="仿宋"/>
        </w:rPr>
        <w:t>（2）适用性效果（满分10.00分，评价得分5.00分）</w:t>
      </w:r>
    </w:p>
    <w:p>
      <w:pPr>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因黄龙路被纳入全市示范道路建设项目，设计方案已进行重新设计。由于新方案与规划委员会审定的方案存在较大差异，未进行备案。主要原因是原设计方案的功能性无法满足重新设计方案的需求，导致原设计方案与新方案之间的适配性较低。本项得5.00分。</w:t>
      </w:r>
    </w:p>
    <w:p>
      <w:pPr>
        <w:pStyle w:val="5"/>
        <w:ind w:firstLine="643"/>
        <w:rPr>
          <w:rFonts w:hint="eastAsia" w:ascii="仿宋" w:hAnsi="仿宋" w:eastAsia="仿宋" w:cs="仿宋"/>
        </w:rPr>
      </w:pPr>
      <w:r>
        <w:rPr>
          <w:rFonts w:hint="eastAsia" w:ascii="仿宋" w:hAnsi="仿宋" w:eastAsia="仿宋" w:cs="仿宋"/>
        </w:rPr>
        <w:t>（3）应用性效果（满分10.00分，评价得分0.00分）</w:t>
      </w:r>
    </w:p>
    <w:bookmarkEnd w:id="1088"/>
    <w:p>
      <w:pPr>
        <w:spacing w:line="560" w:lineRule="exact"/>
        <w:ind w:firstLine="640" w:firstLineChars="200"/>
        <w:rPr>
          <w:rFonts w:hint="eastAsia" w:ascii="仿宋" w:hAnsi="仿宋" w:eastAsia="仿宋" w:cs="仿宋"/>
          <w:sz w:val="32"/>
          <w:szCs w:val="32"/>
        </w:rPr>
      </w:pPr>
      <w:bookmarkStart w:id="1095" w:name="_Toc1840"/>
      <w:r>
        <w:rPr>
          <w:rFonts w:hint="eastAsia" w:ascii="仿宋" w:hAnsi="仿宋" w:eastAsia="仿宋" w:cs="仿宋"/>
          <w:sz w:val="32"/>
          <w:szCs w:val="32"/>
        </w:rPr>
        <w:t>因黄龙路纳入全市示范道路建设，重新设计方案中已取消黄龙路相关设计内容，并对其进行了全面的重新设计。经过深入</w:t>
      </w:r>
      <w:r>
        <w:rPr>
          <w:rFonts w:hint="eastAsia" w:ascii="仿宋" w:hAnsi="仿宋" w:eastAsia="仿宋" w:cs="仿宋"/>
          <w:sz w:val="32"/>
          <w:szCs w:val="32"/>
          <w:lang w:eastAsia="zh-CN"/>
        </w:rPr>
        <w:t>地</w:t>
      </w:r>
      <w:r>
        <w:rPr>
          <w:rFonts w:hint="eastAsia" w:ascii="仿宋" w:hAnsi="仿宋" w:eastAsia="仿宋" w:cs="仿宋"/>
          <w:sz w:val="32"/>
          <w:szCs w:val="32"/>
        </w:rPr>
        <w:t>分析和评估，原来的设计成果在实际应用中存在明显的局限性，缺乏实际操作的可行性，失去设计原本的应用价值。这些设计成果无法在</w:t>
      </w:r>
      <w:r>
        <w:rPr>
          <w:rFonts w:ascii="仿宋" w:hAnsi="仿宋" w:eastAsia="仿宋" w:cs="仿宋"/>
          <w:sz w:val="32"/>
          <w:szCs w:val="32"/>
        </w:rPr>
        <w:t>后续工程施工</w:t>
      </w:r>
      <w:r>
        <w:rPr>
          <w:rFonts w:hint="eastAsia" w:ascii="仿宋" w:hAnsi="仿宋" w:eastAsia="仿宋" w:cs="仿宋"/>
          <w:sz w:val="32"/>
          <w:szCs w:val="32"/>
        </w:rPr>
        <w:t>中得到有效应用实施，也无法带来预期的效果和效益。本项得0.00分。</w:t>
      </w:r>
    </w:p>
    <w:bookmarkEnd w:id="1095"/>
    <w:p>
      <w:pPr>
        <w:pStyle w:val="7"/>
        <w:spacing w:line="560" w:lineRule="exact"/>
        <w:ind w:firstLine="643" w:firstLineChars="200"/>
        <w:jc w:val="both"/>
        <w:outlineLvl w:val="2"/>
        <w:rPr>
          <w:rFonts w:hint="eastAsia" w:ascii="仿宋" w:hAnsi="仿宋" w:eastAsia="仿宋" w:cs="仿宋"/>
          <w:b/>
          <w:bCs/>
          <w:sz w:val="32"/>
          <w:szCs w:val="28"/>
        </w:rPr>
      </w:pPr>
      <w:bookmarkStart w:id="1096" w:name="_Toc20791"/>
      <w:r>
        <w:rPr>
          <w:rFonts w:hint="eastAsia" w:ascii="仿宋" w:hAnsi="仿宋" w:eastAsia="仿宋" w:cs="仿宋"/>
          <w:b/>
          <w:bCs/>
          <w:sz w:val="32"/>
          <w:szCs w:val="28"/>
        </w:rPr>
        <w:t>3.满意度（满分10.00分，评价得分6.64分）</w:t>
      </w:r>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本次绩效评价针对满意度指标，设计了满意度指标调查问卷。调查问卷采用无记名的形式，共计设计10个问题，问题内容涵盖了设计项目宣传活动、</w:t>
      </w:r>
      <w:r>
        <w:rPr>
          <w:rFonts w:hint="eastAsia" w:ascii="仿宋" w:hAnsi="仿宋" w:eastAsia="仿宋" w:cs="仿宋"/>
          <w:sz w:val="32"/>
          <w:szCs w:val="32"/>
          <w:lang w:val="zh-CN"/>
        </w:rPr>
        <w:t>项目组织架构及实施流程</w:t>
      </w:r>
      <w:r>
        <w:rPr>
          <w:rFonts w:hint="eastAsia" w:ascii="仿宋" w:hAnsi="仿宋" w:eastAsia="仿宋" w:cs="仿宋"/>
          <w:sz w:val="32"/>
          <w:szCs w:val="32"/>
        </w:rPr>
        <w:t>、</w:t>
      </w:r>
      <w:r>
        <w:rPr>
          <w:rFonts w:hint="eastAsia" w:ascii="仿宋" w:hAnsi="仿宋" w:eastAsia="仿宋" w:cs="仿宋"/>
          <w:sz w:val="32"/>
          <w:szCs w:val="32"/>
          <w:lang w:val="zh-CN"/>
        </w:rPr>
        <w:t>项目管理监督情况等相关法律法规、制度执行是否到位</w:t>
      </w:r>
      <w:r>
        <w:rPr>
          <w:rFonts w:hint="eastAsia" w:ascii="仿宋" w:hAnsi="仿宋" w:eastAsia="仿宋" w:cs="仿宋"/>
          <w:sz w:val="32"/>
          <w:szCs w:val="32"/>
        </w:rPr>
        <w:t>、设计效果、沿线风貌得到提升、山体治理、环境整治、河道治理方面、设计理念功能多元与时俱进、显遂宁城市形象及高新区风貌等方面</w:t>
      </w:r>
      <w:r>
        <w:rPr>
          <w:rFonts w:hint="eastAsia"/>
        </w:rPr>
        <w:t>。</w:t>
      </w:r>
      <w:r>
        <w:rPr>
          <w:rFonts w:hint="eastAsia" w:ascii="仿宋" w:hAnsi="仿宋" w:eastAsia="仿宋" w:cs="仿宋"/>
          <w:sz w:val="32"/>
          <w:szCs w:val="32"/>
        </w:rPr>
        <w:t>本次调查主要针对规划设计地周边居民和城市规划设计工作人员两类群体，为保障调查的全面性和客观性，周边居民占比80.00%，工作人员占比20.00%。发放问卷30份，收回有效问卷30份，经过统计，综合满意度为78.20%。本项得6.64分。</w:t>
      </w:r>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综上所述，项目绩效部分满分60分，评价得分</w:t>
      </w:r>
      <w:r>
        <w:rPr>
          <w:rFonts w:hint="eastAsia" w:ascii="仿宋" w:hAnsi="仿宋" w:eastAsia="仿宋" w:cs="仿宋"/>
          <w:sz w:val="32"/>
          <w:szCs w:val="32"/>
          <w:lang w:val="en-US" w:eastAsia="zh-CN"/>
        </w:rPr>
        <w:t>37.64</w:t>
      </w:r>
      <w:r>
        <w:rPr>
          <w:rFonts w:hint="eastAsia" w:ascii="仿宋" w:hAnsi="仿宋" w:eastAsia="仿宋" w:cs="仿宋"/>
          <w:sz w:val="32"/>
          <w:szCs w:val="32"/>
        </w:rPr>
        <w:t>分。</w:t>
      </w:r>
    </w:p>
    <w:bookmarkEnd w:id="1096"/>
    <w:p>
      <w:pPr>
        <w:pStyle w:val="2"/>
        <w:spacing w:before="0" w:after="0" w:line="560" w:lineRule="exact"/>
        <w:ind w:firstLine="640" w:firstLineChars="200"/>
        <w:rPr>
          <w:rFonts w:hint="eastAsia" w:ascii="黑体" w:hAnsi="黑体"/>
          <w:b w:val="0"/>
          <w:bCs w:val="0"/>
        </w:rPr>
      </w:pPr>
      <w:bookmarkStart w:id="1097" w:name="_Toc25615"/>
      <w:bookmarkStart w:id="1098" w:name="_Toc7749"/>
      <w:bookmarkStart w:id="1099" w:name="_Toc19541"/>
      <w:bookmarkStart w:id="1100" w:name="_Toc25572"/>
      <w:bookmarkStart w:id="1101" w:name="_Toc13622"/>
      <w:bookmarkStart w:id="1102" w:name="_Toc13599"/>
      <w:bookmarkStart w:id="1103" w:name="_Toc28115"/>
      <w:bookmarkStart w:id="1104" w:name="_Toc7623"/>
      <w:bookmarkStart w:id="1105" w:name="_Toc12380"/>
      <w:bookmarkStart w:id="1106" w:name="_Toc27898"/>
      <w:bookmarkStart w:id="1107" w:name="_Toc14246"/>
      <w:bookmarkStart w:id="1108" w:name="_Toc24511"/>
      <w:bookmarkStart w:id="1109" w:name="_Toc6675"/>
      <w:bookmarkStart w:id="1110" w:name="_Toc19503"/>
      <w:r>
        <w:rPr>
          <w:rFonts w:hint="eastAsia" w:ascii="黑体" w:hAnsi="黑体"/>
          <w:b w:val="0"/>
          <w:bCs w:val="0"/>
        </w:rPr>
        <w:t>五、存在的问题和建议</w:t>
      </w:r>
      <w:bookmarkEnd w:id="1097"/>
      <w:bookmarkEnd w:id="1098"/>
      <w:bookmarkEnd w:id="1099"/>
      <w:bookmarkEnd w:id="1100"/>
      <w:bookmarkEnd w:id="1101"/>
      <w:bookmarkEnd w:id="1102"/>
      <w:bookmarkEnd w:id="1103"/>
      <w:bookmarkEnd w:id="1104"/>
      <w:bookmarkEnd w:id="1105"/>
      <w:bookmarkEnd w:id="1106"/>
      <w:bookmarkEnd w:id="1107"/>
      <w:bookmarkEnd w:id="1108"/>
    </w:p>
    <w:bookmarkEnd w:id="1109"/>
    <w:bookmarkEnd w:id="1110"/>
    <w:p>
      <w:pPr>
        <w:pStyle w:val="3"/>
        <w:overflowPunct w:val="0"/>
        <w:autoSpaceDE w:val="0"/>
        <w:autoSpaceDN w:val="0"/>
        <w:spacing w:before="0"/>
        <w:ind w:firstLine="643"/>
        <w:rPr>
          <w:rFonts w:hint="eastAsia" w:ascii="仿宋_GB2312" w:hAnsi="仿宋_GB2312" w:cs="仿宋_GB2312"/>
        </w:rPr>
      </w:pPr>
      <w:bookmarkStart w:id="1111" w:name="_Toc22966"/>
      <w:bookmarkStart w:id="1112" w:name="_Toc14796"/>
      <w:bookmarkStart w:id="1113" w:name="_Toc27769"/>
      <w:bookmarkStart w:id="1114" w:name="_Toc8806"/>
      <w:bookmarkStart w:id="1115" w:name="_Toc28176"/>
      <w:bookmarkStart w:id="1116" w:name="_Toc15331"/>
      <w:bookmarkStart w:id="1117" w:name="_Toc23244"/>
      <w:bookmarkStart w:id="1118" w:name="_Toc24322"/>
      <w:bookmarkStart w:id="1119" w:name="_Toc10215"/>
      <w:bookmarkStart w:id="1120" w:name="_Toc12484"/>
      <w:bookmarkStart w:id="1121" w:name="_Toc9947"/>
      <w:bookmarkStart w:id="1122" w:name="_Toc2891"/>
      <w:bookmarkStart w:id="1123" w:name="_Toc26940"/>
      <w:bookmarkStart w:id="1124" w:name="_Toc16211"/>
      <w:bookmarkStart w:id="1125" w:name="_Toc3793"/>
      <w:bookmarkStart w:id="1126" w:name="_Toc19020"/>
      <w:bookmarkStart w:id="1127" w:name="_Toc29693"/>
      <w:bookmarkStart w:id="1128" w:name="_Toc2037"/>
      <w:r>
        <w:rPr>
          <w:rFonts w:hint="eastAsia" w:ascii="仿宋_GB2312" w:hAnsi="仿宋_GB2312" w:cs="仿宋_GB2312"/>
        </w:rPr>
        <w:t>（一）存在的问题</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p>
    <w:p>
      <w:pPr>
        <w:pStyle w:val="4"/>
        <w:overflowPunct w:val="0"/>
        <w:autoSpaceDE w:val="0"/>
        <w:autoSpaceDN w:val="0"/>
        <w:spacing w:before="0" w:beforeLines="0"/>
        <w:ind w:firstLine="643"/>
        <w:rPr>
          <w:rFonts w:hint="eastAsia" w:ascii="楷体" w:hAnsi="楷体" w:cs="楷体"/>
        </w:rPr>
      </w:pPr>
      <w:r>
        <w:rPr>
          <w:rFonts w:hint="eastAsia" w:ascii="楷体" w:hAnsi="楷体" w:cs="楷体"/>
        </w:rPr>
        <w:t>1.项目监管力度存在不足</w:t>
      </w:r>
    </w:p>
    <w:p>
      <w:pPr>
        <w:widowControl/>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项目管理和监督管理制度不健全。在此项目过程中裕隆痕迹管理的资料不规范和齐备，由于项目方案已重新设计，后续方案与规委会审定的方案差异较大，项目已经暂缓，后期的监管执行无法完成，</w:t>
      </w:r>
    </w:p>
    <w:p>
      <w:pPr>
        <w:adjustRightInd w:val="0"/>
        <w:snapToGrid w:val="0"/>
        <w:spacing w:line="560" w:lineRule="exact"/>
        <w:ind w:firstLine="640" w:firstLineChars="200"/>
        <w:rPr>
          <w:rFonts w:hint="eastAsia" w:ascii="仿宋" w:hAnsi="仿宋" w:eastAsia="仿宋" w:cs="仿宋"/>
          <w:sz w:val="32"/>
          <w:szCs w:val="32"/>
          <w:lang w:val="zh-CN"/>
        </w:rPr>
      </w:pPr>
      <w:r>
        <w:rPr>
          <w:rFonts w:hint="eastAsia" w:ascii="仿宋" w:hAnsi="仿宋" w:eastAsia="仿宋" w:cs="仿宋"/>
          <w:sz w:val="32"/>
          <w:szCs w:val="32"/>
        </w:rPr>
        <w:t>资金拨付不及时，按照合同规定购买主体在合同签订后7个工作日内支付第一笔资金，但该笔资金超过30日支付。年初预算金额118.00万元。后经调整后59.00万元，下达资金59.00万元，已全部支付给中标方，</w:t>
      </w:r>
      <w:r>
        <w:rPr>
          <w:rFonts w:hint="eastAsia" w:ascii="仿宋" w:hAnsi="仿宋" w:eastAsia="仿宋" w:cs="仿宋"/>
          <w:bCs/>
          <w:sz w:val="32"/>
          <w:szCs w:val="32"/>
        </w:rPr>
        <w:t>因重新设计案尚未完成最终审定和备案，暂未支付合同金额的剩余50%，即59万元</w:t>
      </w:r>
      <w:r>
        <w:rPr>
          <w:rFonts w:hint="eastAsia" w:ascii="仿宋" w:hAnsi="仿宋" w:eastAsia="仿宋" w:cs="仿宋"/>
          <w:sz w:val="32"/>
          <w:szCs w:val="32"/>
          <w:lang w:val="zh-CN"/>
        </w:rPr>
        <w:t>。</w:t>
      </w:r>
    </w:p>
    <w:p>
      <w:pPr>
        <w:pStyle w:val="4"/>
        <w:spacing w:before="0" w:beforeLines="0"/>
        <w:ind w:firstLine="643"/>
      </w:pPr>
      <w:r>
        <w:rPr>
          <w:rFonts w:hint="eastAsia"/>
        </w:rPr>
        <w:t>2</w:t>
      </w:r>
      <w:r>
        <w:rPr>
          <w:rFonts w:hint="eastAsia" w:ascii="楷体" w:hAnsi="楷体" w:cs="楷体"/>
        </w:rPr>
        <w:t>.</w:t>
      </w:r>
      <w:r>
        <w:rPr>
          <w:rFonts w:hint="eastAsia"/>
        </w:rPr>
        <w:t>项目绩效资料不完备</w:t>
      </w:r>
    </w:p>
    <w:p>
      <w:pPr>
        <w:overflowPunct w:val="0"/>
        <w:autoSpaceDE w:val="0"/>
        <w:autoSpaceDN w:val="0"/>
        <w:adjustRightInd w:val="0"/>
        <w:snapToGrid w:val="0"/>
        <w:spacing w:line="560" w:lineRule="exact"/>
        <w:ind w:firstLine="640" w:firstLineChars="200"/>
        <w:rPr>
          <w:rFonts w:ascii="仿宋" w:hAnsi="仿宋" w:eastAsia="仿宋"/>
          <w:sz w:val="32"/>
          <w:szCs w:val="32"/>
        </w:rPr>
      </w:pPr>
      <w:bookmarkStart w:id="1129" w:name="_Toc28140"/>
      <w:bookmarkStart w:id="1130" w:name="_Toc13314"/>
      <w:bookmarkStart w:id="1131" w:name="_Toc20009"/>
      <w:bookmarkStart w:id="1132" w:name="_Toc29981"/>
      <w:bookmarkStart w:id="1133" w:name="_Toc29616"/>
      <w:r>
        <w:rPr>
          <w:rFonts w:hint="eastAsia" w:ascii="仿宋" w:hAnsi="仿宋" w:eastAsia="仿宋"/>
          <w:sz w:val="32"/>
          <w:szCs w:val="32"/>
        </w:rPr>
        <w:t>由于</w:t>
      </w:r>
      <w:bookmarkStart w:id="1134" w:name="_Toc6309"/>
      <w:bookmarkStart w:id="1135" w:name="_Toc5404"/>
      <w:bookmarkStart w:id="1136" w:name="_Toc28712"/>
      <w:bookmarkStart w:id="1137" w:name="_Toc7122"/>
      <w:bookmarkStart w:id="1138" w:name="_Toc3175"/>
      <w:r>
        <w:rPr>
          <w:rFonts w:hint="eastAsia" w:ascii="仿宋" w:hAnsi="仿宋" w:eastAsia="仿宋"/>
          <w:sz w:val="32"/>
          <w:szCs w:val="32"/>
        </w:rPr>
        <w:t>重新设计方案会增加相应的工作量，增加服务成本，不能在规定的时间内履约验收，服务质量达到标准设计方案没有通过专委评审，方案有几处需要修正，签订合同金额118.00万元与</w:t>
      </w:r>
      <w:r>
        <w:rPr>
          <w:rFonts w:hint="eastAsia" w:ascii="仿宋" w:hAnsi="仿宋" w:eastAsia="仿宋" w:cs="..ì."/>
          <w:kern w:val="0"/>
          <w:sz w:val="32"/>
          <w:szCs w:val="32"/>
        </w:rPr>
        <w:t>根据招标结果核算资金121.00万元相</w:t>
      </w:r>
      <w:r>
        <w:rPr>
          <w:rFonts w:hint="eastAsia" w:ascii="仿宋" w:hAnsi="仿宋" w:eastAsia="仿宋"/>
          <w:sz w:val="32"/>
          <w:szCs w:val="32"/>
        </w:rPr>
        <w:t>比较资金节约率为2.5%</w:t>
      </w:r>
      <w:r>
        <w:rPr>
          <w:rFonts w:hint="eastAsia"/>
        </w:rPr>
        <w:t>，</w:t>
      </w:r>
      <w:r>
        <w:rPr>
          <w:rFonts w:hint="eastAsia" w:ascii="仿宋" w:hAnsi="仿宋" w:eastAsia="仿宋"/>
          <w:sz w:val="32"/>
          <w:szCs w:val="32"/>
        </w:rPr>
        <w:t>未达到设定的标准金额范围内。项目设计方案未完成目标因后续方案与规定会审定方案差异较大，经规划工作调度会议讨论，重新设计方案，无法履约验收，未能取得反映产出数量、质量、时效和成本等有关情况的证据资料，未能反映项目效果目标完成情况的有关资料。</w:t>
      </w:r>
      <w:bookmarkEnd w:id="1129"/>
      <w:bookmarkEnd w:id="1130"/>
      <w:bookmarkEnd w:id="1131"/>
      <w:bookmarkEnd w:id="1132"/>
      <w:bookmarkEnd w:id="1133"/>
    </w:p>
    <w:p>
      <w:pPr>
        <w:pStyle w:val="4"/>
        <w:spacing w:before="0" w:beforeLines="0"/>
        <w:ind w:firstLine="643"/>
      </w:pPr>
      <w:r>
        <w:rPr>
          <w:rFonts w:hint="eastAsia"/>
        </w:rPr>
        <w:t>3.绩效产出效果不佳</w:t>
      </w:r>
    </w:p>
    <w:p>
      <w:pPr>
        <w:overflowPunct w:val="0"/>
        <w:autoSpaceDE w:val="0"/>
        <w:autoSpaceDN w:val="0"/>
        <w:adjustRightInd w:val="0"/>
        <w:snapToGrid w:val="0"/>
        <w:spacing w:line="560" w:lineRule="exact"/>
        <w:ind w:firstLine="640" w:firstLineChars="200"/>
        <w:rPr>
          <w:rFonts w:hint="eastAsia" w:ascii="仿宋" w:hAnsi="仿宋" w:eastAsia="仿宋"/>
          <w:sz w:val="32"/>
          <w:szCs w:val="32"/>
        </w:rPr>
      </w:pPr>
      <w:r>
        <w:rPr>
          <w:rFonts w:hint="eastAsia" w:ascii="仿宋" w:hAnsi="仿宋" w:eastAsia="仿宋"/>
          <w:sz w:val="32"/>
          <w:szCs w:val="32"/>
        </w:rPr>
        <w:t>由于</w:t>
      </w:r>
      <w:r>
        <w:rPr>
          <w:rFonts w:hint="eastAsia" w:ascii="仿宋" w:hAnsi="仿宋" w:eastAsia="仿宋" w:cs="仿宋"/>
          <w:sz w:val="32"/>
          <w:szCs w:val="32"/>
        </w:rPr>
        <w:t>黄龙路纳入全市示范道路建设，重新设计方案中已取消黄龙路相关设计内容，并对其进行全面的重新设计。这就导致了原来的设计成果无法应用，从而失去其原本设计价值。这些设计成果无法在</w:t>
      </w:r>
      <w:r>
        <w:rPr>
          <w:rFonts w:ascii="仿宋" w:hAnsi="仿宋" w:eastAsia="仿宋" w:cs="仿宋"/>
          <w:sz w:val="32"/>
          <w:szCs w:val="32"/>
        </w:rPr>
        <w:t>后续工程施工</w:t>
      </w:r>
      <w:r>
        <w:rPr>
          <w:rFonts w:hint="eastAsia" w:ascii="仿宋" w:hAnsi="仿宋" w:eastAsia="仿宋" w:cs="仿宋"/>
          <w:sz w:val="32"/>
          <w:szCs w:val="32"/>
        </w:rPr>
        <w:t>中得到有效应用和实施，也无法带来预期的效果和效益。本项目已经支付合同金额的50.00%，即59.00万元。相应资金支出带来的设计成果无法发挥预期的效益。客观上形成一定程度的资金的浪费和使用成果上的低效。</w:t>
      </w:r>
    </w:p>
    <w:p>
      <w:pPr>
        <w:pStyle w:val="3"/>
        <w:keepLines w:val="0"/>
        <w:overflowPunct w:val="0"/>
        <w:autoSpaceDE w:val="0"/>
        <w:autoSpaceDN w:val="0"/>
        <w:spacing w:before="0"/>
        <w:ind w:firstLine="643"/>
      </w:pPr>
      <w:bookmarkStart w:id="1139" w:name="_Toc27578"/>
      <w:bookmarkStart w:id="1140" w:name="_Toc3452"/>
      <w:bookmarkStart w:id="1141" w:name="_Toc27029"/>
      <w:bookmarkStart w:id="1142" w:name="_Toc12834"/>
      <w:bookmarkStart w:id="1143" w:name="_Toc4721"/>
      <w:bookmarkStart w:id="1144" w:name="_Toc2505"/>
      <w:bookmarkStart w:id="1145" w:name="_Toc28831"/>
      <w:bookmarkStart w:id="1146" w:name="_Toc29796"/>
      <w:bookmarkStart w:id="1147" w:name="_Toc1189"/>
      <w:bookmarkStart w:id="1148" w:name="_Toc16010"/>
      <w:bookmarkStart w:id="1149" w:name="_Toc13578"/>
      <w:bookmarkStart w:id="1150" w:name="_Toc14280"/>
      <w:r>
        <w:rPr>
          <w:rFonts w:hint="eastAsia"/>
        </w:rPr>
        <w:t>（二）有关建议</w:t>
      </w:r>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p>
    <w:p>
      <w:pPr>
        <w:pStyle w:val="4"/>
        <w:keepLines w:val="0"/>
        <w:overflowPunct w:val="0"/>
        <w:autoSpaceDE w:val="0"/>
        <w:autoSpaceDN w:val="0"/>
        <w:spacing w:before="0" w:beforeLines="0"/>
        <w:ind w:firstLine="643"/>
        <w:rPr>
          <w:rFonts w:hint="eastAsia" w:ascii="楷体" w:hAnsi="楷体" w:cs="楷体"/>
        </w:rPr>
      </w:pPr>
      <w:bookmarkStart w:id="1151" w:name="_Toc56160435"/>
      <w:bookmarkStart w:id="1152" w:name="_Toc26892"/>
      <w:bookmarkStart w:id="1153" w:name="_Toc77455801"/>
      <w:bookmarkStart w:id="1154" w:name="_Toc79854234"/>
      <w:r>
        <w:rPr>
          <w:rFonts w:hint="eastAsia" w:ascii="楷体" w:hAnsi="楷体" w:cs="楷体"/>
        </w:rPr>
        <w:t>1.加强项目管理</w:t>
      </w:r>
      <w:bookmarkEnd w:id="1151"/>
      <w:bookmarkEnd w:id="1152"/>
      <w:r>
        <w:rPr>
          <w:rFonts w:hint="eastAsia" w:ascii="楷体" w:hAnsi="楷体" w:cs="楷体"/>
        </w:rPr>
        <w:t>执行</w:t>
      </w:r>
    </w:p>
    <w:p>
      <w:pPr>
        <w:overflowPunct w:val="0"/>
        <w:autoSpaceDE w:val="0"/>
        <w:autoSpaceDN w:val="0"/>
        <w:adjustRightInd w:val="0"/>
        <w:snapToGrid w:val="0"/>
        <w:spacing w:line="560" w:lineRule="exact"/>
        <w:ind w:firstLine="640" w:firstLineChars="200"/>
        <w:rPr>
          <w:rFonts w:ascii="Calibri" w:hAnsi="Calibri" w:cs="Calibri"/>
          <w:szCs w:val="21"/>
        </w:rPr>
      </w:pPr>
      <w:r>
        <w:rPr>
          <w:rFonts w:hint="eastAsia" w:ascii="仿宋" w:hAnsi="仿宋" w:eastAsia="仿宋"/>
          <w:sz w:val="32"/>
          <w:szCs w:val="32"/>
        </w:rPr>
        <w:t>建议遂宁自规局高新分局建立健全项目各项管理制度、管理办法，建立长效监督机制。对项目的采购、实施、配送验收、监管建立切实有效的管理机制，加强管理约束、强化责任落实、严格程序执行、规范档案管理、引入追责条款。加强项目管理，增强财政资金使用效益。</w:t>
      </w:r>
    </w:p>
    <w:p>
      <w:pPr>
        <w:keepNext/>
        <w:keepLines/>
        <w:spacing w:line="560" w:lineRule="exact"/>
        <w:ind w:firstLine="643" w:firstLineChars="200"/>
        <w:outlineLvl w:val="2"/>
        <w:rPr>
          <w:rFonts w:ascii="Calibri" w:hAnsi="Calibri" w:eastAsia="楷体" w:cs="Calibri"/>
          <w:b/>
          <w:bCs/>
          <w:sz w:val="32"/>
          <w:szCs w:val="32"/>
        </w:rPr>
      </w:pPr>
      <w:r>
        <w:rPr>
          <w:rFonts w:hint="eastAsia" w:ascii="楷体" w:hAnsi="楷体" w:eastAsia="楷体" w:cs="楷体"/>
          <w:b/>
          <w:bCs/>
          <w:sz w:val="32"/>
          <w:szCs w:val="32"/>
        </w:rPr>
        <w:t>2.建立健全监督机制</w:t>
      </w:r>
    </w:p>
    <w:p>
      <w:pPr>
        <w:overflowPunct w:val="0"/>
        <w:autoSpaceDE w:val="0"/>
        <w:autoSpaceDN w:val="0"/>
        <w:spacing w:line="560" w:lineRule="exact"/>
        <w:ind w:firstLine="640" w:firstLineChars="200"/>
        <w:rPr>
          <w:rFonts w:hint="eastAsia" w:ascii="仿宋" w:hAnsi="仿宋" w:eastAsia="仿宋" w:cs="仿宋"/>
          <w:sz w:val="32"/>
          <w:szCs w:val="32"/>
        </w:rPr>
      </w:pPr>
      <w:r>
        <w:rPr>
          <w:rFonts w:hint="eastAsia" w:ascii="仿宋" w:hAnsi="仿宋" w:eastAsia="仿宋" w:cs="仿宋"/>
          <w:sz w:val="32"/>
          <w:szCs w:val="32"/>
        </w:rPr>
        <w:t>建立健全监管协调机制，加强信息共享和协同配合，形成监管合力；对监管部门和监管人员的工作进行全程监督，确保监管工作公正、透明、高效。形成全方位、多层次的监管体系，以有效提升监管效能和水平。</w:t>
      </w:r>
    </w:p>
    <w:p>
      <w:pPr>
        <w:pStyle w:val="2"/>
        <w:spacing w:before="0" w:after="0" w:line="560" w:lineRule="exact"/>
        <w:ind w:firstLine="640" w:firstLineChars="200"/>
        <w:rPr>
          <w:b w:val="0"/>
          <w:bCs w:val="0"/>
        </w:rPr>
      </w:pPr>
      <w:bookmarkStart w:id="1155" w:name="_Toc28362"/>
      <w:bookmarkStart w:id="1156" w:name="_Toc3161"/>
      <w:bookmarkStart w:id="1157" w:name="_Toc28924"/>
      <w:bookmarkStart w:id="1158" w:name="_Toc18177"/>
      <w:bookmarkStart w:id="1159" w:name="_Toc17229"/>
      <w:bookmarkStart w:id="1160" w:name="_Toc31299"/>
      <w:bookmarkStart w:id="1161" w:name="_Toc12835"/>
      <w:bookmarkStart w:id="1162" w:name="_Toc22317"/>
      <w:bookmarkStart w:id="1163" w:name="_Toc5207"/>
      <w:bookmarkStart w:id="1164" w:name="_Toc6590"/>
      <w:bookmarkStart w:id="1165" w:name="_Toc9687"/>
      <w:bookmarkStart w:id="1166" w:name="_Toc31201"/>
      <w:bookmarkStart w:id="1167" w:name="_Toc5118"/>
      <w:bookmarkStart w:id="1168" w:name="_Toc14109"/>
      <w:bookmarkStart w:id="1169" w:name="_Toc13408"/>
      <w:bookmarkStart w:id="1170" w:name="_Toc4539"/>
      <w:bookmarkStart w:id="1171" w:name="_Toc10578"/>
      <w:r>
        <w:rPr>
          <w:rFonts w:hint="eastAsia"/>
          <w:b w:val="0"/>
          <w:bCs w:val="0"/>
        </w:rPr>
        <w:t>六、其他需要说明的问题</w:t>
      </w:r>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p>
    <w:p>
      <w:pPr>
        <w:overflowPunct w:val="0"/>
        <w:autoSpaceDE w:val="0"/>
        <w:autoSpaceDN w:val="0"/>
        <w:adjustRightInd w:val="0"/>
        <w:snapToGrid w:val="0"/>
        <w:spacing w:line="560" w:lineRule="exact"/>
        <w:ind w:firstLine="640" w:firstLineChars="200"/>
        <w:rPr>
          <w:rFonts w:hint="eastAsia" w:ascii="仿宋" w:hAnsi="仿宋" w:eastAsia="仿宋"/>
          <w:sz w:val="32"/>
          <w:szCs w:val="32"/>
        </w:rPr>
      </w:pPr>
      <w:r>
        <w:rPr>
          <w:rFonts w:hint="eastAsia" w:ascii="仿宋" w:hAnsi="仿宋" w:eastAsia="仿宋"/>
          <w:sz w:val="32"/>
          <w:szCs w:val="32"/>
        </w:rPr>
        <w:t>本次绩效评价工作基于项目单位的资料及沟通情况开展，项目资料的完整性和真实性由项目单位负责。评价报告在综合了解相关政策文件、项目实施内容与预算编制等的基础上，结合项目单位提供的项目资料，从项目决策、项目过程、项目产出、项目效益等四方面进行逐一评价。评价报告仅适用遂宁高新区（遂宁西）高速路口出入口黄龙路景观及站房设计的工作内容，超过此范围的内容不作为评价的范围，评价结果仅作为遂宁高新区财政金融局对遂宁高新区（遂宁西）高速路口出入口黄龙路景观及站房设计项目绩效评价及结果应用使用，未经许可其他单位和个人不得用作其他用途。</w:t>
      </w:r>
    </w:p>
    <w:p>
      <w:pPr>
        <w:spacing w:line="560" w:lineRule="exact"/>
        <w:ind w:firstLine="640" w:firstLineChars="200"/>
        <w:outlineLvl w:val="0"/>
        <w:rPr>
          <w:rFonts w:hint="eastAsia" w:ascii="黑体" w:hAnsi="黑体" w:eastAsia="黑体"/>
          <w:sz w:val="32"/>
          <w:szCs w:val="32"/>
        </w:rPr>
      </w:pPr>
      <w:bookmarkStart w:id="1172" w:name="_Toc31166"/>
      <w:bookmarkStart w:id="1173" w:name="_Toc9816"/>
      <w:bookmarkStart w:id="1174" w:name="_Toc3806"/>
      <w:bookmarkStart w:id="1175" w:name="_Toc29326"/>
      <w:bookmarkStart w:id="1176" w:name="_Toc7206"/>
      <w:bookmarkStart w:id="1177" w:name="_Toc31901"/>
      <w:bookmarkStart w:id="1178" w:name="_Toc29031"/>
      <w:bookmarkStart w:id="1179" w:name="_Toc16105"/>
      <w:bookmarkStart w:id="1180" w:name="_Toc21071"/>
      <w:bookmarkStart w:id="1181" w:name="_Toc28021"/>
      <w:bookmarkStart w:id="1182" w:name="_Toc155"/>
      <w:bookmarkStart w:id="1183" w:name="_Toc2034"/>
      <w:bookmarkStart w:id="1184" w:name="_Toc21908"/>
      <w:bookmarkStart w:id="1185" w:name="_Toc20293"/>
      <w:bookmarkStart w:id="1186" w:name="_Toc6110"/>
      <w:r>
        <w:rPr>
          <w:rStyle w:val="24"/>
          <w:rFonts w:hint="eastAsia" w:ascii="黑体" w:hAnsi="黑体"/>
          <w:b w:val="0"/>
          <w:bCs w:val="0"/>
          <w:szCs w:val="32"/>
        </w:rPr>
        <w:t>七、附件</w:t>
      </w:r>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p>
    <w:p>
      <w:pPr>
        <w:overflowPunct w:val="0"/>
        <w:autoSpaceDE w:val="0"/>
        <w:autoSpaceDN w:val="0"/>
        <w:spacing w:line="560" w:lineRule="exact"/>
        <w:ind w:firstLine="640" w:firstLineChars="200"/>
        <w:rPr>
          <w:rFonts w:hint="eastAsia" w:ascii="仿宋" w:hAnsi="仿宋" w:eastAsia="仿宋" w:cs="仿宋"/>
          <w:sz w:val="32"/>
          <w:szCs w:val="32"/>
        </w:rPr>
      </w:pPr>
      <w:bookmarkStart w:id="1187" w:name="_Toc29114"/>
      <w:bookmarkStart w:id="1188" w:name="_Toc15737"/>
      <w:bookmarkStart w:id="1189" w:name="_Toc5414"/>
      <w:bookmarkStart w:id="1190" w:name="_Toc15198"/>
      <w:bookmarkStart w:id="1191" w:name="_Toc17189"/>
      <w:bookmarkStart w:id="1192" w:name="_Toc11229"/>
      <w:bookmarkStart w:id="1193" w:name="_Toc5729"/>
      <w:r>
        <w:rPr>
          <w:rFonts w:hint="eastAsia" w:ascii="仿宋" w:hAnsi="仿宋" w:eastAsia="仿宋" w:cs="仿宋"/>
          <w:sz w:val="32"/>
          <w:szCs w:val="32"/>
        </w:rPr>
        <w:t>1</w:t>
      </w:r>
      <w:bookmarkEnd w:id="1187"/>
      <w:r>
        <w:rPr>
          <w:rFonts w:hint="eastAsia" w:ascii="楷体" w:hAnsi="楷体" w:eastAsia="楷体" w:cs="楷体"/>
          <w:b/>
          <w:bCs/>
        </w:rPr>
        <w:t>.</w:t>
      </w:r>
      <w:r>
        <w:rPr>
          <w:rFonts w:hint="eastAsia" w:ascii="仿宋" w:hAnsi="仿宋" w:eastAsia="仿宋" w:cs="仿宋"/>
          <w:sz w:val="32"/>
          <w:szCs w:val="32"/>
        </w:rPr>
        <w:t>2023年遂宁高新区（遂宁西）高速路口出入口黄龙路景观及站房设计项目绩效评价指标</w:t>
      </w:r>
      <w:bookmarkEnd w:id="1188"/>
      <w:bookmarkEnd w:id="1189"/>
      <w:bookmarkEnd w:id="1190"/>
      <w:bookmarkEnd w:id="1191"/>
      <w:r>
        <w:rPr>
          <w:rFonts w:hint="eastAsia" w:ascii="仿宋" w:hAnsi="仿宋" w:eastAsia="仿宋" w:cs="仿宋"/>
          <w:sz w:val="32"/>
          <w:szCs w:val="32"/>
        </w:rPr>
        <w:t>评分表</w:t>
      </w:r>
      <w:bookmarkEnd w:id="1192"/>
      <w:bookmarkEnd w:id="1193"/>
    </w:p>
    <w:p>
      <w:pPr>
        <w:overflowPunct w:val="0"/>
        <w:autoSpaceDE w:val="0"/>
        <w:autoSpaceDN w:val="0"/>
        <w:spacing w:line="56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hint="eastAsia" w:ascii="楷体" w:hAnsi="楷体" w:eastAsia="楷体" w:cs="楷体"/>
          <w:b/>
          <w:bCs/>
        </w:rPr>
        <w:t>.</w:t>
      </w:r>
      <w:r>
        <w:rPr>
          <w:rFonts w:hint="eastAsia" w:ascii="仿宋" w:hAnsi="仿宋" w:eastAsia="仿宋"/>
          <w:sz w:val="32"/>
          <w:szCs w:val="32"/>
        </w:rPr>
        <w:t>遂宁高新区（遂宁西）高速路口出入口黄龙路景观及站房设计情况说明</w:t>
      </w: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keepLines w:val="0"/>
        <w:pageBreakBefore w:val="0"/>
        <w:widowControl w:val="0"/>
        <w:kinsoku/>
        <w:wordWrap/>
        <w:overflowPunct w:val="0"/>
        <w:topLinePunct w:val="0"/>
        <w:autoSpaceDE w:val="0"/>
        <w:autoSpaceDN w:val="0"/>
        <w:bidi w:val="0"/>
        <w:spacing w:line="560" w:lineRule="exact"/>
        <w:ind w:left="0" w:leftChars="0" w:firstLine="640" w:firstLineChars="200"/>
        <w:jc w:val="both"/>
        <w:rPr>
          <w:rFonts w:hint="eastAsia" w:ascii="仿宋" w:hAnsi="仿宋" w:eastAsia="仿宋" w:cs="仿宋"/>
          <w:sz w:val="32"/>
          <w:szCs w:val="32"/>
        </w:rPr>
      </w:pPr>
    </w:p>
    <w:p>
      <w:pPr>
        <w:pStyle w:val="26"/>
      </w:pPr>
    </w:p>
    <w:sectPr>
      <w:pgSz w:w="11906" w:h="16838"/>
      <w:pgMar w:top="1440" w:right="1800" w:bottom="1440" w:left="1800" w:header="851" w:footer="992"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ì.">
    <w:altName w:val="仿宋_GB2312"/>
    <w:panose1 w:val="00000000000000000000"/>
    <w:charset w:val="86"/>
    <w:family w:val="modern"/>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Calibri Light">
    <w:panose1 w:val="020F0302020204030204"/>
    <w:charset w:val="00"/>
    <w:family w:val="auto"/>
    <w:pitch w:val="default"/>
    <w:sig w:usb0="E4002EFF" w:usb1="C000247B" w:usb2="00000009" w:usb3="00000000" w:csb0="200001FF" w:csb1="00000000"/>
  </w:font>
  <w:font w:name="??">
    <w:altName w:val="Times New Roman"/>
    <w:panose1 w:val="00000000000000000000"/>
    <w:charset w:val="00"/>
    <w:family w:val="roman"/>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pP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OSi/s/IAQAAmQMAAA4AAAAAAAAAAQAgAAAAHgEAAGRycy9lMm9Eb2Mu&#10;eG1sUEsFBgAAAAAGAAYAWQEAAFgFAAAAAA==&#10;">
              <v:fill on="f" focussize="0,0"/>
              <v:stroke on="f"/>
              <v:imagedata o:title=""/>
              <o:lock v:ext="edit" aspectratio="f"/>
              <v:textbox inset="0mm,0mm,0mm,0mm" style="mso-fit-shape-to-text:t;">
                <w:txbxContent>
                  <w:p>
                    <w:pPr>
                      <w:pStyle w:val="1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jc w:val="both"/>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pPr>
                      <w:pStyle w:val="10"/>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91DE1B"/>
    <w:multiLevelType w:val="singleLevel"/>
    <w:tmpl w:val="B491DE1B"/>
    <w:lvl w:ilvl="0" w:tentative="0">
      <w:start w:val="2"/>
      <w:numFmt w:val="chineseCounting"/>
      <w:suff w:val="nothing"/>
      <w:lvlText w:val="（%1）"/>
      <w:lvlJc w:val="left"/>
      <w:rPr>
        <w:rFonts w:hint="eastAsia"/>
      </w:rPr>
    </w:lvl>
  </w:abstractNum>
  <w:abstractNum w:abstractNumId="1">
    <w:nsid w:val="BF21F50F"/>
    <w:multiLevelType w:val="singleLevel"/>
    <w:tmpl w:val="BF21F50F"/>
    <w:lvl w:ilvl="0" w:tentative="0">
      <w:start w:val="2"/>
      <w:numFmt w:val="chineseCounting"/>
      <w:suff w:val="nothing"/>
      <w:lvlText w:val="（%1）"/>
      <w:lvlJc w:val="left"/>
      <w:pPr>
        <w:ind w:left="-3"/>
      </w:pPr>
      <w:rPr>
        <w:rFonts w:hint="eastAsia" w:ascii="仿宋_GB2312" w:hAnsi="仿宋_GB2312" w:eastAsia="仿宋_GB2312" w:cs="仿宋_GB2312"/>
        <w:b/>
        <w:bCs/>
        <w:sz w:val="32"/>
        <w:szCs w:val="32"/>
      </w:rPr>
    </w:lvl>
  </w:abstractNum>
  <w:abstractNum w:abstractNumId="2">
    <w:nsid w:val="FABBBF84"/>
    <w:multiLevelType w:val="singleLevel"/>
    <w:tmpl w:val="FABBBF84"/>
    <w:lvl w:ilvl="0" w:tentative="0">
      <w:start w:val="1"/>
      <w:numFmt w:val="chineseCounting"/>
      <w:suff w:val="nothing"/>
      <w:lvlText w:val="%1、"/>
      <w:lvlJc w:val="left"/>
      <w:rPr>
        <w:rFonts w:hint="eastAsia" w:ascii="黑体" w:hAnsi="黑体" w:eastAsia="黑体" w:cs="黑体"/>
        <w:sz w:val="32"/>
        <w:szCs w:val="32"/>
      </w:rPr>
    </w:lvl>
  </w:abstractNum>
  <w:abstractNum w:abstractNumId="3">
    <w:nsid w:val="22869559"/>
    <w:multiLevelType w:val="singleLevel"/>
    <w:tmpl w:val="22869559"/>
    <w:lvl w:ilvl="0" w:tentative="0">
      <w:start w:val="3"/>
      <w:numFmt w:val="chineseCounting"/>
      <w:suff w:val="nothing"/>
      <w:lvlText w:val="（%1）"/>
      <w:lvlJc w:val="left"/>
      <w:rPr>
        <w:rFonts w:hint="eastAsia" w:ascii="仿宋_GB2312" w:hAnsi="仿宋_GB2312" w:eastAsia="仿宋_GB2312" w:cs="仿宋_GB2312"/>
        <w:b/>
        <w:bCs/>
        <w:sz w:val="32"/>
        <w:szCs w:val="32"/>
      </w:rPr>
    </w:lvl>
  </w:abstractNum>
  <w:abstractNum w:abstractNumId="4">
    <w:nsid w:val="385D18C9"/>
    <w:multiLevelType w:val="singleLevel"/>
    <w:tmpl w:val="385D18C9"/>
    <w:lvl w:ilvl="0" w:tentative="0">
      <w:start w:val="2"/>
      <w:numFmt w:val="chineseCounting"/>
      <w:suff w:val="nothing"/>
      <w:lvlText w:val="（%1）"/>
      <w:lvlJc w:val="left"/>
      <w:rPr>
        <w:rFonts w:hint="eastAsia"/>
      </w:rPr>
    </w:lvl>
  </w:abstractNum>
  <w:num w:numId="1">
    <w:abstractNumId w:val="0"/>
  </w:num>
  <w:num w:numId="2">
    <w:abstractNumId w:val="4"/>
  </w:num>
  <w:num w:numId="3">
    <w:abstractNumId w:val="2"/>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QzZDEzYzdiZDQ1MWRiY2NmMDc1ZTQ5MDgzZTAzYmIifQ=="/>
  </w:docVars>
  <w:rsids>
    <w:rsidRoot w:val="75A70048"/>
    <w:rsid w:val="028C11F1"/>
    <w:rsid w:val="08E70917"/>
    <w:rsid w:val="265F5A90"/>
    <w:rsid w:val="300219EC"/>
    <w:rsid w:val="35DF2918"/>
    <w:rsid w:val="3A183DEF"/>
    <w:rsid w:val="43882959"/>
    <w:rsid w:val="439FA2D2"/>
    <w:rsid w:val="4B39193A"/>
    <w:rsid w:val="696A1BEA"/>
    <w:rsid w:val="75A700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qFormat="1" w:unhideWhenUsed="0" w:uiPriority="0" w:semiHidden="0" w:name="Salutation"/>
    <w:lsdException w:unhideWhenUsed="0" w:uiPriority="0" w:semiHidden="0" w:name="Date"/>
    <w:lsdException w:qFormat="1" w:uiPriority="99"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600" w:lineRule="exact"/>
      <w:ind w:firstLine="200" w:firstLineChars="200"/>
      <w:jc w:val="both"/>
    </w:pPr>
    <w:rPr>
      <w:rFonts w:ascii="Times New Roman" w:hAnsi="Times New Roman" w:eastAsia="仿宋_GB2312" w:cs="Times New Roman"/>
      <w:kern w:val="2"/>
      <w:sz w:val="32"/>
      <w:szCs w:val="32"/>
      <w:lang w:val="en-US" w:eastAsia="zh-CN" w:bidi="ar-SA"/>
    </w:rPr>
  </w:style>
  <w:style w:type="paragraph" w:styleId="2">
    <w:name w:val="heading 1"/>
    <w:basedOn w:val="1"/>
    <w:next w:val="1"/>
    <w:link w:val="24"/>
    <w:qFormat/>
    <w:uiPriority w:val="0"/>
    <w:pPr>
      <w:keepNext/>
      <w:keepLines/>
      <w:spacing w:line="560" w:lineRule="exact"/>
      <w:ind w:firstLine="200" w:firstLineChars="200"/>
      <w:outlineLvl w:val="0"/>
    </w:pPr>
    <w:rPr>
      <w:rFonts w:ascii="Times New Roman" w:hAnsi="Times New Roman" w:eastAsia="黑体"/>
      <w:bCs/>
      <w:kern w:val="44"/>
      <w:sz w:val="32"/>
      <w:szCs w:val="44"/>
    </w:rPr>
  </w:style>
  <w:style w:type="paragraph" w:styleId="3">
    <w:name w:val="heading 2"/>
    <w:basedOn w:val="1"/>
    <w:next w:val="1"/>
    <w:link w:val="23"/>
    <w:semiHidden/>
    <w:unhideWhenUsed/>
    <w:qFormat/>
    <w:uiPriority w:val="0"/>
    <w:pPr>
      <w:keepNext/>
      <w:keepLines/>
      <w:outlineLvl w:val="1"/>
    </w:pPr>
    <w:rPr>
      <w:rFonts w:ascii="Cambria" w:hAnsi="Cambria" w:eastAsia="仿宋_GB2312" w:cs="Times New Roman"/>
      <w:b/>
      <w:bCs/>
      <w:sz w:val="32"/>
      <w:szCs w:val="32"/>
    </w:rPr>
  </w:style>
  <w:style w:type="paragraph" w:styleId="4">
    <w:name w:val="heading 3"/>
    <w:basedOn w:val="1"/>
    <w:next w:val="1"/>
    <w:unhideWhenUsed/>
    <w:qFormat/>
    <w:uiPriority w:val="9"/>
    <w:pPr>
      <w:keepNext/>
      <w:keepLines/>
      <w:ind w:firstLine="200"/>
      <w:outlineLvl w:val="2"/>
    </w:pPr>
    <w:rPr>
      <w:rFonts w:eastAsia="楷体"/>
      <w:b/>
      <w:bCs/>
      <w:szCs w:val="32"/>
    </w:rPr>
  </w:style>
  <w:style w:type="paragraph" w:styleId="5">
    <w:name w:val="heading 4"/>
    <w:basedOn w:val="1"/>
    <w:next w:val="1"/>
    <w:link w:val="32"/>
    <w:semiHidden/>
    <w:unhideWhenUsed/>
    <w:qFormat/>
    <w:uiPriority w:val="0"/>
    <w:pPr>
      <w:keepNext/>
      <w:keepLines/>
      <w:spacing w:line="560" w:lineRule="exact"/>
      <w:ind w:firstLine="200" w:firstLineChars="200"/>
      <w:outlineLvl w:val="3"/>
    </w:pPr>
    <w:rPr>
      <w:rFonts w:ascii="Cambria" w:hAnsi="Cambria" w:eastAsia="仿宋" w:cs="Times New Roman"/>
      <w:b/>
      <w:bCs/>
      <w:sz w:val="32"/>
      <w:szCs w:val="28"/>
    </w:rPr>
  </w:style>
  <w:style w:type="character" w:default="1" w:styleId="19">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6">
    <w:name w:val="Normal Indent"/>
    <w:basedOn w:val="1"/>
    <w:unhideWhenUsed/>
    <w:qFormat/>
    <w:uiPriority w:val="0"/>
    <w:pPr>
      <w:ind w:firstLine="420"/>
    </w:pPr>
  </w:style>
  <w:style w:type="paragraph" w:styleId="7">
    <w:name w:val="annotation text"/>
    <w:basedOn w:val="1"/>
    <w:qFormat/>
    <w:uiPriority w:val="0"/>
    <w:pPr>
      <w:jc w:val="left"/>
    </w:pPr>
  </w:style>
  <w:style w:type="paragraph" w:styleId="8">
    <w:name w:val="Salutation"/>
    <w:basedOn w:val="1"/>
    <w:next w:val="1"/>
    <w:qFormat/>
    <w:uiPriority w:val="0"/>
    <w:rPr>
      <w:rFonts w:ascii="Times New Roman" w:hAnsi="Times New Roman" w:cs="Times New Roman"/>
      <w:sz w:val="24"/>
      <w:szCs w:val="24"/>
    </w:rPr>
  </w:style>
  <w:style w:type="paragraph" w:styleId="9">
    <w:name w:val="Body Text"/>
    <w:basedOn w:val="1"/>
    <w:semiHidden/>
    <w:unhideWhenUsed/>
    <w:qFormat/>
    <w:uiPriority w:val="99"/>
    <w:pPr>
      <w:spacing w:after="120"/>
    </w:pPr>
  </w:style>
  <w:style w:type="paragraph" w:styleId="10">
    <w:name w:val="footer"/>
    <w:basedOn w:val="1"/>
    <w:qFormat/>
    <w:uiPriority w:val="99"/>
    <w:pPr>
      <w:tabs>
        <w:tab w:val="center" w:pos="4153"/>
        <w:tab w:val="right" w:pos="8306"/>
      </w:tabs>
      <w:snapToGrid w:val="0"/>
      <w:jc w:val="left"/>
    </w:pPr>
    <w:rPr>
      <w:sz w:val="18"/>
      <w:szCs w:val="18"/>
    </w:rPr>
  </w:style>
  <w:style w:type="paragraph" w:styleId="11">
    <w:name w:val="header"/>
    <w:basedOn w:val="1"/>
    <w:unhideWhenUsed/>
    <w:qFormat/>
    <w:uiPriority w:val="99"/>
    <w:pPr>
      <w:tabs>
        <w:tab w:val="center" w:pos="4153"/>
        <w:tab w:val="right" w:pos="8306"/>
      </w:tabs>
      <w:snapToGrid w:val="0"/>
      <w:jc w:val="center"/>
    </w:pPr>
    <w:rPr>
      <w:sz w:val="18"/>
      <w:szCs w:val="18"/>
    </w:rPr>
  </w:style>
  <w:style w:type="paragraph" w:styleId="12">
    <w:name w:val="toc 1"/>
    <w:basedOn w:val="1"/>
    <w:next w:val="1"/>
    <w:semiHidden/>
    <w:unhideWhenUsed/>
    <w:qFormat/>
    <w:uiPriority w:val="39"/>
  </w:style>
  <w:style w:type="paragraph" w:styleId="13">
    <w:name w:val="toc 2"/>
    <w:basedOn w:val="1"/>
    <w:next w:val="1"/>
    <w:unhideWhenUsed/>
    <w:qFormat/>
    <w:uiPriority w:val="39"/>
    <w:pPr>
      <w:spacing w:line="600" w:lineRule="exact"/>
      <w:ind w:left="420" w:leftChars="200" w:firstLine="0" w:firstLineChars="0"/>
    </w:pPr>
  </w:style>
  <w:style w:type="paragraph" w:styleId="14">
    <w:name w:val="Normal (Web)"/>
    <w:basedOn w:val="1"/>
    <w:semiHidden/>
    <w:unhideWhenUsed/>
    <w:qFormat/>
    <w:uiPriority w:val="99"/>
    <w:pPr>
      <w:spacing w:before="100" w:beforeAutospacing="1" w:after="100" w:afterAutospacing="1"/>
      <w:jc w:val="left"/>
    </w:pPr>
    <w:rPr>
      <w:kern w:val="0"/>
      <w:sz w:val="24"/>
      <w:szCs w:val="24"/>
    </w:rPr>
  </w:style>
  <w:style w:type="paragraph" w:styleId="15">
    <w:name w:val="Title"/>
    <w:basedOn w:val="1"/>
    <w:next w:val="1"/>
    <w:qFormat/>
    <w:uiPriority w:val="0"/>
    <w:pPr>
      <w:spacing w:before="240" w:after="60"/>
      <w:jc w:val="center"/>
      <w:outlineLvl w:val="0"/>
    </w:pPr>
    <w:rPr>
      <w:rFonts w:ascii="Cambria" w:hAnsi="Cambria" w:cs="Times New Roman"/>
      <w:b/>
      <w:kern w:val="28"/>
      <w:szCs w:val="20"/>
    </w:rPr>
  </w:style>
  <w:style w:type="paragraph" w:styleId="16">
    <w:name w:val="Body Text First Indent"/>
    <w:basedOn w:val="9"/>
    <w:semiHidden/>
    <w:unhideWhenUsed/>
    <w:qFormat/>
    <w:uiPriority w:val="99"/>
    <w:pPr>
      <w:ind w:firstLine="420" w:firstLineChars="100"/>
    </w:p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Strong"/>
    <w:basedOn w:val="19"/>
    <w:qFormat/>
    <w:uiPriority w:val="0"/>
    <w:rPr>
      <w:b/>
    </w:rPr>
  </w:style>
  <w:style w:type="character" w:styleId="21">
    <w:name w:val="Hyperlink"/>
    <w:basedOn w:val="19"/>
    <w:qFormat/>
    <w:uiPriority w:val="0"/>
    <w:rPr>
      <w:color w:val="0000FF"/>
      <w:u w:val="single"/>
    </w:rPr>
  </w:style>
  <w:style w:type="character" w:styleId="22">
    <w:name w:val="annotation reference"/>
    <w:basedOn w:val="19"/>
    <w:qFormat/>
    <w:uiPriority w:val="0"/>
    <w:rPr>
      <w:sz w:val="21"/>
      <w:szCs w:val="21"/>
    </w:rPr>
  </w:style>
  <w:style w:type="character" w:customStyle="1" w:styleId="23">
    <w:name w:val="标题 2 字符"/>
    <w:link w:val="3"/>
    <w:qFormat/>
    <w:uiPriority w:val="0"/>
    <w:rPr>
      <w:rFonts w:ascii="Cambria" w:hAnsi="Cambria" w:eastAsia="仿宋_GB2312" w:cs="Times New Roman"/>
      <w:b/>
      <w:bCs/>
      <w:kern w:val="2"/>
      <w:sz w:val="32"/>
      <w:szCs w:val="32"/>
    </w:rPr>
  </w:style>
  <w:style w:type="character" w:customStyle="1" w:styleId="24">
    <w:name w:val="标题 1 字符"/>
    <w:basedOn w:val="19"/>
    <w:link w:val="2"/>
    <w:qFormat/>
    <w:uiPriority w:val="0"/>
    <w:rPr>
      <w:rFonts w:ascii="Times New Roman" w:hAnsi="Times New Roman" w:eastAsia="黑体"/>
      <w:bCs/>
      <w:kern w:val="44"/>
      <w:sz w:val="32"/>
      <w:szCs w:val="44"/>
    </w:rPr>
  </w:style>
  <w:style w:type="character" w:customStyle="1" w:styleId="25">
    <w:name w:val="标题 4 Char"/>
    <w:link w:val="5"/>
    <w:qFormat/>
    <w:uiPriority w:val="0"/>
    <w:rPr>
      <w:rFonts w:ascii="Cambria" w:hAnsi="Cambria" w:eastAsia="仿宋" w:cs="Times New Roman"/>
      <w:b/>
      <w:bCs/>
      <w:kern w:val="2"/>
      <w:sz w:val="32"/>
      <w:szCs w:val="28"/>
    </w:rPr>
  </w:style>
  <w:style w:type="paragraph" w:customStyle="1" w:styleId="26">
    <w:name w:val="Default"/>
    <w:qFormat/>
    <w:uiPriority w:val="0"/>
    <w:pPr>
      <w:widowControl w:val="0"/>
      <w:autoSpaceDE w:val="0"/>
      <w:autoSpaceDN w:val="0"/>
      <w:adjustRightInd w:val="0"/>
    </w:pPr>
    <w:rPr>
      <w:rFonts w:ascii="..ì." w:hAnsi="..ì." w:eastAsia="..ì." w:cs="..ì."/>
      <w:color w:val="000000"/>
      <w:sz w:val="24"/>
      <w:szCs w:val="24"/>
      <w:lang w:val="en-US" w:eastAsia="zh-CN" w:bidi="ar-SA"/>
    </w:rPr>
  </w:style>
  <w:style w:type="paragraph" w:customStyle="1" w:styleId="27">
    <w:name w:val="WPSOffice手动目录 1"/>
    <w:qFormat/>
    <w:uiPriority w:val="0"/>
    <w:pPr>
      <w:ind w:leftChars="0"/>
    </w:pPr>
    <w:rPr>
      <w:rFonts w:ascii="Times New Roman" w:hAnsi="Times New Roman" w:eastAsia="宋体" w:cs="Times New Roman"/>
      <w:sz w:val="20"/>
      <w:szCs w:val="20"/>
    </w:rPr>
  </w:style>
  <w:style w:type="paragraph" w:customStyle="1" w:styleId="28">
    <w:name w:val="常用样式（方正仿宋简）"/>
    <w:basedOn w:val="1"/>
    <w:next w:val="1"/>
    <w:qFormat/>
    <w:uiPriority w:val="99"/>
    <w:pPr>
      <w:ind w:firstLine="640"/>
    </w:pPr>
    <w:rPr>
      <w:rFonts w:ascii="等线" w:hAnsi="等线" w:eastAsia="等线"/>
      <w:sz w:val="21"/>
      <w:szCs w:val="32"/>
    </w:rPr>
  </w:style>
  <w:style w:type="character" w:customStyle="1" w:styleId="29">
    <w:name w:val="font31"/>
    <w:basedOn w:val="19"/>
    <w:qFormat/>
    <w:uiPriority w:val="0"/>
    <w:rPr>
      <w:rFonts w:hint="eastAsia" w:ascii="宋体" w:hAnsi="宋体" w:eastAsia="宋体" w:cs="宋体"/>
      <w:color w:val="000000"/>
      <w:sz w:val="18"/>
      <w:szCs w:val="18"/>
      <w:u w:val="none"/>
    </w:rPr>
  </w:style>
  <w:style w:type="character" w:customStyle="1" w:styleId="30">
    <w:name w:val="font21"/>
    <w:basedOn w:val="19"/>
    <w:qFormat/>
    <w:uiPriority w:val="0"/>
    <w:rPr>
      <w:rFonts w:hint="eastAsia" w:ascii="宋体" w:hAnsi="宋体" w:eastAsia="宋体" w:cs="宋体"/>
      <w:color w:val="000000"/>
      <w:sz w:val="20"/>
      <w:szCs w:val="20"/>
      <w:u w:val="none"/>
    </w:rPr>
  </w:style>
  <w:style w:type="paragraph" w:customStyle="1" w:styleId="31">
    <w:name w:val="TOC 标题1"/>
    <w:basedOn w:val="2"/>
    <w:next w:val="1"/>
    <w:semiHidden/>
    <w:unhideWhenUsed/>
    <w:qFormat/>
    <w:uiPriority w:val="39"/>
    <w:pPr>
      <w:widowControl/>
      <w:spacing w:before="480" w:line="276" w:lineRule="auto"/>
      <w:ind w:firstLine="0" w:firstLineChars="0"/>
      <w:jc w:val="left"/>
      <w:outlineLvl w:val="9"/>
    </w:pPr>
    <w:rPr>
      <w:rFonts w:asciiTheme="majorHAnsi" w:hAnsiTheme="majorHAnsi" w:eastAsiaTheme="majorEastAsia" w:cstheme="majorBidi"/>
      <w:color w:val="2E54A1" w:themeColor="accent1" w:themeShade="BF"/>
      <w:kern w:val="0"/>
      <w:sz w:val="28"/>
      <w:szCs w:val="28"/>
    </w:rPr>
  </w:style>
  <w:style w:type="character" w:customStyle="1" w:styleId="32">
    <w:name w:val="标题 4 字符"/>
    <w:link w:val="5"/>
    <w:qFormat/>
    <w:uiPriority w:val="9"/>
    <w:rPr>
      <w:rFonts w:ascii="仿宋" w:hAnsi="仿宋" w:eastAsia="仿宋" w:cs="仿宋"/>
      <w:b/>
      <w:bCs/>
      <w:szCs w:val="32"/>
    </w:rPr>
  </w:style>
  <w:style w:type="paragraph" w:customStyle="1" w:styleId="33">
    <w:name w:val="四号正文"/>
    <w:basedOn w:val="1"/>
    <w:qFormat/>
    <w:uiPriority w:val="0"/>
    <w:pPr>
      <w:spacing w:line="360" w:lineRule="auto"/>
    </w:pPr>
    <w:rPr>
      <w:rFonts w:ascii="??" w:hAnsi="??"/>
      <w:color w:val="000000"/>
      <w:kern w:val="0"/>
      <w:sz w:val="28"/>
      <w:szCs w:val="21"/>
      <w:lang w:val="zh-CN"/>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jpeg"/><Relationship Id="rId11" Type="http://schemas.openxmlformats.org/officeDocument/2006/relationships/image" Target="media/image2.pn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152</Pages>
  <Words>0</Words>
  <Characters>0</Characters>
  <Lines>0</Lines>
  <Paragraphs>0</Paragraphs>
  <TotalTime>21</TotalTime>
  <ScaleCrop>false</ScaleCrop>
  <LinksUpToDate>false</LinksUpToDate>
  <CharactersWithSpaces>0</CharactersWithSpaces>
  <Application>WPS Office_11.8.2.12055_F1E327BC-269C-435d-A152-05C5408002CA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2024-09-02T23:49:00Z</dcterms:created>
  <dc:creator>星空</dc:creator>
  <cp:lastModifiedBy>x</cp:lastModifiedBy>
  <dcterms:modified xsi:type="dcterms:W3CDTF">2025-06-04T09:07:10Z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2052-11.8.2.12055</vt:lpwstr>
  </property>
  <property fmtid="{D5CDD505-2E9C-101B-9397-08002B2CF9AE}" pid="3" name="ICV">
    <vt:lpwstr>CDD16653A21F4067A5FF62FF54932B14_11</vt:lpwstr>
  </property>
</Properties>
</file>