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165" w:line="221" w:lineRule="auto"/>
        <w:ind w:left="2094" w:right="499" w:hanging="1161" w:firstLineChars="0"/>
        <w:jc w:val="left"/>
        <w:textAlignment w:val="baseline"/>
        <w:outlineLvl w:val="0"/>
        <w:rPr>
          <w:rFonts w:ascii="Times New Roman" w:hAnsi="Times New Roman" w:eastAsia="Times New Roman" w:cs="Times New Roman"/>
          <w:b/>
          <w:bCs/>
          <w:snapToGrid w:val="0"/>
          <w:color w:val="000000"/>
          <w:spacing w:val="8"/>
          <w:kern w:val="0"/>
          <w:sz w:val="51"/>
          <w:szCs w:val="51"/>
          <w:lang w:eastAsia="en-US"/>
        </w:rPr>
      </w:pPr>
    </w:p>
    <w:p>
      <w:pPr>
        <w:widowControl/>
        <w:kinsoku w:val="0"/>
        <w:autoSpaceDE w:val="0"/>
        <w:autoSpaceDN w:val="0"/>
        <w:adjustRightInd w:val="0"/>
        <w:snapToGrid w:val="0"/>
        <w:spacing w:before="165" w:line="221" w:lineRule="auto"/>
        <w:ind w:left="2094" w:right="499" w:hanging="1161" w:firstLineChars="0"/>
        <w:jc w:val="left"/>
        <w:textAlignment w:val="baseline"/>
        <w:outlineLvl w:val="0"/>
        <w:rPr>
          <w:rFonts w:ascii="宋体" w:hAnsi="宋体" w:eastAsia="宋体" w:cs="宋体"/>
          <w:snapToGrid w:val="0"/>
          <w:color w:val="000000"/>
          <w:kern w:val="0"/>
          <w:sz w:val="51"/>
          <w:szCs w:val="51"/>
          <w:lang w:eastAsia="en-US"/>
        </w:rPr>
      </w:pPr>
      <w:r>
        <w:rPr>
          <w:rFonts w:ascii="Times New Roman" w:hAnsi="Times New Roman" w:eastAsia="Times New Roman" w:cs="Times New Roman"/>
          <w:b/>
          <w:bCs/>
          <w:snapToGrid w:val="0"/>
          <w:color w:val="000000"/>
          <w:spacing w:val="8"/>
          <w:kern w:val="0"/>
          <w:sz w:val="51"/>
          <w:szCs w:val="51"/>
          <w:lang w:eastAsia="en-US"/>
        </w:rPr>
        <w:t>202</w:t>
      </w:r>
      <w:r>
        <w:rPr>
          <w:rFonts w:hint="eastAsia" w:ascii="Times New Roman" w:hAnsi="Times New Roman" w:eastAsia="宋体" w:cs="Times New Roman"/>
          <w:b/>
          <w:bCs/>
          <w:snapToGrid w:val="0"/>
          <w:color w:val="000000"/>
          <w:spacing w:val="8"/>
          <w:kern w:val="0"/>
          <w:sz w:val="51"/>
          <w:szCs w:val="51"/>
          <w:lang w:val="en-US" w:eastAsia="zh-CN"/>
        </w:rPr>
        <w:t>3</w:t>
      </w:r>
      <w:r>
        <w:rPr>
          <w:rFonts w:ascii="宋体" w:hAnsi="宋体" w:eastAsia="宋体" w:cs="宋体"/>
          <w:snapToGrid w:val="0"/>
          <w:color w:val="000000"/>
          <w:spacing w:val="8"/>
          <w:kern w:val="0"/>
          <w:sz w:val="51"/>
          <w:szCs w:val="51"/>
          <w:lang w:eastAsia="en-US"/>
        </w:rPr>
        <w:t>年</w:t>
      </w:r>
      <w:r>
        <w:rPr>
          <w:rFonts w:hint="eastAsia" w:ascii="宋体" w:hAnsi="宋体" w:eastAsia="宋体" w:cs="宋体"/>
          <w:snapToGrid w:val="0"/>
          <w:color w:val="000000"/>
          <w:spacing w:val="8"/>
          <w:kern w:val="0"/>
          <w:sz w:val="51"/>
          <w:szCs w:val="51"/>
          <w:lang w:eastAsia="zh-CN"/>
        </w:rPr>
        <w:t>区</w:t>
      </w:r>
      <w:r>
        <w:rPr>
          <w:rFonts w:ascii="宋体" w:hAnsi="宋体" w:eastAsia="宋体" w:cs="宋体"/>
          <w:snapToGrid w:val="0"/>
          <w:color w:val="000000"/>
          <w:spacing w:val="8"/>
          <w:kern w:val="0"/>
          <w:sz w:val="51"/>
          <w:szCs w:val="51"/>
          <w:lang w:eastAsia="en-US"/>
        </w:rPr>
        <w:t>级政策（</w:t>
      </w:r>
      <w:r>
        <w:rPr>
          <w:rFonts w:hint="eastAsia" w:ascii="宋体" w:hAnsi="宋体" w:eastAsia="宋体" w:cs="宋体"/>
          <w:snapToGrid w:val="0"/>
          <w:color w:val="000000"/>
          <w:spacing w:val="8"/>
          <w:kern w:val="0"/>
          <w:sz w:val="51"/>
          <w:szCs w:val="51"/>
          <w:lang w:val="en-US" w:eastAsia="zh-CN"/>
        </w:rPr>
        <w:t>部门</w:t>
      </w:r>
      <w:r>
        <w:rPr>
          <w:rFonts w:ascii="宋体" w:hAnsi="宋体" w:eastAsia="宋体" w:cs="宋体"/>
          <w:snapToGrid w:val="0"/>
          <w:color w:val="000000"/>
          <w:spacing w:val="8"/>
          <w:kern w:val="0"/>
          <w:sz w:val="51"/>
          <w:szCs w:val="51"/>
          <w:lang w:eastAsia="en-US"/>
        </w:rPr>
        <w:t>）支出</w:t>
      </w:r>
      <w:r>
        <w:rPr>
          <w:rFonts w:ascii="宋体" w:hAnsi="宋体" w:eastAsia="宋体" w:cs="宋体"/>
          <w:snapToGrid w:val="0"/>
          <w:color w:val="000000"/>
          <w:spacing w:val="9"/>
          <w:kern w:val="0"/>
          <w:sz w:val="51"/>
          <w:szCs w:val="51"/>
          <w:lang w:eastAsia="en-US"/>
        </w:rPr>
        <w:t>绩效评价报告汇编</w:t>
      </w: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pPr>
        <w:widowControl/>
        <w:kinsoku w:val="0"/>
        <w:autoSpaceDE w:val="0"/>
        <w:autoSpaceDN w:val="0"/>
        <w:adjustRightInd w:val="0"/>
        <w:snapToGrid w:val="0"/>
        <w:spacing w:before="129" w:line="186" w:lineRule="auto"/>
        <w:ind w:left="3513" w:firstLine="0" w:firstLineChars="0"/>
        <w:jc w:val="left"/>
        <w:textAlignment w:val="baseline"/>
        <w:rPr>
          <w:rFonts w:ascii="微软雅黑" w:hAnsi="微软雅黑" w:eastAsia="微软雅黑" w:cs="微软雅黑"/>
          <w:snapToGrid w:val="0"/>
          <w:color w:val="000000"/>
          <w:spacing w:val="-5"/>
          <w:kern w:val="0"/>
          <w:sz w:val="30"/>
          <w:szCs w:val="30"/>
          <w:lang w:eastAsia="en-US"/>
        </w:rPr>
      </w:pPr>
    </w:p>
    <w:p>
      <w:pPr>
        <w:widowControl/>
        <w:kinsoku w:val="0"/>
        <w:autoSpaceDE w:val="0"/>
        <w:autoSpaceDN w:val="0"/>
        <w:adjustRightInd w:val="0"/>
        <w:snapToGrid w:val="0"/>
        <w:spacing w:before="129" w:line="186" w:lineRule="auto"/>
        <w:ind w:left="3513" w:firstLine="0" w:firstLineChars="0"/>
        <w:jc w:val="left"/>
        <w:textAlignment w:val="baseline"/>
        <w:rPr>
          <w:rFonts w:ascii="微软雅黑" w:hAnsi="微软雅黑" w:eastAsia="微软雅黑" w:cs="微软雅黑"/>
          <w:snapToGrid w:val="0"/>
          <w:color w:val="000000"/>
          <w:spacing w:val="-5"/>
          <w:kern w:val="0"/>
          <w:sz w:val="30"/>
          <w:szCs w:val="30"/>
          <w:lang w:eastAsia="en-US"/>
        </w:rPr>
      </w:pPr>
    </w:p>
    <w:p>
      <w:pPr>
        <w:widowControl/>
        <w:kinsoku w:val="0"/>
        <w:autoSpaceDE w:val="0"/>
        <w:autoSpaceDN w:val="0"/>
        <w:adjustRightInd w:val="0"/>
        <w:snapToGrid w:val="0"/>
        <w:spacing w:before="129" w:line="186" w:lineRule="auto"/>
        <w:ind w:left="3513" w:firstLine="0" w:firstLineChars="0"/>
        <w:jc w:val="left"/>
        <w:textAlignment w:val="baseline"/>
        <w:rPr>
          <w:rFonts w:ascii="微软雅黑" w:hAnsi="微软雅黑" w:eastAsia="微软雅黑" w:cs="微软雅黑"/>
          <w:snapToGrid w:val="0"/>
          <w:color w:val="000000"/>
          <w:spacing w:val="-5"/>
          <w:kern w:val="0"/>
          <w:sz w:val="30"/>
          <w:szCs w:val="30"/>
          <w:lang w:eastAsia="en-US"/>
        </w:rPr>
      </w:pPr>
    </w:p>
    <w:p>
      <w:pPr>
        <w:widowControl/>
        <w:kinsoku w:val="0"/>
        <w:autoSpaceDE w:val="0"/>
        <w:autoSpaceDN w:val="0"/>
        <w:adjustRightInd w:val="0"/>
        <w:snapToGrid w:val="0"/>
        <w:spacing w:before="129" w:line="186" w:lineRule="auto"/>
        <w:ind w:left="3513" w:firstLine="0" w:firstLineChars="0"/>
        <w:jc w:val="left"/>
        <w:textAlignment w:val="baseline"/>
        <w:rPr>
          <w:rFonts w:ascii="微软雅黑" w:hAnsi="微软雅黑" w:eastAsia="微软雅黑" w:cs="微软雅黑"/>
          <w:snapToGrid w:val="0"/>
          <w:color w:val="000000"/>
          <w:spacing w:val="-5"/>
          <w:kern w:val="0"/>
          <w:sz w:val="30"/>
          <w:szCs w:val="30"/>
          <w:lang w:eastAsia="en-US"/>
        </w:rPr>
      </w:pPr>
    </w:p>
    <w:p>
      <w:pPr>
        <w:spacing w:line="240" w:lineRule="auto"/>
        <w:ind w:left="0" w:leftChars="0" w:firstLine="0" w:firstLineChars="0"/>
        <w:jc w:val="center"/>
        <w:outlineLvl w:val="0"/>
        <w:rPr>
          <w:rFonts w:hint="default" w:ascii="微软雅黑" w:hAnsi="微软雅黑" w:eastAsia="微软雅黑" w:cs="微软雅黑"/>
          <w:sz w:val="30"/>
          <w:szCs w:val="30"/>
          <w:lang w:val="en-US" w:eastAsia="zh-CN"/>
        </w:rPr>
      </w:pPr>
      <w:bookmarkStart w:id="0" w:name="_Toc14921"/>
      <w:r>
        <w:rPr>
          <w:rFonts w:ascii="微软雅黑" w:hAnsi="微软雅黑" w:eastAsia="微软雅黑" w:cs="微软雅黑"/>
          <w:spacing w:val="-5"/>
          <w:sz w:val="30"/>
          <w:szCs w:val="30"/>
        </w:rPr>
        <w:t>四川</w:t>
      </w:r>
      <w:r>
        <w:rPr>
          <w:rFonts w:hint="eastAsia" w:ascii="微软雅黑" w:hAnsi="微软雅黑" w:eastAsia="微软雅黑" w:cs="微软雅黑"/>
          <w:spacing w:val="-5"/>
          <w:sz w:val="30"/>
          <w:szCs w:val="30"/>
          <w:lang w:val="en-US" w:eastAsia="zh-CN"/>
        </w:rPr>
        <w:t>遂宁高新技术产业园区管理委员会</w:t>
      </w:r>
      <w:bookmarkEnd w:id="0"/>
    </w:p>
    <w:p>
      <w:pPr>
        <w:spacing w:line="240" w:lineRule="auto"/>
        <w:ind w:left="0"/>
        <w:jc w:val="center"/>
        <w:rPr>
          <w:rFonts w:ascii="微软雅黑" w:hAnsi="微软雅黑" w:eastAsia="微软雅黑" w:cs="微软雅黑"/>
          <w:sz w:val="30"/>
          <w:szCs w:val="30"/>
        </w:rPr>
      </w:pPr>
      <w:r>
        <w:rPr>
          <w:rFonts w:ascii="Times New Roman" w:hAnsi="Times New Roman" w:eastAsia="Times New Roman" w:cs="Times New Roman"/>
          <w:b/>
          <w:bCs/>
          <w:spacing w:val="-5"/>
          <w:sz w:val="30"/>
          <w:szCs w:val="30"/>
        </w:rPr>
        <w:t>202</w:t>
      </w:r>
      <w:r>
        <w:rPr>
          <w:rFonts w:hint="eastAsia" w:eastAsia="宋体" w:cs="Times New Roman"/>
          <w:b/>
          <w:bCs/>
          <w:spacing w:val="-5"/>
          <w:sz w:val="30"/>
          <w:szCs w:val="30"/>
          <w:lang w:val="en-US" w:eastAsia="zh-CN"/>
        </w:rPr>
        <w:t>4</w:t>
      </w:r>
      <w:r>
        <w:rPr>
          <w:rFonts w:ascii="微软雅黑" w:hAnsi="微软雅黑" w:eastAsia="微软雅黑" w:cs="微软雅黑"/>
          <w:spacing w:val="-5"/>
          <w:sz w:val="30"/>
          <w:szCs w:val="30"/>
        </w:rPr>
        <w:t>年</w:t>
      </w:r>
      <w:r>
        <w:rPr>
          <w:rFonts w:hint="eastAsia" w:ascii="Times New Roman" w:hAnsi="Times New Roman" w:eastAsia="宋体" w:cs="Times New Roman"/>
          <w:b/>
          <w:bCs/>
          <w:spacing w:val="-5"/>
          <w:sz w:val="30"/>
          <w:szCs w:val="30"/>
          <w:lang w:val="en-US" w:eastAsia="zh-CN"/>
        </w:rPr>
        <w:t>9</w:t>
      </w:r>
      <w:r>
        <w:rPr>
          <w:rFonts w:ascii="微软雅黑" w:hAnsi="微软雅黑" w:eastAsia="微软雅黑" w:cs="微软雅黑"/>
          <w:spacing w:val="-5"/>
          <w:sz w:val="30"/>
          <w:szCs w:val="30"/>
        </w:rPr>
        <w:t>月</w:t>
      </w:r>
    </w:p>
    <w:p>
      <w:pPr>
        <w:spacing w:line="203" w:lineRule="auto"/>
        <w:rPr>
          <w:rFonts w:ascii="微软雅黑" w:hAnsi="微软雅黑" w:eastAsia="微软雅黑" w:cs="微软雅黑"/>
          <w:sz w:val="30"/>
          <w:szCs w:val="30"/>
        </w:rPr>
        <w:sectPr>
          <w:footerReference r:id="rId5" w:type="default"/>
          <w:pgSz w:w="11905" w:h="16840"/>
          <w:pgMar w:top="1431" w:right="1785" w:bottom="0" w:left="1785" w:header="0" w:footer="0" w:gutter="0"/>
          <w:pgNumType w:fmt="decimal"/>
          <w:cols w:space="720" w:num="1"/>
        </w:sectPr>
      </w:pPr>
    </w:p>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bookmarkStart w:id="1" w:name="_Toc1001662228_WPSOffice_Type1"/>
      <w:r>
        <w:rPr>
          <w:rFonts w:hint="eastAsia" w:ascii="黑体" w:hAnsi="黑体" w:eastAsia="黑体" w:cs="黑体"/>
          <w:sz w:val="44"/>
          <w:szCs w:val="44"/>
        </w:rPr>
        <w:t>目录</w:t>
      </w:r>
    </w:p>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p>
    <w:p>
      <w:pPr>
        <w:keepNext w:val="0"/>
        <w:keepLines w:val="0"/>
        <w:pageBreakBefore w:val="0"/>
        <w:widowControl w:val="0"/>
        <w:kinsoku/>
        <w:wordWrap/>
        <w:topLinePunct w:val="0"/>
        <w:bidi w:val="0"/>
        <w:spacing w:line="480" w:lineRule="auto"/>
        <w:ind w:left="0" w:leftChars="0" w:firstLine="0" w:firstLineChars="0"/>
        <w:jc w:val="lef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1.</w:t>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_Toc1581677756_WPSOffice_Level1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四川遂宁高新技术产业园区发展改革与统计局2023年度部门整体支出绩效评价报告</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ab/>
      </w:r>
      <w:bookmarkStart w:id="2" w:name="_Toc1581677756_WPSOffice_Level1Page"/>
      <w:r>
        <w:rPr>
          <w:rFonts w:hint="eastAsia" w:ascii="宋体" w:hAnsi="宋体" w:eastAsia="宋体" w:cs="宋体"/>
          <w:b w:val="0"/>
          <w:bCs w:val="0"/>
          <w:sz w:val="28"/>
          <w:szCs w:val="28"/>
        </w:rPr>
        <w:t>1</w:t>
      </w:r>
      <w:bookmarkEnd w:id="2"/>
      <w:r>
        <w:rPr>
          <w:rFonts w:hint="eastAsia" w:ascii="宋体" w:hAnsi="宋体" w:eastAsia="宋体" w:cs="宋体"/>
          <w:b w:val="0"/>
          <w:bCs w:val="0"/>
          <w:sz w:val="28"/>
          <w:szCs w:val="28"/>
        </w:rPr>
        <w:fldChar w:fldCharType="end"/>
      </w:r>
    </w:p>
    <w:p>
      <w:pPr>
        <w:pStyle w:val="17"/>
        <w:keepNext w:val="0"/>
        <w:keepLines w:val="0"/>
        <w:pageBreakBefore w:val="0"/>
        <w:widowControl w:val="0"/>
        <w:kinsoku/>
        <w:wordWrap/>
        <w:topLinePunct w:val="0"/>
        <w:bidi w:val="0"/>
        <w:spacing w:before="0" w:beforeLines="0" w:after="0" w:afterLines="0" w:line="480" w:lineRule="auto"/>
        <w:ind w:left="0" w:firstLine="0" w:firstLineChars="0"/>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_Toc1937536164_WPSOffice_Level1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遂宁高新区企业发展服务中心2023年度部门整体支出绩效评价报告</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ab/>
      </w:r>
      <w:r>
        <w:rPr>
          <w:rFonts w:hint="eastAsia" w:ascii="宋体" w:hAnsi="宋体" w:cs="宋体"/>
          <w:b w:val="0"/>
          <w:bCs w:val="0"/>
          <w:sz w:val="28"/>
          <w:szCs w:val="28"/>
          <w:lang w:val="en-US" w:eastAsia="zh-CN"/>
        </w:rPr>
        <w:t>4</w:t>
      </w:r>
      <w:r>
        <w:rPr>
          <w:rFonts w:hint="eastAsia" w:ascii="宋体" w:hAnsi="宋体" w:eastAsia="宋体" w:cs="宋体"/>
          <w:b w:val="0"/>
          <w:bCs w:val="0"/>
          <w:sz w:val="28"/>
          <w:szCs w:val="28"/>
        </w:rPr>
        <w:fldChar w:fldCharType="end"/>
      </w:r>
      <w:r>
        <w:rPr>
          <w:rFonts w:hint="eastAsia" w:ascii="宋体" w:hAnsi="宋体" w:cs="宋体"/>
          <w:b w:val="0"/>
          <w:bCs w:val="0"/>
          <w:sz w:val="28"/>
          <w:szCs w:val="28"/>
          <w:lang w:val="en-US" w:eastAsia="zh-CN"/>
        </w:rPr>
        <w:t>5</w:t>
      </w:r>
    </w:p>
    <w:p>
      <w:pPr>
        <w:pStyle w:val="17"/>
        <w:keepNext w:val="0"/>
        <w:keepLines w:val="0"/>
        <w:pageBreakBefore w:val="0"/>
        <w:widowControl w:val="0"/>
        <w:kinsoku/>
        <w:wordWrap/>
        <w:topLinePunct w:val="0"/>
        <w:bidi w:val="0"/>
        <w:spacing w:before="0" w:beforeLines="0" w:after="0" w:afterLines="0" w:line="480" w:lineRule="auto"/>
        <w:ind w:left="0" w:firstLine="0" w:firstLineChars="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w:t>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_Toc1168515159_WPSOffice_Level1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遂宁市船山区保升乡初级中学校2023年度部门整体支出绩效评价报</w:t>
      </w:r>
      <w:r>
        <w:rPr>
          <w:rFonts w:hint="eastAsia" w:ascii="宋体" w:hAnsi="宋体" w:eastAsia="宋体" w:cs="宋体"/>
          <w:b w:val="0"/>
          <w:bCs w:val="0"/>
          <w:sz w:val="28"/>
          <w:szCs w:val="28"/>
          <w:lang w:val="en-US" w:eastAsia="zh-CN"/>
        </w:rPr>
        <w:t xml:space="preserve">告                                                  </w:t>
      </w:r>
      <w:bookmarkStart w:id="3" w:name="_Toc1168515159_WPSOffice_Level1Page"/>
      <w:r>
        <w:rPr>
          <w:rFonts w:hint="eastAsia" w:ascii="宋体" w:hAnsi="宋体" w:eastAsia="宋体" w:cs="宋体"/>
          <w:b w:val="0"/>
          <w:bCs w:val="0"/>
          <w:sz w:val="28"/>
          <w:szCs w:val="28"/>
        </w:rPr>
        <w:tab/>
      </w:r>
      <w:bookmarkEnd w:id="3"/>
      <w:r>
        <w:rPr>
          <w:rFonts w:hint="eastAsia" w:ascii="宋体" w:hAnsi="宋体" w:cs="宋体"/>
          <w:b w:val="0"/>
          <w:bCs w:val="0"/>
          <w:sz w:val="28"/>
          <w:szCs w:val="28"/>
          <w:lang w:val="en-US" w:eastAsia="zh-CN"/>
        </w:rPr>
        <w:t>8</w:t>
      </w:r>
      <w:r>
        <w:rPr>
          <w:rFonts w:hint="eastAsia" w:ascii="宋体" w:hAnsi="宋体" w:eastAsia="宋体" w:cs="宋体"/>
          <w:b w:val="0"/>
          <w:bCs w:val="0"/>
          <w:sz w:val="28"/>
          <w:szCs w:val="28"/>
        </w:rPr>
        <w:fldChar w:fldCharType="end"/>
      </w:r>
      <w:r>
        <w:rPr>
          <w:rFonts w:hint="eastAsia" w:ascii="宋体" w:hAnsi="宋体" w:cs="宋体"/>
          <w:b w:val="0"/>
          <w:bCs w:val="0"/>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480" w:lineRule="auto"/>
        <w:ind w:left="0" w:firstLine="0" w:firstLineChars="0"/>
        <w:jc w:val="center"/>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w:t>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_Toc773303924_WPSOffice_Level1 </w:instrText>
      </w:r>
      <w:r>
        <w:rPr>
          <w:rFonts w:hint="eastAsia" w:ascii="宋体" w:hAnsi="宋体" w:eastAsia="宋体" w:cs="宋体"/>
          <w:b w:val="0"/>
          <w:bCs w:val="0"/>
          <w:sz w:val="28"/>
          <w:szCs w:val="28"/>
        </w:rPr>
        <w:fldChar w:fldCharType="separate"/>
      </w:r>
      <w:bookmarkStart w:id="4" w:name="_Toc8003"/>
      <w:bookmarkStart w:id="5" w:name="_Toc7725"/>
      <w:bookmarkStart w:id="6" w:name="_Toc30430"/>
      <w:bookmarkStart w:id="7" w:name="_Toc31360"/>
      <w:bookmarkStart w:id="8" w:name="_Toc10251"/>
      <w:bookmarkStart w:id="9" w:name="_Toc6136"/>
      <w:bookmarkStart w:id="10" w:name="_Toc3366"/>
      <w:bookmarkStart w:id="11" w:name="_Toc30909"/>
      <w:bookmarkStart w:id="12" w:name="_Toc15731"/>
      <w:bookmarkStart w:id="13" w:name="_Toc3770"/>
      <w:bookmarkStart w:id="14" w:name="_Toc21356"/>
      <w:bookmarkStart w:id="15" w:name="_Toc7752"/>
      <w:bookmarkStart w:id="16" w:name="_Toc3906"/>
      <w:bookmarkStart w:id="17" w:name="_Toc19528"/>
      <w:bookmarkStart w:id="18" w:name="_Toc24285"/>
      <w:bookmarkStart w:id="19" w:name="_Toc11126"/>
      <w:bookmarkStart w:id="20" w:name="_Toc32695"/>
      <w:bookmarkStart w:id="21" w:name="_Toc19333"/>
      <w:bookmarkStart w:id="22" w:name="_Toc32393"/>
      <w:bookmarkStart w:id="23" w:name="_Toc4992"/>
      <w:r>
        <w:rPr>
          <w:rFonts w:hint="eastAsia" w:ascii="宋体" w:hAnsi="宋体" w:eastAsia="宋体" w:cs="宋体"/>
          <w:b w:val="0"/>
          <w:bCs w:val="0"/>
          <w:sz w:val="28"/>
          <w:szCs w:val="28"/>
        </w:rPr>
        <w:t>遂宁高新区市政公用事务中心2023年度部门整体支出绩效评价报告</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rFonts w:hint="eastAsia" w:ascii="宋体" w:hAnsi="宋体" w:eastAsia="宋体" w:cs="宋体"/>
          <w:b w:val="0"/>
          <w:bCs w:val="0"/>
          <w:sz w:val="28"/>
          <w:szCs w:val="28"/>
          <w:lang w:val="en-US" w:eastAsia="zh-CN"/>
        </w:rPr>
        <w:t xml:space="preserve">                                                 </w:t>
      </w:r>
      <w:bookmarkStart w:id="24" w:name="_Toc773303924_WPSOffice_Level1Page"/>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ab/>
      </w:r>
      <w:bookmarkEnd w:id="24"/>
      <w:r>
        <w:rPr>
          <w:rFonts w:hint="eastAsia" w:ascii="宋体" w:hAnsi="宋体" w:eastAsia="宋体" w:cs="宋体"/>
          <w:b w:val="0"/>
          <w:bCs w:val="0"/>
          <w:sz w:val="28"/>
          <w:szCs w:val="28"/>
          <w:lang w:val="en-US" w:eastAsia="zh-CN"/>
        </w:rPr>
        <w:t>1</w:t>
      </w:r>
      <w:r>
        <w:rPr>
          <w:rFonts w:hint="eastAsia" w:ascii="宋体" w:hAnsi="宋体" w:eastAsia="宋体" w:cs="宋体"/>
          <w:b w:val="0"/>
          <w:bCs w:val="0"/>
          <w:sz w:val="28"/>
          <w:szCs w:val="28"/>
        </w:rPr>
        <w:fldChar w:fldCharType="end"/>
      </w:r>
      <w:r>
        <w:rPr>
          <w:rFonts w:hint="eastAsia" w:ascii="宋体" w:hAnsi="宋体" w:eastAsia="宋体" w:cs="宋体"/>
          <w:b w:val="0"/>
          <w:bCs w:val="0"/>
          <w:sz w:val="28"/>
          <w:szCs w:val="28"/>
          <w:lang w:val="en-US" w:eastAsia="zh-CN"/>
        </w:rPr>
        <w:t>28</w:t>
      </w:r>
    </w:p>
    <w:p>
      <w:pPr>
        <w:pStyle w:val="17"/>
        <w:keepNext w:val="0"/>
        <w:keepLines w:val="0"/>
        <w:pageBreakBefore w:val="0"/>
        <w:widowControl w:val="0"/>
        <w:kinsoku/>
        <w:wordWrap/>
        <w:topLinePunct w:val="0"/>
        <w:bidi w:val="0"/>
        <w:spacing w:before="0" w:beforeLines="0" w:after="0" w:afterLines="0" w:line="480" w:lineRule="auto"/>
        <w:ind w:left="0" w:firstLine="0" w:firstLineChars="0"/>
        <w:outlineLvl w:val="9"/>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_Toc1053152155_WPSOffice_Level1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sz w:val="28"/>
          <w:szCs w:val="28"/>
        </w:rPr>
        <w:t>遂宁市市场监督管理局高新区分局2023年度部门整体支出绩效评价报告</w:t>
      </w:r>
      <w:r>
        <w:rPr>
          <w:rFonts w:hint="eastAsia" w:ascii="宋体" w:hAnsi="宋体" w:eastAsia="宋体" w:cs="宋体"/>
          <w:b w:val="0"/>
          <w:bCs w:val="0"/>
          <w:sz w:val="28"/>
          <w:szCs w:val="28"/>
          <w:lang w:val="en-US" w:eastAsia="zh-CN"/>
        </w:rPr>
        <w:t xml:space="preserve">                                               </w:t>
      </w:r>
      <w:bookmarkStart w:id="25" w:name="_Toc1053152155_WPSOffice_Level1Page"/>
      <w:r>
        <w:rPr>
          <w:rFonts w:hint="eastAsia" w:ascii="宋体" w:hAnsi="宋体" w:eastAsia="宋体" w:cs="宋体"/>
          <w:b w:val="0"/>
          <w:bCs w:val="0"/>
          <w:sz w:val="28"/>
          <w:szCs w:val="28"/>
        </w:rPr>
        <w:tab/>
      </w:r>
      <w:bookmarkEnd w:id="25"/>
      <w:r>
        <w:rPr>
          <w:rFonts w:hint="eastAsia" w:ascii="宋体" w:hAnsi="宋体" w:eastAsia="宋体" w:cs="宋体"/>
          <w:b w:val="0"/>
          <w:bCs w:val="0"/>
          <w:sz w:val="28"/>
          <w:szCs w:val="28"/>
        </w:rPr>
        <w:fldChar w:fldCharType="end"/>
      </w:r>
      <w:r>
        <w:rPr>
          <w:rFonts w:hint="eastAsia" w:ascii="宋体" w:hAnsi="宋体" w:cs="宋体"/>
          <w:b w:val="0"/>
          <w:bCs w:val="0"/>
          <w:sz w:val="28"/>
          <w:szCs w:val="28"/>
          <w:lang w:val="en-US" w:eastAsia="zh-CN"/>
        </w:rPr>
        <w:t>173</w:t>
      </w:r>
    </w:p>
    <w:p>
      <w:pPr>
        <w:keepNext w:val="0"/>
        <w:keepLines w:val="0"/>
        <w:pageBreakBefore w:val="0"/>
        <w:widowControl w:val="0"/>
        <w:kinsoku/>
        <w:wordWrap/>
        <w:overflowPunct w:val="0"/>
        <w:topLinePunct w:val="0"/>
        <w:autoSpaceDE w:val="0"/>
        <w:autoSpaceDN w:val="0"/>
        <w:bidi w:val="0"/>
        <w:adjustRightInd w:val="0"/>
        <w:snapToGrid w:val="0"/>
        <w:spacing w:line="480" w:lineRule="auto"/>
        <w:ind w:left="0" w:leftChars="0" w:firstLine="0" w:firstLineChars="0"/>
        <w:jc w:val="both"/>
        <w:textAlignment w:val="baseline"/>
        <w:outlineLvl w:val="9"/>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w:t>
      </w:r>
      <w:r>
        <w:rPr>
          <w:rFonts w:hint="eastAsia" w:ascii="宋体" w:hAnsi="宋体" w:eastAsia="宋体" w:cs="宋体"/>
          <w:b w:val="0"/>
          <w:bCs w:val="0"/>
          <w:sz w:val="28"/>
          <w:szCs w:val="28"/>
        </w:rPr>
        <w:fldChar w:fldCharType="begin"/>
      </w:r>
      <w:r>
        <w:rPr>
          <w:rFonts w:hint="eastAsia" w:ascii="宋体" w:hAnsi="宋体" w:eastAsia="宋体" w:cs="宋体"/>
          <w:b w:val="0"/>
          <w:bCs w:val="0"/>
          <w:sz w:val="28"/>
          <w:szCs w:val="28"/>
        </w:rPr>
        <w:instrText xml:space="preserve"> HYPERLINK \l _Toc636140686_WPSOffice_Level1 </w:instrText>
      </w:r>
      <w:r>
        <w:rPr>
          <w:rFonts w:hint="eastAsia" w:ascii="宋体" w:hAnsi="宋体" w:eastAsia="宋体" w:cs="宋体"/>
          <w:b w:val="0"/>
          <w:bCs w:val="0"/>
          <w:sz w:val="28"/>
          <w:szCs w:val="28"/>
        </w:rPr>
        <w:fldChar w:fldCharType="separate"/>
      </w:r>
      <w:r>
        <w:rPr>
          <w:rFonts w:hint="eastAsia" w:ascii="宋体" w:hAnsi="宋体" w:eastAsia="宋体" w:cs="宋体"/>
          <w:b w:val="0"/>
          <w:bCs w:val="0"/>
          <w:color w:val="auto"/>
          <w:sz w:val="28"/>
          <w:szCs w:val="28"/>
          <w:highlight w:val="none"/>
        </w:rPr>
        <w:t>遂宁高新区经济合作中心2023年度部门整体支出绩效评价报告</w:t>
      </w: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fldChar w:fldCharType="end"/>
      </w:r>
      <w:r>
        <w:rPr>
          <w:rFonts w:hint="eastAsia" w:ascii="宋体" w:hAnsi="宋体" w:eastAsia="宋体" w:cs="宋体"/>
          <w:b w:val="0"/>
          <w:bCs w:val="0"/>
          <w:sz w:val="28"/>
          <w:szCs w:val="28"/>
          <w:lang w:val="en-US" w:eastAsia="zh-CN"/>
        </w:rPr>
        <w:t>18</w:t>
      </w:r>
    </w:p>
    <w:bookmarkEnd w:id="1"/>
    <w:p>
      <w:pPr>
        <w:spacing w:line="800" w:lineRule="exact"/>
        <w:ind w:firstLine="0" w:firstLineChars="0"/>
        <w:jc w:val="center"/>
        <w:rPr>
          <w:rFonts w:hint="eastAsia" w:ascii="宋体" w:hAnsi="宋体" w:eastAsia="宋体" w:cs="宋体"/>
          <w:sz w:val="28"/>
          <w:szCs w:val="28"/>
          <w:lang w:val="en-US" w:eastAsia="zh-CN"/>
        </w:rPr>
      </w:pPr>
    </w:p>
    <w:p>
      <w:pPr>
        <w:spacing w:line="800" w:lineRule="exact"/>
        <w:ind w:firstLine="0" w:firstLineChars="0"/>
        <w:jc w:val="center"/>
        <w:rPr>
          <w:rFonts w:hint="eastAsia" w:ascii="黑体" w:hAnsi="黑体" w:eastAsia="黑体" w:cs="黑体"/>
          <w:sz w:val="44"/>
          <w:szCs w:val="44"/>
          <w:lang w:val="en-US" w:eastAsia="zh-CN"/>
        </w:rPr>
      </w:pPr>
    </w:p>
    <w:p>
      <w:pPr>
        <w:spacing w:line="800" w:lineRule="exact"/>
        <w:ind w:firstLine="0" w:firstLineChars="0"/>
        <w:jc w:val="center"/>
        <w:rPr>
          <w:rFonts w:hint="eastAsia" w:ascii="黑体" w:hAnsi="黑体" w:eastAsia="黑体" w:cs="黑体"/>
          <w:sz w:val="44"/>
          <w:szCs w:val="44"/>
          <w:lang w:val="en-US" w:eastAsia="zh-CN"/>
        </w:rPr>
      </w:pPr>
    </w:p>
    <w:p/>
    <w:p>
      <w:pPr>
        <w:pStyle w:val="25"/>
      </w:pPr>
    </w:p>
    <w:p>
      <w:pPr>
        <w:pStyle w:val="25"/>
      </w:pPr>
    </w:p>
    <w:p>
      <w:pPr>
        <w:pStyle w:val="25"/>
      </w:pPr>
    </w:p>
    <w:p>
      <w:pPr>
        <w:pStyle w:val="25"/>
      </w:pPr>
    </w:p>
    <w:p>
      <w:pPr>
        <w:pStyle w:val="17"/>
        <w:spacing w:before="240" w:after="240" w:line="360" w:lineRule="auto"/>
        <w:jc w:val="both"/>
        <w:outlineLvl w:val="9"/>
        <w:rPr>
          <w:rFonts w:hint="eastAsia" w:ascii="宋体" w:hAnsi="宋体" w:cs="宋体"/>
          <w:szCs w:val="44"/>
        </w:rPr>
        <w:sectPr>
          <w:headerReference r:id="rId6" w:type="default"/>
          <w:footerReference r:id="rId7" w:type="default"/>
          <w:pgSz w:w="11907" w:h="16840"/>
          <w:pgMar w:top="1440" w:right="1800" w:bottom="1440" w:left="1800" w:header="851" w:footer="992" w:gutter="0"/>
          <w:paperSrc w:first="4" w:other="4"/>
          <w:pgNumType w:start="1"/>
          <w:cols w:space="720" w:num="1"/>
          <w:docGrid w:linePitch="312" w:charSpace="0"/>
        </w:sectPr>
      </w:pPr>
      <w:bookmarkStart w:id="26" w:name="_Toc13035"/>
      <w:bookmarkStart w:id="27" w:name="_Toc27895"/>
      <w:bookmarkStart w:id="28" w:name="_Toc5735"/>
      <w:bookmarkStart w:id="29" w:name="_Toc3382"/>
      <w:bookmarkStart w:id="30" w:name="_Toc29327"/>
      <w:bookmarkStart w:id="31" w:name="_Toc30865"/>
      <w:bookmarkStart w:id="32" w:name="_Toc10620"/>
      <w:bookmarkStart w:id="33" w:name="_Toc25673"/>
      <w:bookmarkStart w:id="34" w:name="_Toc27140"/>
      <w:bookmarkStart w:id="35" w:name="_Toc15778"/>
      <w:bookmarkStart w:id="36" w:name="_Toc14544"/>
      <w:bookmarkStart w:id="37" w:name="_Toc23517"/>
    </w:p>
    <w:p>
      <w:pPr>
        <w:pStyle w:val="17"/>
        <w:spacing w:before="240" w:after="240" w:line="360" w:lineRule="auto"/>
        <w:jc w:val="both"/>
        <w:outlineLvl w:val="9"/>
        <w:rPr>
          <w:rFonts w:hint="eastAsia" w:ascii="宋体" w:hAnsi="宋体" w:cs="宋体"/>
          <w:szCs w:val="44"/>
        </w:rPr>
      </w:pPr>
      <w:r>
        <w:rPr>
          <w:rFonts w:hint="eastAsia" w:ascii="宋体" w:hAnsi="宋体" w:cs="宋体"/>
          <w:szCs w:val="44"/>
        </w:rPr>
        <w:t>四川遂宁高新技术产业园区发展改革与统计局2023年度</w:t>
      </w:r>
      <w:bookmarkEnd w:id="26"/>
      <w:bookmarkEnd w:id="27"/>
      <w:bookmarkEnd w:id="28"/>
      <w:bookmarkEnd w:id="29"/>
      <w:bookmarkEnd w:id="30"/>
      <w:bookmarkEnd w:id="31"/>
      <w:bookmarkEnd w:id="32"/>
      <w:bookmarkEnd w:id="33"/>
      <w:bookmarkEnd w:id="34"/>
      <w:bookmarkStart w:id="38" w:name="_Toc12117"/>
      <w:bookmarkStart w:id="39" w:name="_Toc14813"/>
      <w:bookmarkStart w:id="40" w:name="_Toc2431"/>
      <w:bookmarkStart w:id="41" w:name="_Toc28396"/>
      <w:bookmarkStart w:id="42" w:name="_Toc20742"/>
      <w:bookmarkStart w:id="43" w:name="_Toc11036"/>
      <w:bookmarkStart w:id="44" w:name="_Toc20863"/>
      <w:bookmarkStart w:id="45" w:name="_Toc20459"/>
      <w:bookmarkStart w:id="46" w:name="_Toc26344"/>
      <w:r>
        <w:rPr>
          <w:rFonts w:hint="eastAsia" w:ascii="宋体" w:hAnsi="宋体" w:cs="宋体"/>
          <w:szCs w:val="44"/>
        </w:rPr>
        <w:t>部门整体支出绩效评价报告</w:t>
      </w:r>
      <w:bookmarkEnd w:id="35"/>
      <w:bookmarkEnd w:id="36"/>
      <w:bookmarkEnd w:id="37"/>
      <w:bookmarkEnd w:id="38"/>
      <w:bookmarkEnd w:id="39"/>
      <w:bookmarkEnd w:id="40"/>
      <w:bookmarkEnd w:id="41"/>
      <w:bookmarkEnd w:id="42"/>
      <w:bookmarkEnd w:id="43"/>
      <w:bookmarkEnd w:id="44"/>
      <w:bookmarkEnd w:id="45"/>
      <w:bookmarkEnd w:id="46"/>
    </w:p>
    <w:p>
      <w:pPr>
        <w:pStyle w:val="17"/>
        <w:spacing w:before="120" w:beforeLines="50" w:after="120" w:afterLines="50"/>
        <w:rPr>
          <w:rFonts w:hint="eastAsia" w:ascii="黑体" w:hAnsi="黑体" w:eastAsia="黑体" w:cs="黑体"/>
          <w:b w:val="0"/>
          <w:bCs w:val="0"/>
          <w:szCs w:val="44"/>
        </w:rPr>
      </w:pPr>
      <w:bookmarkStart w:id="47" w:name="_Toc22401"/>
      <w:bookmarkStart w:id="48" w:name="_Toc4743"/>
      <w:bookmarkStart w:id="49" w:name="_Toc19736"/>
      <w:bookmarkStart w:id="50" w:name="_Toc12522"/>
      <w:bookmarkStart w:id="51" w:name="_Toc13397"/>
      <w:bookmarkStart w:id="52" w:name="_Toc21798"/>
      <w:r>
        <w:rPr>
          <w:rFonts w:hint="eastAsia" w:ascii="黑体" w:hAnsi="黑体" w:eastAsia="黑体" w:cs="黑体"/>
          <w:b w:val="0"/>
          <w:bCs w:val="0"/>
          <w:szCs w:val="44"/>
        </w:rPr>
        <w:t>摘要</w:t>
      </w:r>
      <w:bookmarkEnd w:id="47"/>
      <w:bookmarkEnd w:id="48"/>
      <w:bookmarkEnd w:id="49"/>
    </w:p>
    <w:p>
      <w:pPr>
        <w:widowControl/>
        <w:ind w:firstLine="640"/>
        <w:jc w:val="left"/>
        <w:rPr>
          <w:rFonts w:hint="eastAsia" w:ascii="黑体" w:hAnsi="黑体" w:eastAsia="黑体" w:cs="黑体"/>
          <w:color w:val="000000"/>
          <w:kern w:val="0"/>
          <w:szCs w:val="32"/>
          <w:lang w:bidi="ar"/>
        </w:rPr>
      </w:pPr>
      <w:bookmarkStart w:id="53" w:name="_Toc29455"/>
      <w:bookmarkStart w:id="54" w:name="_Toc24032"/>
      <w:bookmarkStart w:id="55" w:name="_Toc6193"/>
      <w:bookmarkStart w:id="56" w:name="_Toc1217"/>
      <w:bookmarkStart w:id="57" w:name="_Toc21849"/>
      <w:bookmarkStart w:id="58" w:name="_Toc3767"/>
      <w:r>
        <w:rPr>
          <w:rFonts w:hint="eastAsia" w:ascii="黑体" w:hAnsi="黑体" w:eastAsia="黑体" w:cs="黑体"/>
          <w:color w:val="000000"/>
          <w:kern w:val="0"/>
          <w:szCs w:val="32"/>
          <w:lang w:bidi="ar"/>
        </w:rPr>
        <w:t>部门情况</w:t>
      </w:r>
      <w:bookmarkEnd w:id="53"/>
      <w:bookmarkEnd w:id="54"/>
      <w:bookmarkEnd w:id="55"/>
      <w:bookmarkEnd w:id="56"/>
      <w:bookmarkEnd w:id="57"/>
      <w:bookmarkEnd w:id="58"/>
    </w:p>
    <w:p>
      <w:pPr>
        <w:snapToGrid w:val="0"/>
        <w:ind w:firstLine="640"/>
        <w:rPr>
          <w:rFonts w:hint="eastAsia" w:ascii="仿宋" w:hAnsi="仿宋" w:cs="仿宋"/>
          <w:color w:val="0000FF"/>
          <w:kern w:val="0"/>
          <w:szCs w:val="32"/>
          <w:shd w:val="clear" w:color="auto" w:fill="FFFFFF"/>
          <w:lang w:val="zh-CN"/>
        </w:rPr>
      </w:pPr>
      <w:r>
        <w:rPr>
          <w:rFonts w:hint="eastAsia" w:ascii="仿宋" w:hAnsi="仿宋" w:cs="仿宋"/>
          <w:szCs w:val="32"/>
        </w:rPr>
        <w:t>四川遂宁高新技术产业园区发展改革与统计局是遂宁高新区党工委（管委会）内设机构，四川遂宁高新技术产业园区发展改革与统计局是行政单位，内设6个工作组分别为：综合组、投资促进与重大项目管理组、经济和区域协调发展综合保障组、综合核算组、服务业与商贸组、工业与投资组。</w:t>
      </w:r>
    </w:p>
    <w:p>
      <w:pPr>
        <w:widowControl/>
        <w:ind w:firstLine="640"/>
        <w:jc w:val="left"/>
        <w:rPr>
          <w:rFonts w:hint="eastAsia" w:ascii="黑体" w:hAnsi="黑体" w:eastAsia="黑体" w:cs="黑体"/>
          <w:color w:val="000000"/>
          <w:kern w:val="0"/>
          <w:szCs w:val="32"/>
          <w:lang w:bidi="ar"/>
        </w:rPr>
      </w:pPr>
      <w:bookmarkStart w:id="59" w:name="_Toc6027"/>
      <w:bookmarkStart w:id="60" w:name="_Toc7904"/>
      <w:bookmarkStart w:id="61" w:name="_Toc14542"/>
      <w:bookmarkStart w:id="62" w:name="_Toc4768"/>
      <w:bookmarkStart w:id="63" w:name="_Toc8849"/>
      <w:bookmarkStart w:id="64" w:name="_Toc3671"/>
      <w:r>
        <w:rPr>
          <w:rFonts w:hint="eastAsia" w:ascii="黑体" w:hAnsi="黑体" w:eastAsia="黑体" w:cs="黑体"/>
          <w:color w:val="000000"/>
          <w:kern w:val="0"/>
          <w:szCs w:val="32"/>
          <w:lang w:bidi="ar"/>
        </w:rPr>
        <w:t>评价结论</w:t>
      </w:r>
      <w:bookmarkEnd w:id="59"/>
      <w:bookmarkEnd w:id="60"/>
      <w:bookmarkEnd w:id="61"/>
      <w:bookmarkEnd w:id="62"/>
      <w:bookmarkEnd w:id="63"/>
      <w:bookmarkEnd w:id="64"/>
    </w:p>
    <w:p>
      <w:pPr>
        <w:ind w:firstLine="640"/>
        <w:rPr>
          <w:rFonts w:hint="eastAsia" w:ascii="仿宋" w:hAnsi="仿宋" w:cs="仿宋"/>
        </w:rPr>
      </w:pPr>
      <w:r>
        <w:rPr>
          <w:rFonts w:hint="eastAsia" w:ascii="仿宋" w:hAnsi="仿宋" w:cs="仿宋"/>
        </w:rPr>
        <w:t>2023年度四川遂宁高新技术产业园区发展改革与统计局按规定编报了部门绩效目标，目标设立合理，符合绩效管理相关规定，与地区发展规划的目标方向一致，相应工作内容与职责相契合。</w:t>
      </w:r>
      <w:r>
        <w:rPr>
          <w:rFonts w:hint="eastAsia"/>
        </w:rPr>
        <w:t>但是部分绩效指标设置</w:t>
      </w:r>
      <w:r>
        <w:rPr>
          <w:rFonts w:hint="eastAsia" w:ascii="仿宋" w:hAnsi="仿宋" w:cs="仿宋"/>
        </w:rPr>
        <w:t>不够明确、细化和量化。四川遂宁高新技术产业园区发展改革与统计局制定了中长期发展规划，完成了本年度各项工作任务，实现了部门绩效总体目标和各项指标。四川遂宁高新技术产业园区发展改革与统计局紧抓预算管理和执行，完成了2023年度预算支出。“三公经费”年初预算1.00万元，调整</w:t>
      </w:r>
      <w:r>
        <w:rPr>
          <w:rStyle w:val="24"/>
          <w:rFonts w:hint="eastAsia"/>
          <w:sz w:val="32"/>
          <w:szCs w:val="32"/>
        </w:rPr>
        <w:t>后</w:t>
      </w:r>
      <w:r>
        <w:rPr>
          <w:rFonts w:hint="eastAsia" w:ascii="仿宋" w:hAnsi="仿宋" w:cs="仿宋"/>
        </w:rPr>
        <w:t>预算为0元，无实际支出，“三公经费”控制较好。2023年四川遂宁高新技术产业园区发展改革与统计局实际在职人员数量未超过遂宁高新区党工委</w:t>
      </w:r>
      <w:r>
        <w:rPr>
          <w:rFonts w:hint="eastAsia" w:ascii="仿宋" w:hAnsi="仿宋" w:cs="仿宋"/>
          <w:lang w:val="en-US" w:eastAsia="zh-CN"/>
        </w:rPr>
        <w:t>和遂宁高新区党群工作部</w:t>
      </w:r>
      <w:r>
        <w:rPr>
          <w:rFonts w:hint="eastAsia" w:ascii="仿宋" w:hAnsi="仿宋" w:cs="仿宋"/>
        </w:rPr>
        <w:t>的任命和工作安排通知确定的人员编制范围。部门制定了部分内部管理制度，但不够健全，相关资产管理工作存在不足，财务信息质量有待提高。2023年度四川遂宁高新技术产业园区发展改革与统计局各项工作任务均已顺利完成，较好地履行了部门工作职责。四川遂宁高新技术产业园区发展改革与统计局工作的完成发挥了相应的社会效益和一定的经济效益，群众满意度总体较高。经综合评议，四川遂宁高新技术产业园区发展改革与统计局2023年度部门整体支出绩效评价综合得分91.00分，综合绩效评定结论为“优”。</w:t>
      </w:r>
    </w:p>
    <w:p>
      <w:pPr>
        <w:pStyle w:val="2"/>
        <w:ind w:firstLine="640"/>
        <w:rPr>
          <w:rFonts w:hint="eastAsia"/>
        </w:rPr>
      </w:pPr>
      <w:bookmarkStart w:id="65" w:name="_Toc26847"/>
      <w:r>
        <w:rPr>
          <w:rFonts w:hint="eastAsia"/>
        </w:rPr>
        <w:t>绩效分析</w:t>
      </w:r>
      <w:bookmarkEnd w:id="65"/>
    </w:p>
    <w:p>
      <w:pPr>
        <w:ind w:firstLine="640"/>
        <w:rPr>
          <w:rFonts w:hint="eastAsia" w:ascii="仿宋" w:hAnsi="仿宋" w:cs="仿宋"/>
        </w:rPr>
      </w:pPr>
      <w:bookmarkStart w:id="66" w:name="_Toc847"/>
      <w:bookmarkStart w:id="67" w:name="_Toc11685"/>
      <w:bookmarkStart w:id="68" w:name="_Toc1456"/>
      <w:bookmarkStart w:id="69" w:name="_Toc18326"/>
      <w:bookmarkStart w:id="70" w:name="_Toc20537"/>
      <w:bookmarkStart w:id="71" w:name="_Toc10187"/>
      <w:r>
        <w:rPr>
          <w:rFonts w:hint="eastAsia" w:ascii="仿宋" w:hAnsi="仿宋" w:cs="仿宋"/>
          <w:szCs w:val="32"/>
        </w:rPr>
        <w:t>四川遂宁高新技术产业园区发展改革与统计局</w:t>
      </w:r>
      <w:r>
        <w:rPr>
          <w:rFonts w:hint="eastAsia" w:ascii="仿宋" w:hAnsi="仿宋" w:cs="仿宋"/>
        </w:rPr>
        <w:t>2023年度整体支出绩效评价，投入指标</w:t>
      </w:r>
      <w:r>
        <w:rPr>
          <w:rFonts w:hint="eastAsia"/>
        </w:rPr>
        <w:t>预算编制程序合规，能够按照管理要求申报，预算配置科学合理，能够较好完成全年预算，预算执行情况良好。</w:t>
      </w:r>
      <w:r>
        <w:rPr>
          <w:rFonts w:hint="eastAsia" w:ascii="仿宋" w:hAnsi="仿宋" w:cs="仿宋"/>
        </w:rPr>
        <w:t>指</w:t>
      </w:r>
      <w:r>
        <w:rPr>
          <w:rFonts w:hint="eastAsia"/>
        </w:rPr>
        <w:t>标设置不够细化、量化、可衡量</w:t>
      </w:r>
      <w:r>
        <w:rPr>
          <w:rFonts w:hint="eastAsia" w:ascii="仿宋" w:hAnsi="仿宋" w:cs="仿宋"/>
        </w:rPr>
        <w:t>。投入指标总分20.00分，得分为19.00分，得分率95%。过程指标预算执行总体可控，</w:t>
      </w:r>
      <w:r>
        <w:rPr>
          <w:rFonts w:hint="eastAsia"/>
        </w:rPr>
        <w:t>预算管理工作能够做到有管理有控制</w:t>
      </w:r>
      <w:r>
        <w:rPr>
          <w:rFonts w:hint="eastAsia" w:ascii="仿宋" w:hAnsi="仿宋" w:cs="仿宋"/>
        </w:rPr>
        <w:t>，建立了相应的管理制度，</w:t>
      </w:r>
      <w:r>
        <w:rPr>
          <w:rFonts w:hint="eastAsia"/>
        </w:rPr>
        <w:t>制度建设有待</w:t>
      </w:r>
      <w:r>
        <w:rPr>
          <w:rFonts w:hint="eastAsia" w:ascii="仿宋" w:hAnsi="仿宋" w:cs="仿宋"/>
        </w:rPr>
        <w:t>进一步完善，财务信息需要进一步规范，资产管理工作存在不足。过程指标总分30.00分，得分为23.00分，得分率76.67%。产出指标完成情况良好。</w:t>
      </w:r>
      <w:r>
        <w:rPr>
          <w:rFonts w:hint="eastAsia" w:ascii="仿宋" w:hAnsi="仿宋" w:cs="仿宋"/>
          <w:szCs w:val="32"/>
        </w:rPr>
        <w:t>四川遂宁高新技术产业园区发展改革与统计局</w:t>
      </w:r>
      <w:r>
        <w:rPr>
          <w:rFonts w:hint="eastAsia" w:ascii="仿宋" w:hAnsi="仿宋" w:cs="仿宋"/>
        </w:rPr>
        <w:t>2023年度基本完成了当年工作任务，相关成果数量和质量都达到绩效目标值。产出指标分值30.00分，得分为29.00分，得分率96.67%。效益指标实现情况较好，2023年度</w:t>
      </w:r>
      <w:r>
        <w:rPr>
          <w:rFonts w:hint="eastAsia" w:ascii="仿宋" w:hAnsi="仿宋" w:cs="仿宋"/>
          <w:szCs w:val="32"/>
        </w:rPr>
        <w:t>四川遂宁高新技术产业园区发展改革与统计局</w:t>
      </w:r>
      <w:r>
        <w:rPr>
          <w:rFonts w:hint="eastAsia" w:ascii="仿宋" w:hAnsi="仿宋" w:cs="仿宋"/>
        </w:rPr>
        <w:t>的工作开展和政策施行产生了一定的经济效益，具有较好的社会效益。调查对象总体满意度较高。效益指标分值20.00分，得分20.00分，得分率100.00%。</w:t>
      </w:r>
      <w:bookmarkEnd w:id="66"/>
      <w:bookmarkEnd w:id="67"/>
      <w:bookmarkEnd w:id="68"/>
      <w:bookmarkEnd w:id="69"/>
      <w:bookmarkEnd w:id="70"/>
      <w:bookmarkEnd w:id="71"/>
    </w:p>
    <w:p>
      <w:pPr>
        <w:pStyle w:val="2"/>
        <w:ind w:firstLine="640"/>
        <w:rPr>
          <w:rFonts w:hint="eastAsia" w:ascii="黑体" w:hAnsi="黑体" w:cs="黑体"/>
        </w:rPr>
      </w:pPr>
      <w:bookmarkStart w:id="72" w:name="_Toc31768"/>
      <w:bookmarkStart w:id="73" w:name="_Toc31173"/>
      <w:bookmarkStart w:id="74" w:name="_Toc17642"/>
      <w:bookmarkStart w:id="75" w:name="_Toc13296"/>
      <w:bookmarkStart w:id="76" w:name="_Toc646"/>
      <w:bookmarkStart w:id="77" w:name="_Toc25701"/>
      <w:bookmarkStart w:id="78" w:name="_Toc19825"/>
      <w:r>
        <w:rPr>
          <w:rFonts w:hint="eastAsia" w:ascii="黑体" w:hAnsi="黑体" w:cs="黑体"/>
        </w:rPr>
        <w:t>存在问题</w:t>
      </w:r>
      <w:bookmarkEnd w:id="72"/>
      <w:bookmarkEnd w:id="73"/>
      <w:bookmarkEnd w:id="74"/>
      <w:bookmarkEnd w:id="75"/>
      <w:bookmarkEnd w:id="76"/>
      <w:bookmarkEnd w:id="77"/>
      <w:bookmarkEnd w:id="78"/>
      <w:r>
        <w:rPr>
          <w:rFonts w:hint="eastAsia" w:ascii="黑体" w:hAnsi="黑体" w:cs="黑体"/>
        </w:rPr>
        <w:t>及建议</w:t>
      </w:r>
    </w:p>
    <w:p>
      <w:pPr>
        <w:ind w:firstLine="640"/>
        <w:rPr>
          <w:rFonts w:hint="eastAsia"/>
        </w:rPr>
      </w:pPr>
      <w:r>
        <w:rPr>
          <w:rFonts w:hint="eastAsia"/>
        </w:rPr>
        <w:t>本次绩效评价发现了</w:t>
      </w:r>
      <w:r>
        <w:rPr>
          <w:rFonts w:hint="eastAsia" w:ascii="仿宋" w:hAnsi="仿宋" w:cs="仿宋"/>
          <w:color w:val="000000"/>
          <w:kern w:val="0"/>
          <w:szCs w:val="32"/>
          <w:lang w:bidi="ar"/>
        </w:rPr>
        <w:t>单位预算</w:t>
      </w:r>
      <w:r>
        <w:rPr>
          <w:rFonts w:hint="eastAsia" w:ascii="仿宋" w:hAnsi="仿宋" w:cs="仿宋"/>
        </w:rPr>
        <w:t>指</w:t>
      </w:r>
      <w:r>
        <w:rPr>
          <w:rFonts w:hint="eastAsia"/>
        </w:rPr>
        <w:t>标设置不够细化、量化、可衡量</w:t>
      </w:r>
      <w:r>
        <w:rPr>
          <w:rFonts w:hint="eastAsia"/>
          <w:lang w:eastAsia="zh-CN"/>
        </w:rPr>
        <w:t>，</w:t>
      </w:r>
      <w:r>
        <w:rPr>
          <w:rFonts w:hint="eastAsia"/>
        </w:rPr>
        <w:t>固定资产与物料管理不足</w:t>
      </w:r>
      <w:r>
        <w:rPr>
          <w:rFonts w:hint="eastAsia"/>
          <w:lang w:eastAsia="zh-CN"/>
        </w:rPr>
        <w:t>，</w:t>
      </w:r>
      <w:r>
        <w:rPr>
          <w:rFonts w:hint="eastAsia"/>
        </w:rPr>
        <w:t>财务信息管控不严等问题。</w:t>
      </w:r>
    </w:p>
    <w:p>
      <w:pPr>
        <w:ind w:firstLine="640"/>
        <w:rPr>
          <w:rFonts w:hint="eastAsia"/>
        </w:rPr>
        <w:sectPr>
          <w:footerReference r:id="rId8" w:type="default"/>
          <w:pgSz w:w="11907" w:h="16840"/>
          <w:pgMar w:top="1440" w:right="1800" w:bottom="1440" w:left="1800" w:header="851" w:footer="992" w:gutter="0"/>
          <w:paperSrc w:first="4" w:other="4"/>
          <w:pgNumType w:fmt="decimal" w:start="1"/>
          <w:cols w:space="720" w:num="1"/>
          <w:docGrid w:linePitch="312" w:charSpace="0"/>
        </w:sectPr>
      </w:pPr>
      <w:r>
        <w:rPr>
          <w:rFonts w:hint="eastAsia"/>
        </w:rPr>
        <w:t>建议加强单位预算编制规范管理，加强单位固定资产管理工作，加强单位财务制度建立和经费报销管理。</w:t>
      </w:r>
    </w:p>
    <w:p>
      <w:pPr>
        <w:pStyle w:val="17"/>
        <w:spacing w:before="240" w:after="240"/>
        <w:outlineLvl w:val="9"/>
        <w:rPr>
          <w:rFonts w:hint="eastAsia" w:ascii="宋体" w:hAnsi="宋体" w:cs="宋体"/>
          <w:szCs w:val="44"/>
        </w:rPr>
      </w:pPr>
      <w:bookmarkStart w:id="79" w:name="_Toc29208"/>
      <w:bookmarkStart w:id="80" w:name="_Toc32584"/>
      <w:bookmarkStart w:id="81" w:name="_Toc29214"/>
      <w:bookmarkStart w:id="82" w:name="_Toc32442"/>
      <w:bookmarkStart w:id="83" w:name="_Toc31583"/>
      <w:bookmarkStart w:id="84" w:name="_Toc7739"/>
      <w:bookmarkStart w:id="85" w:name="_Toc6734"/>
      <w:bookmarkStart w:id="86" w:name="_Toc11935"/>
      <w:bookmarkStart w:id="87" w:name="_Toc2130"/>
      <w:r>
        <w:rPr>
          <w:rFonts w:hint="eastAsia" w:ascii="宋体" w:hAnsi="宋体" w:cs="宋体"/>
          <w:szCs w:val="44"/>
        </w:rPr>
        <w:t>四川遂宁高新技术产业园区发展改革与统计局2023年度</w:t>
      </w:r>
      <w:bookmarkEnd w:id="50"/>
      <w:bookmarkEnd w:id="51"/>
      <w:bookmarkEnd w:id="52"/>
      <w:bookmarkEnd w:id="79"/>
      <w:bookmarkEnd w:id="80"/>
      <w:bookmarkEnd w:id="81"/>
      <w:bookmarkEnd w:id="82"/>
      <w:bookmarkStart w:id="88" w:name="_Toc6715"/>
      <w:bookmarkStart w:id="89" w:name="_Toc21111"/>
      <w:bookmarkStart w:id="90" w:name="_Toc7342"/>
      <w:bookmarkStart w:id="91" w:name="_Toc32155"/>
      <w:bookmarkStart w:id="92" w:name="_Toc16487"/>
      <w:bookmarkStart w:id="93" w:name="_Toc4234"/>
      <w:bookmarkStart w:id="94" w:name="_Toc13232"/>
      <w:r>
        <w:rPr>
          <w:rFonts w:hint="eastAsia" w:ascii="宋体" w:hAnsi="宋体" w:cs="宋体"/>
          <w:szCs w:val="44"/>
        </w:rPr>
        <w:t>部门整体支出绩效评价报告</w:t>
      </w:r>
      <w:bookmarkEnd w:id="83"/>
      <w:bookmarkEnd w:id="84"/>
      <w:bookmarkEnd w:id="85"/>
      <w:bookmarkEnd w:id="86"/>
      <w:bookmarkEnd w:id="87"/>
      <w:bookmarkEnd w:id="88"/>
      <w:bookmarkEnd w:id="89"/>
      <w:bookmarkEnd w:id="90"/>
      <w:bookmarkEnd w:id="91"/>
      <w:bookmarkEnd w:id="92"/>
      <w:bookmarkEnd w:id="93"/>
      <w:bookmarkEnd w:id="94"/>
    </w:p>
    <w:p>
      <w:pPr>
        <w:pStyle w:val="2"/>
        <w:ind w:firstLine="640"/>
        <w:rPr>
          <w:rFonts w:hint="eastAsia"/>
          <w:bCs w:val="0"/>
        </w:rPr>
      </w:pPr>
      <w:bookmarkStart w:id="95" w:name="_Toc17570"/>
      <w:bookmarkStart w:id="96" w:name="_Toc14565"/>
      <w:bookmarkStart w:id="97" w:name="_Toc5965"/>
      <w:bookmarkStart w:id="98" w:name="_Toc5314"/>
      <w:bookmarkStart w:id="99" w:name="_Toc5281"/>
      <w:r>
        <w:rPr>
          <w:rFonts w:hint="eastAsia"/>
          <w:bCs w:val="0"/>
        </w:rPr>
        <w:t>一、</w:t>
      </w:r>
      <w:bookmarkEnd w:id="95"/>
      <w:bookmarkEnd w:id="96"/>
      <w:bookmarkEnd w:id="97"/>
      <w:r>
        <w:rPr>
          <w:rFonts w:hint="eastAsia"/>
          <w:bCs w:val="0"/>
        </w:rPr>
        <w:t>部门（单位）基本情况</w:t>
      </w:r>
      <w:bookmarkEnd w:id="98"/>
      <w:bookmarkEnd w:id="99"/>
    </w:p>
    <w:p>
      <w:pPr>
        <w:pStyle w:val="3"/>
        <w:ind w:firstLine="643"/>
        <w:rPr>
          <w:rFonts w:hint="eastAsia"/>
        </w:rPr>
      </w:pPr>
      <w:bookmarkStart w:id="100" w:name="_Toc12040"/>
      <w:bookmarkStart w:id="101" w:name="_Toc18035"/>
      <w:bookmarkStart w:id="102" w:name="_Toc402"/>
      <w:bookmarkStart w:id="103" w:name="_Toc10732"/>
      <w:bookmarkStart w:id="104" w:name="_Toc29738"/>
      <w:bookmarkStart w:id="105" w:name="_Toc28648"/>
      <w:r>
        <w:rPr>
          <w:rFonts w:hint="eastAsia"/>
        </w:rPr>
        <w:t>（一）部门（单位）概况</w:t>
      </w:r>
      <w:bookmarkEnd w:id="100"/>
      <w:bookmarkEnd w:id="101"/>
      <w:bookmarkEnd w:id="102"/>
      <w:bookmarkEnd w:id="103"/>
      <w:bookmarkEnd w:id="104"/>
    </w:p>
    <w:p>
      <w:pPr>
        <w:pStyle w:val="4"/>
        <w:ind w:firstLine="643"/>
        <w:rPr>
          <w:rFonts w:hint="eastAsia" w:cs="楷体"/>
        </w:rPr>
      </w:pPr>
      <w:r>
        <w:rPr>
          <w:rFonts w:hint="eastAsia" w:cs="楷体"/>
        </w:rPr>
        <w:t>1.</w:t>
      </w:r>
      <w:bookmarkEnd w:id="105"/>
      <w:r>
        <w:rPr>
          <w:rFonts w:hint="eastAsia" w:cs="楷体"/>
        </w:rPr>
        <w:t>单位概况</w:t>
      </w:r>
    </w:p>
    <w:p>
      <w:pPr>
        <w:ind w:firstLine="640"/>
        <w:rPr>
          <w:rFonts w:hint="eastAsia" w:ascii="仿宋" w:hAnsi="仿宋" w:cs="仿宋"/>
          <w:szCs w:val="32"/>
        </w:rPr>
      </w:pPr>
      <w:r>
        <w:rPr>
          <w:rFonts w:hint="eastAsia" w:ascii="仿宋" w:hAnsi="仿宋" w:cs="仿宋"/>
          <w:szCs w:val="32"/>
        </w:rPr>
        <w:t>四川遂宁高新技术产业园区发展改革与统计局（以下简称“发改统计局”）属于行政单位。单位办公地址为遂宁市船山区健坤大道68号。</w:t>
      </w:r>
    </w:p>
    <w:p>
      <w:pPr>
        <w:pStyle w:val="4"/>
        <w:ind w:firstLine="643"/>
        <w:rPr>
          <w:rFonts w:hint="eastAsia"/>
        </w:rPr>
      </w:pPr>
      <w:r>
        <w:rPr>
          <w:rFonts w:hint="eastAsia"/>
        </w:rPr>
        <w:t>2.单位机构设置</w:t>
      </w:r>
    </w:p>
    <w:p>
      <w:pPr>
        <w:ind w:firstLine="640"/>
        <w:rPr>
          <w:rFonts w:ascii="仿宋" w:hAnsi="仿宋" w:cs="仿宋"/>
          <w:szCs w:val="32"/>
        </w:rPr>
      </w:pPr>
      <w:bookmarkStart w:id="106" w:name="_Toc5701"/>
      <w:bookmarkStart w:id="107" w:name="_Toc28423"/>
      <w:r>
        <w:rPr>
          <w:rFonts w:hint="eastAsia" w:ascii="仿宋" w:hAnsi="仿宋" w:cs="仿宋"/>
          <w:szCs w:val="32"/>
        </w:rPr>
        <w:t>发改统计局</w:t>
      </w:r>
      <w:r>
        <w:rPr>
          <w:rFonts w:hint="eastAsia" w:ascii="仿宋" w:hAnsi="仿宋" w:cs="仿宋"/>
        </w:rPr>
        <w:t>现有</w:t>
      </w:r>
      <w:bookmarkEnd w:id="106"/>
      <w:bookmarkEnd w:id="107"/>
      <w:r>
        <w:rPr>
          <w:rFonts w:hint="eastAsia" w:ascii="仿宋" w:hAnsi="仿宋" w:cs="仿宋"/>
        </w:rPr>
        <w:t>综合组、投资促进与重大项目管理组、经济和区域协调发展综合保障组、综合核算组、服务业与商贸组、工业与投资组。</w:t>
      </w:r>
    </w:p>
    <w:p>
      <w:pPr>
        <w:spacing w:before="120" w:beforeLines="50" w:after="120" w:afterLines="50" w:line="240" w:lineRule="auto"/>
        <w:ind w:firstLine="0" w:firstLineChars="0"/>
        <w:jc w:val="center"/>
        <w:rPr>
          <w:rFonts w:hint="eastAsia" w:ascii="宋体" w:hAnsi="宋体" w:eastAsia="宋体" w:cs="宋体"/>
          <w:b/>
          <w:bCs/>
          <w:color w:val="444444"/>
          <w:spacing w:val="-3"/>
          <w:w w:val="95"/>
          <w:sz w:val="24"/>
          <w:szCs w:val="24"/>
        </w:rPr>
      </w:pPr>
      <w:r>
        <w:rPr>
          <w:rFonts w:hint="eastAsia" w:ascii="宋体" w:hAnsi="宋体" w:eastAsia="宋体" w:cs="宋体"/>
          <w:b/>
          <w:bCs/>
          <w:color w:val="444444"/>
          <w:spacing w:val="-3"/>
          <w:w w:val="95"/>
          <w:sz w:val="24"/>
          <w:szCs w:val="24"/>
        </w:rPr>
        <w:t>机构组成情况</w:t>
      </w:r>
    </w:p>
    <w:tbl>
      <w:tblPr>
        <w:tblStyle w:val="18"/>
        <w:tblW w:w="8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21"/>
        <w:gridCol w:w="4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521" w:type="dxa"/>
            <w:noWrap w:val="0"/>
            <w:vAlign w:val="center"/>
          </w:tcPr>
          <w:p>
            <w:pPr>
              <w:pStyle w:val="7"/>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单位名称</w:t>
            </w:r>
          </w:p>
        </w:tc>
        <w:tc>
          <w:tcPr>
            <w:tcW w:w="4739" w:type="dxa"/>
            <w:noWrap w:val="0"/>
            <w:vAlign w:val="center"/>
          </w:tcPr>
          <w:p>
            <w:pPr>
              <w:pStyle w:val="7"/>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内设办公室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521" w:type="dxa"/>
            <w:vMerge w:val="restart"/>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发改统计局</w:t>
            </w:r>
          </w:p>
        </w:tc>
        <w:tc>
          <w:tcPr>
            <w:tcW w:w="4739" w:type="dxa"/>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综合组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521" w:type="dxa"/>
            <w:vMerge w:val="continue"/>
            <w:noWrap w:val="0"/>
            <w:vAlign w:val="center"/>
          </w:tcPr>
          <w:p>
            <w:pPr>
              <w:pStyle w:val="7"/>
              <w:spacing w:line="240" w:lineRule="auto"/>
              <w:ind w:firstLine="0" w:firstLineChars="0"/>
              <w:jc w:val="center"/>
              <w:rPr>
                <w:rFonts w:hint="eastAsia" w:ascii="宋体" w:hAnsi="宋体" w:eastAsia="宋体" w:cs="宋体"/>
                <w:sz w:val="24"/>
                <w:szCs w:val="24"/>
              </w:rPr>
            </w:pPr>
          </w:p>
        </w:tc>
        <w:tc>
          <w:tcPr>
            <w:tcW w:w="4739" w:type="dxa"/>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投资促进与重大项目管理组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521" w:type="dxa"/>
            <w:vMerge w:val="continue"/>
            <w:noWrap w:val="0"/>
            <w:vAlign w:val="center"/>
          </w:tcPr>
          <w:p>
            <w:pPr>
              <w:pStyle w:val="7"/>
              <w:spacing w:line="240" w:lineRule="auto"/>
              <w:ind w:firstLine="400"/>
              <w:jc w:val="center"/>
              <w:rPr>
                <w:rFonts w:hint="eastAsia" w:ascii="宋体" w:hAnsi="宋体" w:eastAsia="宋体" w:cs="宋体"/>
                <w:sz w:val="24"/>
                <w:szCs w:val="24"/>
              </w:rPr>
            </w:pPr>
          </w:p>
        </w:tc>
        <w:tc>
          <w:tcPr>
            <w:tcW w:w="4739" w:type="dxa"/>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经济和区域协调发展综合保障组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521" w:type="dxa"/>
            <w:vMerge w:val="continue"/>
            <w:noWrap w:val="0"/>
            <w:vAlign w:val="center"/>
          </w:tcPr>
          <w:p>
            <w:pPr>
              <w:pStyle w:val="7"/>
              <w:spacing w:line="240" w:lineRule="auto"/>
              <w:ind w:firstLine="400"/>
              <w:jc w:val="center"/>
              <w:rPr>
                <w:rFonts w:hint="eastAsia" w:ascii="宋体" w:hAnsi="宋体" w:eastAsia="宋体" w:cs="宋体"/>
                <w:sz w:val="24"/>
                <w:szCs w:val="24"/>
              </w:rPr>
            </w:pPr>
          </w:p>
        </w:tc>
        <w:tc>
          <w:tcPr>
            <w:tcW w:w="4739" w:type="dxa"/>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综合核算组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3521" w:type="dxa"/>
            <w:vMerge w:val="continue"/>
            <w:noWrap w:val="0"/>
            <w:vAlign w:val="center"/>
          </w:tcPr>
          <w:p>
            <w:pPr>
              <w:pStyle w:val="7"/>
              <w:spacing w:line="240" w:lineRule="auto"/>
              <w:ind w:firstLine="400"/>
              <w:jc w:val="center"/>
              <w:rPr>
                <w:rFonts w:hint="eastAsia" w:ascii="宋体" w:hAnsi="宋体" w:eastAsia="宋体" w:cs="宋体"/>
                <w:sz w:val="24"/>
                <w:szCs w:val="24"/>
              </w:rPr>
            </w:pPr>
          </w:p>
        </w:tc>
        <w:tc>
          <w:tcPr>
            <w:tcW w:w="4739" w:type="dxa"/>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服务业与商贸组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521" w:type="dxa"/>
            <w:vMerge w:val="continue"/>
            <w:noWrap w:val="0"/>
            <w:vAlign w:val="center"/>
          </w:tcPr>
          <w:p>
            <w:pPr>
              <w:pStyle w:val="7"/>
              <w:spacing w:line="240" w:lineRule="auto"/>
              <w:ind w:firstLine="400"/>
              <w:jc w:val="center"/>
              <w:rPr>
                <w:rFonts w:hint="eastAsia" w:ascii="宋体" w:hAnsi="宋体" w:eastAsia="宋体" w:cs="宋体"/>
                <w:sz w:val="24"/>
                <w:szCs w:val="24"/>
              </w:rPr>
            </w:pPr>
          </w:p>
        </w:tc>
        <w:tc>
          <w:tcPr>
            <w:tcW w:w="4739" w:type="dxa"/>
            <w:noWrap w:val="0"/>
            <w:vAlign w:val="center"/>
          </w:tcPr>
          <w:p>
            <w:pPr>
              <w:pStyle w:val="7"/>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工业与投资组</w:t>
            </w:r>
          </w:p>
        </w:tc>
      </w:tr>
    </w:tbl>
    <w:p>
      <w:pPr>
        <w:pStyle w:val="4"/>
        <w:ind w:firstLine="643"/>
        <w:rPr>
          <w:rFonts w:hint="eastAsia" w:cs="楷体"/>
        </w:rPr>
      </w:pPr>
      <w:bookmarkStart w:id="108" w:name="_Toc28745"/>
      <w:r>
        <w:rPr>
          <w:rFonts w:hint="eastAsia" w:cs="楷体"/>
        </w:rPr>
        <w:t>3.</w:t>
      </w:r>
      <w:bookmarkEnd w:id="108"/>
      <w:r>
        <w:rPr>
          <w:rFonts w:hint="eastAsia" w:cs="楷体"/>
        </w:rPr>
        <w:t>人员编制</w:t>
      </w:r>
    </w:p>
    <w:p>
      <w:pPr>
        <w:ind w:firstLine="640"/>
        <w:rPr>
          <w:rFonts w:ascii="仿宋" w:hAnsi="仿宋" w:cs="仿宋"/>
          <w:szCs w:val="32"/>
        </w:rPr>
      </w:pPr>
      <w:r>
        <w:rPr>
          <w:rFonts w:hint="eastAsia" w:ascii="仿宋" w:hAnsi="仿宋" w:cs="仿宋"/>
          <w:szCs w:val="32"/>
        </w:rPr>
        <w:t>发改统计局核定编制8人，设局长1名，副局长2名。2023年末，实际编制数8人，事业编4人，行政编4人。</w:t>
      </w:r>
    </w:p>
    <w:p>
      <w:pPr>
        <w:pStyle w:val="4"/>
        <w:ind w:firstLine="643"/>
        <w:rPr>
          <w:rFonts w:hint="eastAsia"/>
        </w:rPr>
      </w:pPr>
      <w:r>
        <w:rPr>
          <w:rFonts w:hint="eastAsia" w:cs="楷体"/>
        </w:rPr>
        <w:t>4.职能定位</w:t>
      </w:r>
    </w:p>
    <w:p>
      <w:pPr>
        <w:pStyle w:val="8"/>
        <w:ind w:firstLine="640"/>
        <w:rPr>
          <w:rStyle w:val="27"/>
          <w:rFonts w:hint="eastAsia"/>
        </w:rPr>
      </w:pPr>
      <w:bookmarkStart w:id="109" w:name="_Toc27419"/>
      <w:bookmarkStart w:id="110" w:name="_Toc28709"/>
      <w:bookmarkStart w:id="111" w:name="_Toc22045"/>
      <w:bookmarkStart w:id="112" w:name="_Toc9765"/>
      <w:r>
        <w:rPr>
          <w:rStyle w:val="27"/>
          <w:rFonts w:hint="eastAsia"/>
        </w:rPr>
        <w:t>发改统计局承担的主要职能是：</w:t>
      </w:r>
    </w:p>
    <w:p>
      <w:pPr>
        <w:pStyle w:val="8"/>
        <w:ind w:firstLine="640"/>
        <w:rPr>
          <w:rFonts w:hint="eastAsia" w:ascii="仿宋" w:hAnsi="仿宋" w:cs="仿宋"/>
        </w:rPr>
      </w:pPr>
      <w:r>
        <w:rPr>
          <w:rFonts w:hint="eastAsia" w:ascii="仿宋" w:hAnsi="仿宋" w:cs="仿宋"/>
        </w:rPr>
        <w:t>（1）贯彻执行发展改革的法律法规和方针政策，制定并组织实施中长期规划和年度计划；</w:t>
      </w:r>
    </w:p>
    <w:p>
      <w:pPr>
        <w:pStyle w:val="8"/>
        <w:ind w:firstLine="640"/>
        <w:rPr>
          <w:rFonts w:hint="eastAsia" w:ascii="仿宋" w:hAnsi="仿宋" w:cs="仿宋"/>
        </w:rPr>
      </w:pPr>
      <w:r>
        <w:rPr>
          <w:rFonts w:hint="eastAsia" w:ascii="仿宋" w:hAnsi="仿宋" w:cs="仿宋"/>
        </w:rPr>
        <w:t>（2）承担物价、粮食流通、区域合作、招投标、铁路建设、能源发展、绿色发展等发展改革工作；</w:t>
      </w:r>
    </w:p>
    <w:p>
      <w:pPr>
        <w:pStyle w:val="8"/>
        <w:ind w:firstLine="640"/>
        <w:rPr>
          <w:rFonts w:hint="eastAsia" w:ascii="仿宋" w:hAnsi="仿宋" w:cs="仿宋"/>
        </w:rPr>
      </w:pPr>
      <w:r>
        <w:rPr>
          <w:rFonts w:hint="eastAsia" w:ascii="仿宋" w:hAnsi="仿宋" w:cs="仿宋"/>
        </w:rPr>
        <w:t>（3）负责宏观经济运行的监测、负责投资综合管理和协调推进重大项目建设；组织实施国民经济行业以及社会发展各领域的统计调查，人口、经济、农业等普查和重大国情国力专项调查；</w:t>
      </w:r>
    </w:p>
    <w:p>
      <w:pPr>
        <w:pStyle w:val="8"/>
        <w:ind w:firstLine="640"/>
        <w:rPr>
          <w:rFonts w:hint="eastAsia" w:ascii="仿宋" w:hAnsi="仿宋" w:cs="仿宋"/>
        </w:rPr>
      </w:pPr>
      <w:r>
        <w:rPr>
          <w:rFonts w:hint="eastAsia" w:ascii="仿宋" w:hAnsi="仿宋" w:cs="仿宋"/>
        </w:rPr>
        <w:t>（4）负责农业农村、林业、统筹城乡、脱贫攻坚成果巩固、乡村振兴等工作；</w:t>
      </w:r>
    </w:p>
    <w:p>
      <w:pPr>
        <w:pStyle w:val="8"/>
        <w:ind w:firstLine="640"/>
        <w:rPr>
          <w:rFonts w:hint="eastAsia" w:ascii="仿宋" w:hAnsi="仿宋" w:cs="仿宋"/>
        </w:rPr>
      </w:pPr>
      <w:r>
        <w:rPr>
          <w:rFonts w:hint="eastAsia" w:ascii="仿宋" w:hAnsi="仿宋" w:cs="仿宋"/>
        </w:rPr>
        <w:t>（5）负责防汛、抗旱、抢险、河湖、移民、粮食和物资储备、气象等工作；</w:t>
      </w:r>
    </w:p>
    <w:p>
      <w:pPr>
        <w:pStyle w:val="8"/>
        <w:ind w:firstLine="640"/>
        <w:rPr>
          <w:rFonts w:hint="eastAsia" w:ascii="仿宋" w:hAnsi="仿宋" w:cs="仿宋"/>
        </w:rPr>
      </w:pPr>
      <w:r>
        <w:rPr>
          <w:rFonts w:hint="eastAsia" w:ascii="仿宋" w:hAnsi="仿宋" w:cs="仿宋"/>
        </w:rPr>
        <w:t>（6）统筹做好天然气产业发展工作。</w:t>
      </w:r>
      <w:r>
        <w:rPr>
          <w:rFonts w:hint="eastAsia"/>
        </w:rPr>
        <w:t>完成党工委、管委会和上级有关部门交办的其他工作。</w:t>
      </w:r>
    </w:p>
    <w:p>
      <w:pPr>
        <w:pStyle w:val="3"/>
        <w:ind w:firstLine="643"/>
        <w:rPr>
          <w:rFonts w:hint="eastAsia"/>
        </w:rPr>
      </w:pPr>
      <w:bookmarkStart w:id="113" w:name="_Toc10394"/>
      <w:r>
        <w:rPr>
          <w:rFonts w:hint="eastAsia"/>
        </w:rPr>
        <w:t>（二）部门（单位）管理制度</w:t>
      </w:r>
      <w:bookmarkEnd w:id="109"/>
      <w:bookmarkEnd w:id="110"/>
      <w:bookmarkEnd w:id="111"/>
      <w:bookmarkEnd w:id="112"/>
      <w:bookmarkEnd w:id="113"/>
    </w:p>
    <w:p>
      <w:pPr>
        <w:widowControl/>
        <w:ind w:firstLine="640"/>
        <w:rPr>
          <w:rFonts w:hint="eastAsia" w:ascii="仿宋" w:hAnsi="仿宋" w:cs="宋体"/>
          <w:color w:val="000000"/>
          <w:kern w:val="0"/>
          <w:szCs w:val="32"/>
        </w:rPr>
      </w:pPr>
      <w:r>
        <w:rPr>
          <w:rFonts w:hint="eastAsia" w:ascii="仿宋" w:hAnsi="仿宋" w:cs="宋体"/>
          <w:color w:val="000000"/>
          <w:kern w:val="0"/>
          <w:szCs w:val="32"/>
        </w:rPr>
        <w:t>根据国家及区有关规定和文件精神，结合日常工作具体情况，发改统计局制定了相关制度文件保证日常业务有序开展。</w:t>
      </w:r>
    </w:p>
    <w:p>
      <w:pPr>
        <w:pStyle w:val="4"/>
        <w:ind w:firstLine="643"/>
        <w:rPr>
          <w:rFonts w:hint="eastAsia" w:cs="楷体"/>
        </w:rPr>
      </w:pPr>
      <w:bookmarkStart w:id="114" w:name="_Toc4486"/>
      <w:bookmarkStart w:id="115" w:name="_Toc8163"/>
      <w:r>
        <w:rPr>
          <w:rFonts w:hint="eastAsia" w:cs="楷体"/>
        </w:rPr>
        <w:t>1.内部管理</w:t>
      </w:r>
      <w:bookmarkEnd w:id="114"/>
      <w:bookmarkEnd w:id="115"/>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为进一步</w:t>
      </w:r>
      <w:r>
        <w:rPr>
          <w:rFonts w:hint="eastAsia" w:ascii="仿宋" w:hAnsi="仿宋" w:cs="仿宋"/>
          <w:szCs w:val="32"/>
        </w:rPr>
        <w:t>提升分局议事决策的科学性和规范性，增强工作的透明度，加强对决策重大事项的风险防控和监督管理，以及</w:t>
      </w:r>
      <w:r>
        <w:rPr>
          <w:rFonts w:hint="eastAsia" w:ascii="仿宋" w:hAnsi="仿宋" w:cs="仿宋"/>
          <w:color w:val="000000"/>
          <w:kern w:val="0"/>
          <w:szCs w:val="32"/>
          <w:lang w:bidi="ar"/>
        </w:rPr>
        <w:t>规范各个业务环节的管理，</w:t>
      </w:r>
      <w:r>
        <w:rPr>
          <w:rFonts w:hint="eastAsia" w:ascii="仿宋" w:hAnsi="仿宋" w:cs="宋体"/>
          <w:color w:val="000000"/>
          <w:kern w:val="0"/>
          <w:szCs w:val="32"/>
        </w:rPr>
        <w:t>发改统计局</w:t>
      </w:r>
      <w:r>
        <w:rPr>
          <w:rFonts w:hint="eastAsia" w:ascii="仿宋" w:hAnsi="仿宋" w:cs="仿宋"/>
          <w:szCs w:val="32"/>
        </w:rPr>
        <w:t>制定了《内设机构设置及工作人员分工建议方案（试行）》</w:t>
      </w:r>
      <w:r>
        <w:rPr>
          <w:rFonts w:hint="eastAsia" w:ascii="仿宋" w:hAnsi="仿宋" w:cs="仿宋"/>
        </w:rPr>
        <w:t>（遂高发改统计〔2023〕56号）、</w:t>
      </w:r>
      <w:r>
        <w:rPr>
          <w:rFonts w:hint="eastAsia" w:ascii="仿宋" w:hAnsi="仿宋" w:cs="仿宋"/>
          <w:szCs w:val="32"/>
        </w:rPr>
        <w:t>《财务管理制度（试行）</w:t>
      </w:r>
      <w:r>
        <w:rPr>
          <w:rFonts w:hint="eastAsia" w:ascii="仿宋" w:hAnsi="仿宋" w:cs="仿宋"/>
          <w:color w:val="000000"/>
          <w:kern w:val="0"/>
          <w:szCs w:val="32"/>
          <w:lang w:bidi="ar"/>
        </w:rPr>
        <w:t>》（遂高发改统计〔2022</w:t>
      </w:r>
      <w:r>
        <w:rPr>
          <w:rFonts w:hint="eastAsia" w:ascii="仿宋" w:hAnsi="仿宋" w:cs="仿宋"/>
          <w:szCs w:val="32"/>
        </w:rPr>
        <w:t>〕2号）、《“三重一大”事项集体决策制度（试行）》的通知（遂高发改统计〔2022〕1号）、</w:t>
      </w:r>
      <w:r>
        <w:rPr>
          <w:rFonts w:hint="eastAsia" w:ascii="仿宋" w:hAnsi="仿宋" w:cs="仿宋"/>
          <w:color w:val="000000"/>
          <w:kern w:val="0"/>
          <w:szCs w:val="32"/>
          <w:lang w:bidi="ar"/>
        </w:rPr>
        <w:t>《政府采购内部控制管理制度（试行）》</w:t>
      </w:r>
      <w:r>
        <w:rPr>
          <w:rFonts w:hint="eastAsia" w:ascii="仿宋" w:hAnsi="仿宋" w:cs="仿宋"/>
        </w:rPr>
        <w:t>（遂高发改统计〔2022〕2号）</w:t>
      </w:r>
      <w:r>
        <w:rPr>
          <w:rFonts w:hint="eastAsia" w:ascii="仿宋" w:hAnsi="仿宋" w:cs="仿宋"/>
          <w:szCs w:val="32"/>
        </w:rPr>
        <w:t>等管理制度。</w:t>
      </w:r>
      <w:r>
        <w:rPr>
          <w:rFonts w:hint="eastAsia" w:ascii="仿宋" w:hAnsi="仿宋" w:cs="仿宋"/>
          <w:color w:val="000000"/>
          <w:kern w:val="0"/>
          <w:szCs w:val="32"/>
          <w:lang w:bidi="ar"/>
        </w:rPr>
        <w:t>其他各项管理参照的《遂宁高新区党政办公室关于印发</w:t>
      </w:r>
      <w:r>
        <w:rPr>
          <w:rFonts w:hint="eastAsia"/>
        </w:rPr>
        <w:t>〈</w:t>
      </w:r>
      <w:r>
        <w:rPr>
          <w:rFonts w:hint="eastAsia" w:ascii="仿宋" w:hAnsi="仿宋" w:cs="仿宋"/>
          <w:color w:val="000000"/>
          <w:kern w:val="0"/>
          <w:szCs w:val="32"/>
          <w:lang w:bidi="ar"/>
        </w:rPr>
        <w:t>机关财务管理制度（试行）</w:t>
      </w:r>
      <w:r>
        <w:rPr>
          <w:rFonts w:hint="eastAsia"/>
        </w:rPr>
        <w:t>〉</w:t>
      </w:r>
      <w:r>
        <w:rPr>
          <w:rFonts w:hint="eastAsia" w:ascii="仿宋" w:hAnsi="仿宋" w:cs="仿宋"/>
          <w:color w:val="000000"/>
          <w:kern w:val="0"/>
          <w:szCs w:val="32"/>
          <w:lang w:bidi="ar"/>
        </w:rPr>
        <w:t>的通知》（遂高办</w:t>
      </w:r>
      <w:r>
        <w:rPr>
          <w:rFonts w:hint="eastAsia" w:ascii="仿宋" w:hAnsi="仿宋" w:cs="仿宋"/>
          <w:szCs w:val="32"/>
        </w:rPr>
        <w:t>〔2021〕</w:t>
      </w:r>
      <w:r>
        <w:rPr>
          <w:rFonts w:hint="eastAsia" w:ascii="仿宋" w:hAnsi="仿宋" w:cs="仿宋"/>
          <w:color w:val="000000"/>
          <w:kern w:val="0"/>
          <w:szCs w:val="32"/>
          <w:lang w:bidi="ar"/>
        </w:rPr>
        <w:t>269号）、</w:t>
      </w:r>
      <w:r>
        <w:rPr>
          <w:rFonts w:hint="eastAsia" w:ascii="仿宋" w:hAnsi="仿宋" w:cs="仿宋"/>
          <w:szCs w:val="32"/>
        </w:rPr>
        <w:t>《遂宁高新区党政办公室关于印</w:t>
      </w:r>
      <w:r>
        <w:rPr>
          <w:rFonts w:hint="eastAsia" w:ascii="仿宋" w:hAnsi="仿宋" w:eastAsia="仿宋" w:cs="仿宋"/>
          <w:szCs w:val="32"/>
        </w:rPr>
        <w:t>发</w:t>
      </w:r>
      <w:r>
        <w:rPr>
          <w:rFonts w:hint="eastAsia" w:ascii="仿宋" w:hAnsi="仿宋" w:eastAsia="仿宋" w:cs="仿宋"/>
          <w:color w:val="000000"/>
        </w:rPr>
        <w:t>&lt;</w:t>
      </w:r>
      <w:r>
        <w:rPr>
          <w:rFonts w:hint="eastAsia" w:ascii="仿宋" w:hAnsi="仿宋" w:eastAsia="仿宋" w:cs="仿宋"/>
          <w:szCs w:val="32"/>
        </w:rPr>
        <w:t>遂宁高新区财政性资金使用管理暂行办法（试行）</w:t>
      </w:r>
      <w:r>
        <w:rPr>
          <w:rFonts w:hint="eastAsia" w:ascii="仿宋" w:hAnsi="仿宋" w:eastAsia="仿宋" w:cs="仿宋"/>
          <w:color w:val="000000"/>
        </w:rPr>
        <w:t>&gt;</w:t>
      </w:r>
      <w:r>
        <w:rPr>
          <w:rFonts w:hint="eastAsia" w:ascii="仿宋" w:hAnsi="仿宋" w:eastAsia="仿宋" w:cs="仿宋"/>
          <w:szCs w:val="32"/>
        </w:rPr>
        <w:t>的通知》（遂高办〔2021〕270号）、</w:t>
      </w:r>
      <w:r>
        <w:rPr>
          <w:rFonts w:hint="eastAsia" w:ascii="仿宋" w:hAnsi="仿宋" w:eastAsia="仿宋" w:cs="仿宋"/>
          <w:color w:val="000000"/>
          <w:kern w:val="0"/>
          <w:szCs w:val="32"/>
          <w:lang w:bidi="ar"/>
        </w:rPr>
        <w:t>《遂宁市党</w:t>
      </w:r>
      <w:r>
        <w:rPr>
          <w:rFonts w:hint="eastAsia" w:ascii="仿宋" w:hAnsi="仿宋" w:cs="仿宋"/>
          <w:color w:val="000000"/>
          <w:kern w:val="0"/>
          <w:szCs w:val="32"/>
          <w:lang w:bidi="ar"/>
        </w:rPr>
        <w:t>政机关国内公务接待管理实施办法的通知》（遂委办发</w:t>
      </w:r>
      <w:r>
        <w:rPr>
          <w:rFonts w:hint="eastAsia" w:ascii="仿宋" w:hAnsi="仿宋" w:cs="仿宋"/>
          <w:szCs w:val="32"/>
        </w:rPr>
        <w:t>〔2014〕</w:t>
      </w:r>
      <w:r>
        <w:rPr>
          <w:rFonts w:hint="eastAsia" w:ascii="仿宋" w:hAnsi="仿宋" w:cs="仿宋"/>
          <w:color w:val="000000"/>
          <w:kern w:val="0"/>
          <w:szCs w:val="32"/>
          <w:lang w:bidi="ar"/>
        </w:rPr>
        <w:t>18号）、《遂宁市财政局遂宁市监察局遂宁市审计局遂宁市市机关事务管理局关于严格执行国内公务接待管理和接待费使用管理有关规定的通知》（遂财行</w:t>
      </w:r>
      <w:r>
        <w:rPr>
          <w:rFonts w:hint="eastAsia" w:ascii="仿宋" w:hAnsi="仿宋" w:cs="仿宋"/>
          <w:szCs w:val="32"/>
        </w:rPr>
        <w:t>〔2015〕</w:t>
      </w:r>
      <w:r>
        <w:rPr>
          <w:rFonts w:hint="eastAsia" w:ascii="仿宋" w:hAnsi="仿宋" w:cs="仿宋"/>
          <w:color w:val="000000"/>
          <w:kern w:val="0"/>
          <w:szCs w:val="32"/>
          <w:lang w:bidi="ar"/>
        </w:rPr>
        <w:t>2号）、《遂宁市市直机关会议费管理办法》（遂委办发</w:t>
      </w:r>
      <w:r>
        <w:rPr>
          <w:rFonts w:hint="eastAsia" w:ascii="仿宋" w:hAnsi="仿宋" w:cs="仿宋"/>
          <w:szCs w:val="32"/>
        </w:rPr>
        <w:t>〔2014〕</w:t>
      </w:r>
      <w:r>
        <w:rPr>
          <w:rFonts w:hint="eastAsia" w:ascii="仿宋" w:hAnsi="仿宋" w:cs="仿宋"/>
          <w:color w:val="000000"/>
          <w:kern w:val="0"/>
          <w:szCs w:val="32"/>
          <w:lang w:bidi="ar"/>
        </w:rPr>
        <w:t>18号）、《遂宁高新区财政性资金使用管理暂行办法（试行）》等文件规定执行。</w:t>
      </w:r>
      <w:bookmarkStart w:id="116" w:name="_Toc29217"/>
      <w:bookmarkStart w:id="117" w:name="_Toc30136"/>
    </w:p>
    <w:p>
      <w:pPr>
        <w:pStyle w:val="4"/>
        <w:ind w:firstLine="643"/>
        <w:rPr>
          <w:rFonts w:hint="eastAsia" w:cs="楷体"/>
        </w:rPr>
      </w:pPr>
      <w:r>
        <w:rPr>
          <w:rFonts w:hint="eastAsia" w:cs="楷体"/>
        </w:rPr>
        <w:t>2.业务管理</w:t>
      </w:r>
      <w:bookmarkEnd w:id="116"/>
      <w:bookmarkEnd w:id="117"/>
    </w:p>
    <w:p>
      <w:pPr>
        <w:ind w:firstLine="640"/>
        <w:rPr>
          <w:rFonts w:hint="eastAsia" w:ascii="仿宋" w:hAnsi="仿宋" w:cs="仿宋"/>
        </w:rPr>
      </w:pPr>
      <w:r>
        <w:rPr>
          <w:rFonts w:hint="eastAsia" w:ascii="仿宋" w:hAnsi="仿宋" w:cs="仿宋"/>
        </w:rPr>
        <w:t>业务</w:t>
      </w:r>
      <w:r>
        <w:rPr>
          <w:rFonts w:hint="eastAsia" w:ascii="仿宋" w:hAnsi="仿宋" w:cs="仿宋"/>
          <w:lang w:val="en-US" w:eastAsia="zh-CN"/>
        </w:rPr>
        <w:t>管理</w:t>
      </w:r>
      <w:r>
        <w:rPr>
          <w:rFonts w:hint="eastAsia" w:ascii="仿宋" w:hAnsi="仿宋" w:cs="仿宋"/>
        </w:rPr>
        <w:t>根据</w:t>
      </w:r>
      <w:r>
        <w:rPr>
          <w:rFonts w:hint="eastAsia" w:ascii="仿宋" w:hAnsi="仿宋" w:cs="仿宋"/>
          <w:szCs w:val="32"/>
        </w:rPr>
        <w:t>《遂高发改统计关于印发</w:t>
      </w:r>
      <w:r>
        <w:rPr>
          <w:rFonts w:hint="eastAsia" w:ascii="仿宋" w:hAnsi="仿宋" w:cs="仿宋"/>
        </w:rPr>
        <w:t>〈</w:t>
      </w:r>
      <w:r>
        <w:rPr>
          <w:rFonts w:hint="eastAsia" w:ascii="仿宋" w:hAnsi="仿宋" w:cs="仿宋"/>
          <w:szCs w:val="32"/>
        </w:rPr>
        <w:t>内设机构设置及工作人员分工建议方案（试行）</w:t>
      </w:r>
      <w:r>
        <w:rPr>
          <w:rFonts w:hint="eastAsia" w:ascii="仿宋" w:hAnsi="仿宋" w:cs="仿宋"/>
        </w:rPr>
        <w:t>〉</w:t>
      </w:r>
      <w:r>
        <w:rPr>
          <w:rFonts w:hint="eastAsia"/>
          <w:color w:val="000000"/>
        </w:rPr>
        <w:t>的通知</w:t>
      </w:r>
      <w:r>
        <w:rPr>
          <w:rFonts w:hint="eastAsia" w:ascii="仿宋" w:hAnsi="仿宋" w:cs="仿宋"/>
          <w:szCs w:val="32"/>
        </w:rPr>
        <w:t>》</w:t>
      </w:r>
      <w:r>
        <w:rPr>
          <w:rFonts w:hint="eastAsia" w:ascii="仿宋" w:hAnsi="仿宋" w:cs="仿宋"/>
        </w:rPr>
        <w:t>（遂高发改统计〔2023〕56号）、《中共遂宁市办公室市人民政府办公室关于印发〈遂宁市重点项目推进“红黑榜”通报和奖惩工作机制（试行）〉的通知》（遂委办〔2022</w:t>
      </w:r>
      <w:r>
        <w:rPr>
          <w:rFonts w:hint="eastAsia" w:ascii="仿宋" w:hAnsi="仿宋" w:cs="仿宋"/>
          <w:szCs w:val="32"/>
        </w:rPr>
        <w:t>〕</w:t>
      </w:r>
      <w:r>
        <w:rPr>
          <w:rFonts w:hint="eastAsia" w:ascii="仿宋" w:hAnsi="仿宋" w:cs="仿宋"/>
        </w:rPr>
        <w:t>21号）、《研究全市统计工作的会议纪要</w:t>
      </w:r>
      <w:bookmarkStart w:id="118" w:name="OLE_LINK1"/>
      <w:r>
        <w:rPr>
          <w:rFonts w:hint="eastAsia" w:ascii="仿宋" w:hAnsi="仿宋" w:cs="仿宋"/>
        </w:rPr>
        <w:t>》</w:t>
      </w:r>
      <w:bookmarkEnd w:id="118"/>
      <w:r>
        <w:rPr>
          <w:rFonts w:hint="eastAsia" w:ascii="仿宋" w:hAnsi="仿宋" w:cs="仿宋"/>
        </w:rPr>
        <w:t>（遂府阅〔2011</w:t>
      </w:r>
      <w:r>
        <w:rPr>
          <w:rFonts w:hint="eastAsia" w:ascii="仿宋" w:hAnsi="仿宋" w:cs="仿宋"/>
          <w:szCs w:val="32"/>
        </w:rPr>
        <w:t>〕</w:t>
      </w:r>
      <w:r>
        <w:rPr>
          <w:rFonts w:hint="eastAsia" w:ascii="仿宋" w:hAnsi="仿宋" w:cs="仿宋"/>
        </w:rPr>
        <w:t>81号）、《国务院关于开展第五次全国经济普查的通知》（国发〔2022</w:t>
      </w:r>
      <w:r>
        <w:rPr>
          <w:rFonts w:hint="eastAsia" w:ascii="仿宋" w:hAnsi="仿宋" w:cs="仿宋"/>
          <w:szCs w:val="32"/>
        </w:rPr>
        <w:t>〕</w:t>
      </w:r>
      <w:r>
        <w:rPr>
          <w:rFonts w:hint="eastAsia" w:ascii="仿宋" w:hAnsi="仿宋" w:cs="仿宋"/>
        </w:rPr>
        <w:t>22号）、《四川省人民政府关于做好第五次全国经济普查工作的通知》（川府发〔2022</w:t>
      </w:r>
      <w:r>
        <w:rPr>
          <w:rFonts w:hint="eastAsia" w:ascii="仿宋" w:hAnsi="仿宋" w:cs="仿宋"/>
          <w:szCs w:val="32"/>
        </w:rPr>
        <w:t>〕</w:t>
      </w:r>
      <w:r>
        <w:rPr>
          <w:rFonts w:hint="eastAsia" w:ascii="仿宋" w:hAnsi="仿宋" w:cs="仿宋"/>
        </w:rPr>
        <w:t>36号）等相关法律法规执行。</w:t>
      </w:r>
    </w:p>
    <w:p>
      <w:pPr>
        <w:pStyle w:val="3"/>
        <w:ind w:firstLine="643"/>
        <w:rPr>
          <w:rFonts w:hint="eastAsia"/>
        </w:rPr>
      </w:pPr>
      <w:bookmarkStart w:id="119" w:name="_Toc29950"/>
      <w:bookmarkStart w:id="120" w:name="_Toc5034"/>
      <w:bookmarkStart w:id="121" w:name="_Toc23070"/>
      <w:bookmarkStart w:id="122" w:name="_Toc7611"/>
      <w:bookmarkStart w:id="123" w:name="_Toc17419"/>
      <w:r>
        <w:rPr>
          <w:rFonts w:hint="eastAsia"/>
        </w:rPr>
        <w:t>（三）部门（单位）预算资金</w:t>
      </w:r>
      <w:bookmarkEnd w:id="119"/>
      <w:bookmarkEnd w:id="120"/>
      <w:bookmarkEnd w:id="121"/>
      <w:bookmarkEnd w:id="122"/>
      <w:bookmarkEnd w:id="123"/>
    </w:p>
    <w:p>
      <w:pPr>
        <w:pStyle w:val="4"/>
        <w:ind w:firstLine="643"/>
        <w:rPr>
          <w:rFonts w:hint="eastAsia" w:cs="楷体"/>
        </w:rPr>
      </w:pPr>
      <w:r>
        <w:rPr>
          <w:rFonts w:hint="eastAsia" w:cs="楷体"/>
        </w:rPr>
        <w:t>1.预算安排和执行情况</w:t>
      </w:r>
    </w:p>
    <w:p>
      <w:pPr>
        <w:widowControl/>
        <w:ind w:firstLine="640"/>
        <w:rPr>
          <w:rFonts w:hint="eastAsia" w:ascii="仿宋" w:hAnsi="仿宋" w:cs="仿宋"/>
          <w:color w:val="000000"/>
          <w:kern w:val="0"/>
          <w:szCs w:val="32"/>
        </w:rPr>
      </w:pPr>
      <w:r>
        <w:rPr>
          <w:rFonts w:hint="eastAsia" w:ascii="仿宋" w:hAnsi="仿宋" w:cs="仿宋"/>
          <w:color w:val="000000"/>
          <w:kern w:val="0"/>
          <w:szCs w:val="32"/>
        </w:rPr>
        <w:t>2023年</w:t>
      </w:r>
      <w:r>
        <w:rPr>
          <w:rFonts w:hint="eastAsia" w:ascii="仿宋" w:hAnsi="仿宋" w:cs="仿宋"/>
          <w:color w:val="000000"/>
          <w:kern w:val="0"/>
          <w:szCs w:val="32"/>
          <w:lang w:bidi="ar"/>
        </w:rPr>
        <w:t>发改统计局</w:t>
      </w:r>
      <w:r>
        <w:rPr>
          <w:rFonts w:hint="eastAsia" w:ascii="仿宋" w:hAnsi="仿宋" w:cs="仿宋"/>
          <w:color w:val="000000"/>
          <w:kern w:val="0"/>
          <w:szCs w:val="32"/>
        </w:rPr>
        <w:t>年初预算总额815.21万元，其中资金来源于一般公共预算815.21万元，其他收入0万元。后经预算调整，预算总额为851.94万元，其中基本支出63.60万元（人员经费42.78万元、公用经费20.82万元），项目支出788.34万元。</w:t>
      </w:r>
    </w:p>
    <w:p>
      <w:pPr>
        <w:widowControl/>
        <w:ind w:firstLine="640"/>
        <w:rPr>
          <w:rFonts w:hint="eastAsia" w:ascii="仿宋" w:hAnsi="仿宋" w:cs="仿宋"/>
          <w:color w:val="000000"/>
          <w:kern w:val="0"/>
          <w:szCs w:val="32"/>
        </w:rPr>
      </w:pPr>
      <w:r>
        <w:rPr>
          <w:rFonts w:hint="eastAsia" w:ascii="仿宋" w:hAnsi="仿宋" w:cs="仿宋"/>
          <w:color w:val="000000"/>
        </w:rPr>
        <w:t>2023年发改统计局全年共</w:t>
      </w:r>
      <w:r>
        <w:rPr>
          <w:rFonts w:hint="eastAsia" w:ascii="仿宋" w:hAnsi="仿宋" w:cs="仿宋"/>
          <w:color w:val="000000"/>
          <w:kern w:val="0"/>
          <w:szCs w:val="32"/>
        </w:rPr>
        <w:t>支出851.94万元，其中人员经费支出42.78万元，占总支出的5.02%，公用经费支出20.82万元，占总支出的2.45%，项目支出788.34万元，占总支出的92.53%。</w:t>
      </w:r>
    </w:p>
    <w:p>
      <w:pPr>
        <w:widowControl/>
        <w:ind w:firstLine="640"/>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预算安排与执行情况表</w:t>
      </w:r>
    </w:p>
    <w:p>
      <w:pPr>
        <w:widowControl/>
        <w:ind w:firstLine="0" w:firstLineChars="0"/>
        <w:jc w:val="right"/>
        <w:rPr>
          <w:rFonts w:hint="eastAsia" w:ascii="宋体" w:hAnsi="宋体" w:eastAsia="宋体" w:cs="宋体"/>
          <w:color w:val="000000"/>
          <w:kern w:val="0"/>
          <w:sz w:val="28"/>
          <w:szCs w:val="28"/>
        </w:rPr>
      </w:pPr>
      <w:r>
        <w:rPr>
          <w:rFonts w:hint="eastAsia" w:ascii="宋体" w:hAnsi="宋体" w:eastAsia="宋体" w:cs="宋体"/>
          <w:sz w:val="28"/>
          <w:szCs w:val="28"/>
        </w:rPr>
        <w:t>单位：万元</w:t>
      </w:r>
    </w:p>
    <w:tbl>
      <w:tblPr>
        <w:tblStyle w:val="18"/>
        <w:tblW w:w="8302" w:type="dxa"/>
        <w:tblInd w:w="91" w:type="dxa"/>
        <w:tblLayout w:type="fixed"/>
        <w:tblCellMar>
          <w:top w:w="0" w:type="dxa"/>
          <w:left w:w="108" w:type="dxa"/>
          <w:bottom w:w="0" w:type="dxa"/>
          <w:right w:w="108" w:type="dxa"/>
        </w:tblCellMar>
      </w:tblPr>
      <w:tblGrid>
        <w:gridCol w:w="395"/>
        <w:gridCol w:w="297"/>
        <w:gridCol w:w="2946"/>
        <w:gridCol w:w="832"/>
        <w:gridCol w:w="927"/>
        <w:gridCol w:w="900"/>
        <w:gridCol w:w="791"/>
        <w:gridCol w:w="518"/>
        <w:gridCol w:w="696"/>
      </w:tblGrid>
      <w:tr>
        <w:tblPrEx>
          <w:tblCellMar>
            <w:top w:w="0" w:type="dxa"/>
            <w:left w:w="108" w:type="dxa"/>
            <w:bottom w:w="0" w:type="dxa"/>
            <w:right w:w="108" w:type="dxa"/>
          </w:tblCellMar>
        </w:tblPrEx>
        <w:trPr>
          <w:trHeight w:val="312" w:hRule="atLeast"/>
        </w:trPr>
        <w:tc>
          <w:tcPr>
            <w:tcW w:w="39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支出类别</w:t>
            </w:r>
          </w:p>
        </w:tc>
        <w:tc>
          <w:tcPr>
            <w:tcW w:w="324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项目名称</w:t>
            </w:r>
          </w:p>
        </w:tc>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年初预算</w:t>
            </w:r>
          </w:p>
        </w:tc>
        <w:tc>
          <w:tcPr>
            <w:tcW w:w="92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调整后预算</w:t>
            </w: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预算调整率</w:t>
            </w:r>
          </w:p>
        </w:tc>
        <w:tc>
          <w:tcPr>
            <w:tcW w:w="79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执行金额</w:t>
            </w:r>
          </w:p>
        </w:tc>
        <w:tc>
          <w:tcPr>
            <w:tcW w:w="5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结余金额</w:t>
            </w:r>
          </w:p>
        </w:tc>
        <w:tc>
          <w:tcPr>
            <w:tcW w:w="69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执行率</w:t>
            </w:r>
          </w:p>
        </w:tc>
      </w:tr>
      <w:tr>
        <w:tblPrEx>
          <w:tblCellMar>
            <w:top w:w="0" w:type="dxa"/>
            <w:left w:w="108" w:type="dxa"/>
            <w:bottom w:w="0" w:type="dxa"/>
            <w:right w:w="108" w:type="dxa"/>
          </w:tblCellMar>
        </w:tblPrEx>
        <w:trPr>
          <w:trHeight w:val="443"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324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90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79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51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69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r>
      <w:tr>
        <w:tblPrEx>
          <w:tblCellMar>
            <w:top w:w="0" w:type="dxa"/>
            <w:left w:w="108" w:type="dxa"/>
            <w:bottom w:w="0" w:type="dxa"/>
            <w:right w:w="108" w:type="dxa"/>
          </w:tblCellMar>
        </w:tblPrEx>
        <w:trPr>
          <w:trHeight w:val="318" w:hRule="atLeast"/>
        </w:trPr>
        <w:tc>
          <w:tcPr>
            <w:tcW w:w="39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基本支出</w:t>
            </w:r>
          </w:p>
        </w:tc>
        <w:tc>
          <w:tcPr>
            <w:tcW w:w="324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人员经费</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142.87</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42.78</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-70.05%</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42.78</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346"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324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公用经费</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35.54</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20.82</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-41.41%</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20.82</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368"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324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小计</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178.41</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63.60</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-64.35%</w:t>
            </w:r>
          </w:p>
        </w:tc>
        <w:tc>
          <w:tcPr>
            <w:tcW w:w="79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63.60</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100%</w:t>
            </w:r>
          </w:p>
        </w:tc>
      </w:tr>
      <w:tr>
        <w:tblPrEx>
          <w:tblCellMar>
            <w:top w:w="0" w:type="dxa"/>
            <w:left w:w="108" w:type="dxa"/>
            <w:bottom w:w="0" w:type="dxa"/>
            <w:right w:w="108" w:type="dxa"/>
          </w:tblCellMar>
        </w:tblPrEx>
        <w:trPr>
          <w:trHeight w:val="388" w:hRule="atLeast"/>
        </w:trPr>
        <w:tc>
          <w:tcPr>
            <w:tcW w:w="39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项目支出</w:t>
            </w: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项目工作经费及搭建粮食应急供应体系费用</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33.12</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-66.88%</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33.12</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280"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办公设备购置</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26.90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5.30</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-80.32%</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5.30</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280"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劳务派遣服务</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7.12</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6.34</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-10.89%</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6.34</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506"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项目前期工作激励2022年省预算内基本建设资金（非戴帽部分）</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254.00</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254.00</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173"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统计人员报表补助</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18.19</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18.19</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18.19</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280"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统计工作相关费用</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79.59</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48.21</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-39.43%</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48.21</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339"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2023年第五次经济普查相关费用</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26.53</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26.53</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280"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招商引资工作经费</w:t>
            </w:r>
          </w:p>
        </w:tc>
        <w:tc>
          <w:tcPr>
            <w:tcW w:w="83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6.65</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-55.66%</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6.65</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339"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2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29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保升镇2023年中央财政以工代赈项目</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390.00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390.00</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390.00</w:t>
            </w:r>
          </w:p>
        </w:tc>
        <w:tc>
          <w:tcPr>
            <w:tcW w:w="51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righ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280" w:hRule="atLeast"/>
        </w:trPr>
        <w:tc>
          <w:tcPr>
            <w:tcW w:w="39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18"/>
                <w:szCs w:val="18"/>
              </w:rPr>
            </w:pPr>
          </w:p>
        </w:tc>
        <w:tc>
          <w:tcPr>
            <w:tcW w:w="324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小计</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636.80</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788.34</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23.80%</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788.34</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100%</w:t>
            </w:r>
          </w:p>
        </w:tc>
      </w:tr>
      <w:tr>
        <w:tblPrEx>
          <w:tblCellMar>
            <w:top w:w="0" w:type="dxa"/>
            <w:left w:w="108" w:type="dxa"/>
            <w:bottom w:w="0" w:type="dxa"/>
            <w:right w:w="108" w:type="dxa"/>
          </w:tblCellMar>
        </w:tblPrEx>
        <w:trPr>
          <w:trHeight w:val="292" w:hRule="atLeast"/>
        </w:trPr>
        <w:tc>
          <w:tcPr>
            <w:tcW w:w="3638"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合计</w:t>
            </w:r>
          </w:p>
        </w:tc>
        <w:tc>
          <w:tcPr>
            <w:tcW w:w="83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815.21</w:t>
            </w:r>
          </w:p>
        </w:tc>
        <w:tc>
          <w:tcPr>
            <w:tcW w:w="92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851.94</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4.51%</w:t>
            </w:r>
          </w:p>
        </w:tc>
        <w:tc>
          <w:tcPr>
            <w:tcW w:w="79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851.94</w:t>
            </w:r>
          </w:p>
        </w:tc>
        <w:tc>
          <w:tcPr>
            <w:tcW w:w="5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0</w:t>
            </w:r>
          </w:p>
        </w:tc>
        <w:tc>
          <w:tcPr>
            <w:tcW w:w="69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100%</w:t>
            </w:r>
          </w:p>
        </w:tc>
      </w:tr>
    </w:tbl>
    <w:p>
      <w:pPr>
        <w:pStyle w:val="4"/>
        <w:ind w:firstLine="643"/>
        <w:rPr>
          <w:rFonts w:hint="eastAsia" w:cs="楷体"/>
        </w:rPr>
      </w:pPr>
      <w:r>
        <w:rPr>
          <w:rFonts w:hint="eastAsia" w:cs="楷体"/>
        </w:rPr>
        <w:t>2.预算调整情况</w:t>
      </w:r>
    </w:p>
    <w:p>
      <w:pPr>
        <w:ind w:firstLine="640"/>
        <w:rPr>
          <w:rFonts w:hint="eastAsia" w:ascii="仿宋" w:hAnsi="仿宋" w:cs="仿宋"/>
        </w:rPr>
      </w:pPr>
      <w:r>
        <w:rPr>
          <w:rFonts w:hint="eastAsia" w:ascii="仿宋" w:hAnsi="仿宋" w:cs="仿宋"/>
        </w:rPr>
        <w:t>2023年发改统计局年初预算总额815.21万元，调整后预算总额851.94万元，调整率为4.51%。其中主要调整项为：公用经费预算调整减少14.72万元；“三公经费”预算调整减少额1万元；人员经费调整减少额100.08万元；应急项目工作经费及搭建粮食应急供应体系费用预算调整减少额66.88万元；办公设备购置预算调整减少额21.60万元；项目前期工作激励2022年省预算内基本建设资金（非戴帽部分）预算调整增加额254.00万元</w:t>
      </w:r>
      <w:r>
        <w:rPr>
          <w:rStyle w:val="24"/>
          <w:rFonts w:hint="eastAsia" w:ascii="仿宋" w:hAnsi="仿宋" w:cs="仿宋"/>
          <w:sz w:val="32"/>
          <w:szCs w:val="32"/>
        </w:rPr>
        <w:t>。</w:t>
      </w:r>
    </w:p>
    <w:p>
      <w:pPr>
        <w:pStyle w:val="4"/>
        <w:ind w:firstLine="643"/>
        <w:rPr>
          <w:rFonts w:hint="eastAsia"/>
        </w:rPr>
      </w:pPr>
      <w:r>
        <w:rPr>
          <w:rFonts w:hint="eastAsia"/>
        </w:rPr>
        <w:t>3.预算结余情况</w:t>
      </w:r>
    </w:p>
    <w:p>
      <w:pPr>
        <w:widowControl/>
        <w:adjustRightInd w:val="0"/>
        <w:snapToGrid w:val="0"/>
        <w:ind w:firstLine="640"/>
        <w:contextualSpacing/>
        <w:rPr>
          <w:rFonts w:hint="eastAsia" w:ascii="仿宋" w:hAnsi="仿宋" w:cs="仿宋"/>
          <w:szCs w:val="32"/>
        </w:rPr>
      </w:pPr>
      <w:r>
        <w:rPr>
          <w:rFonts w:hint="eastAsia" w:ascii="仿宋" w:hAnsi="仿宋" w:cs="仿宋"/>
          <w:szCs w:val="32"/>
          <w:lang w:val="zh-CN"/>
        </w:rPr>
        <w:t>20</w:t>
      </w:r>
      <w:r>
        <w:rPr>
          <w:rFonts w:hint="eastAsia" w:ascii="仿宋" w:hAnsi="仿宋" w:cs="仿宋"/>
          <w:szCs w:val="32"/>
        </w:rPr>
        <w:t>23</w:t>
      </w:r>
      <w:r>
        <w:rPr>
          <w:rFonts w:hint="eastAsia" w:ascii="仿宋" w:hAnsi="仿宋" w:cs="仿宋"/>
          <w:szCs w:val="32"/>
          <w:lang w:val="zh-CN"/>
        </w:rPr>
        <w:t>年</w:t>
      </w:r>
      <w:r>
        <w:rPr>
          <w:rFonts w:hint="eastAsia" w:ascii="仿宋" w:hAnsi="仿宋" w:cs="仿宋"/>
          <w:szCs w:val="32"/>
        </w:rPr>
        <w:t>年初</w:t>
      </w:r>
      <w:r>
        <w:rPr>
          <w:rFonts w:hint="eastAsia" w:ascii="仿宋" w:hAnsi="仿宋" w:cs="仿宋"/>
          <w:szCs w:val="32"/>
          <w:lang w:val="zh-CN"/>
        </w:rPr>
        <w:t>收入预算</w:t>
      </w:r>
      <w:r>
        <w:rPr>
          <w:rFonts w:hint="eastAsia" w:ascii="仿宋" w:hAnsi="仿宋" w:cs="仿宋"/>
        </w:rPr>
        <w:t>815.21</w:t>
      </w:r>
      <w:r>
        <w:rPr>
          <w:rFonts w:hint="eastAsia" w:ascii="仿宋" w:hAnsi="仿宋" w:cs="仿宋"/>
          <w:kern w:val="0"/>
          <w:szCs w:val="32"/>
        </w:rPr>
        <w:t>万</w:t>
      </w:r>
      <w:r>
        <w:rPr>
          <w:rFonts w:hint="eastAsia" w:ascii="仿宋" w:hAnsi="仿宋" w:cs="仿宋"/>
          <w:szCs w:val="32"/>
          <w:lang w:val="zh-CN"/>
        </w:rPr>
        <w:t>元，</w:t>
      </w:r>
      <w:r>
        <w:rPr>
          <w:rFonts w:hint="eastAsia" w:ascii="仿宋" w:hAnsi="仿宋" w:cs="仿宋"/>
          <w:szCs w:val="32"/>
        </w:rPr>
        <w:t>调整后预算为</w:t>
      </w:r>
      <w:r>
        <w:rPr>
          <w:rFonts w:hint="eastAsia" w:ascii="仿宋" w:hAnsi="仿宋" w:cs="仿宋"/>
        </w:rPr>
        <w:t>851.94</w:t>
      </w:r>
      <w:r>
        <w:rPr>
          <w:rFonts w:hint="eastAsia" w:ascii="仿宋" w:hAnsi="仿宋" w:cs="仿宋"/>
          <w:kern w:val="0"/>
          <w:szCs w:val="32"/>
        </w:rPr>
        <w:t>万</w:t>
      </w:r>
      <w:r>
        <w:rPr>
          <w:rFonts w:hint="eastAsia" w:ascii="仿宋" w:hAnsi="仿宋" w:cs="仿宋"/>
          <w:szCs w:val="32"/>
          <w:lang w:val="zh-CN"/>
        </w:rPr>
        <w:t>元。</w:t>
      </w:r>
      <w:r>
        <w:rPr>
          <w:rFonts w:hint="eastAsia" w:ascii="仿宋" w:hAnsi="仿宋" w:cs="仿宋"/>
          <w:szCs w:val="32"/>
        </w:rPr>
        <w:t>2023年度</w:t>
      </w:r>
      <w:r>
        <w:rPr>
          <w:rFonts w:hint="eastAsia" w:ascii="仿宋" w:hAnsi="仿宋" w:cs="仿宋"/>
          <w:color w:val="000000"/>
          <w:kern w:val="0"/>
          <w:szCs w:val="32"/>
          <w:shd w:val="clear" w:color="auto" w:fill="FFFFFF"/>
        </w:rPr>
        <w:t>实际支出</w:t>
      </w:r>
      <w:r>
        <w:rPr>
          <w:rFonts w:hint="eastAsia" w:ascii="仿宋" w:hAnsi="仿宋" w:cs="仿宋"/>
        </w:rPr>
        <w:t>851.94</w:t>
      </w:r>
      <w:r>
        <w:rPr>
          <w:rFonts w:hint="eastAsia" w:ascii="仿宋" w:hAnsi="仿宋" w:cs="仿宋"/>
          <w:kern w:val="0"/>
          <w:szCs w:val="32"/>
        </w:rPr>
        <w:t>万</w:t>
      </w:r>
      <w:r>
        <w:rPr>
          <w:rFonts w:hint="eastAsia" w:ascii="仿宋" w:hAnsi="仿宋" w:cs="仿宋"/>
          <w:color w:val="000000"/>
          <w:kern w:val="0"/>
          <w:szCs w:val="32"/>
          <w:shd w:val="clear" w:color="auto" w:fill="FFFFFF"/>
        </w:rPr>
        <w:t>元，无结余。</w:t>
      </w:r>
    </w:p>
    <w:p>
      <w:pPr>
        <w:pStyle w:val="3"/>
        <w:ind w:firstLine="643"/>
        <w:rPr>
          <w:rFonts w:hint="eastAsia"/>
        </w:rPr>
      </w:pPr>
      <w:bookmarkStart w:id="124" w:name="_Toc28036"/>
      <w:bookmarkStart w:id="125" w:name="_Toc9286"/>
      <w:r>
        <w:rPr>
          <w:rFonts w:hint="eastAsia"/>
        </w:rPr>
        <w:t>（四）部门（单位）资产情况</w:t>
      </w:r>
      <w:bookmarkEnd w:id="124"/>
      <w:bookmarkEnd w:id="125"/>
    </w:p>
    <w:p>
      <w:pPr>
        <w:pStyle w:val="4"/>
        <w:ind w:firstLine="643"/>
        <w:rPr>
          <w:rFonts w:hint="eastAsia"/>
        </w:rPr>
      </w:pPr>
      <w:bookmarkStart w:id="126" w:name="_Toc18429"/>
      <w:bookmarkStart w:id="127" w:name="_Toc18366"/>
      <w:r>
        <w:rPr>
          <w:rFonts w:hint="eastAsia"/>
        </w:rPr>
        <w:t>1.流动资产</w:t>
      </w:r>
      <w:bookmarkEnd w:id="126"/>
      <w:bookmarkEnd w:id="127"/>
    </w:p>
    <w:p>
      <w:pPr>
        <w:pStyle w:val="8"/>
        <w:ind w:firstLine="640"/>
        <w:jc w:val="both"/>
        <w:rPr>
          <w:rFonts w:hint="eastAsia" w:ascii="仿宋" w:hAnsi="仿宋" w:cs="仿宋"/>
        </w:rPr>
      </w:pPr>
      <w:r>
        <w:rPr>
          <w:rFonts w:hint="eastAsia" w:ascii="仿宋" w:hAnsi="仿宋" w:cs="仿宋"/>
          <w:szCs w:val="32"/>
        </w:rPr>
        <w:t>经查看发改统计局2023年度日记账、科目余额表、往来账和财务报表，截至2023年底，</w:t>
      </w:r>
      <w:r>
        <w:rPr>
          <w:rFonts w:hint="eastAsia" w:ascii="仿宋" w:hAnsi="仿宋" w:cs="仿宋"/>
        </w:rPr>
        <w:t>流动资产余额7.00万元，均为银行存款。</w:t>
      </w:r>
    </w:p>
    <w:p>
      <w:pPr>
        <w:pStyle w:val="4"/>
        <w:ind w:firstLine="643"/>
        <w:rPr>
          <w:rFonts w:hint="eastAsia"/>
        </w:rPr>
      </w:pPr>
      <w:bookmarkStart w:id="128" w:name="_Toc30625"/>
      <w:bookmarkStart w:id="129" w:name="_Toc14896"/>
      <w:r>
        <w:rPr>
          <w:rFonts w:hint="eastAsia"/>
        </w:rPr>
        <w:t>2.固定资产</w:t>
      </w:r>
      <w:bookmarkEnd w:id="128"/>
      <w:bookmarkEnd w:id="129"/>
    </w:p>
    <w:p>
      <w:pPr>
        <w:ind w:firstLine="640"/>
        <w:rPr>
          <w:rFonts w:hint="eastAsia" w:ascii="仿宋" w:hAnsi="仿宋" w:cs="仿宋"/>
        </w:rPr>
      </w:pPr>
      <w:r>
        <w:rPr>
          <w:rFonts w:hint="eastAsia" w:ascii="仿宋" w:hAnsi="仿宋" w:cs="仿宋"/>
        </w:rPr>
        <w:t>发改统计局综合组人员对本单位的固定资产负有管理责任。截至2023年12月31日，发改统计局固定资产实有净值共计8.71万元，经实际盘点和查看，无闲置固定资产，资产利用率为100%。但该部门资产管理工作执行情况不佳，评价过程中，发现本部门相关资产未落实使用人管理；同时盘点过程中发现存在账外资产，部分资产只登记数量无计量价值，导致资产账实不符。</w:t>
      </w:r>
    </w:p>
    <w:p>
      <w:pPr>
        <w:pStyle w:val="2"/>
        <w:ind w:firstLine="640"/>
        <w:rPr>
          <w:rFonts w:hint="eastAsia"/>
        </w:rPr>
      </w:pPr>
      <w:bookmarkStart w:id="130" w:name="_Toc29904"/>
      <w:bookmarkStart w:id="131" w:name="_Toc19339"/>
      <w:bookmarkStart w:id="132" w:name="_Toc28594"/>
      <w:bookmarkStart w:id="133" w:name="_Toc31762"/>
      <w:r>
        <w:rPr>
          <w:rFonts w:hint="eastAsia"/>
        </w:rPr>
        <w:t>二、部门（单位）绩效目标</w:t>
      </w:r>
      <w:bookmarkEnd w:id="130"/>
      <w:bookmarkEnd w:id="131"/>
    </w:p>
    <w:p>
      <w:pPr>
        <w:pStyle w:val="3"/>
        <w:ind w:firstLine="643"/>
        <w:rPr>
          <w:rFonts w:hint="eastAsia"/>
        </w:rPr>
      </w:pPr>
      <w:bookmarkStart w:id="134" w:name="_Toc21732"/>
      <w:bookmarkStart w:id="135" w:name="_Toc1104"/>
      <w:r>
        <w:rPr>
          <w:rFonts w:hint="eastAsia"/>
        </w:rPr>
        <w:t>（一）部门（单位）战略目标和中长期规划</w:t>
      </w:r>
      <w:bookmarkEnd w:id="134"/>
      <w:bookmarkEnd w:id="135"/>
    </w:p>
    <w:p>
      <w:pPr>
        <w:pStyle w:val="4"/>
        <w:ind w:firstLine="643"/>
      </w:pPr>
      <w:r>
        <w:rPr>
          <w:rFonts w:hint="eastAsia"/>
        </w:rPr>
        <w:t>1.部门战略目标</w:t>
      </w:r>
    </w:p>
    <w:p>
      <w:pPr>
        <w:ind w:firstLine="640"/>
        <w:rPr>
          <w:rFonts w:hint="eastAsia" w:ascii="仿宋" w:hAnsi="仿宋" w:cs="仿宋"/>
        </w:rPr>
      </w:pPr>
      <w:r>
        <w:rPr>
          <w:rFonts w:hint="eastAsia" w:ascii="仿宋" w:hAnsi="仿宋" w:cs="仿宋"/>
        </w:rPr>
        <w:t>2023年是全面贯彻落实党的二十大精神的开局之年是实施“十四五”规划承上启下的关键一年。发改统计局工作的总体要求是：以习近平新时代中国特色社会主义思想为指导，全面贯彻落实党的二十大精神，认真贯彻落实习近平总书记来川考察重要讲话重要指示。按照市局和园区党工委、管委会工作要求，贯彻执行国家、省市有关国民经济和社会发展经济体制改革、价格、粮食流通和物资储备管理的方针政策和法律法规。负责园区社会发展与国民经济发展的政策衔接，协调有关重大问题。统筹稳增长政策的制定落实，监测预测预警宏观经济和社会发展态势趋势，研究宏观调控重大问题并提出政策建议。推进落实区域协调发展战略、新型城镇化战略和重大政策，牵头推进实施“一带一路”建设、成渝地区双城经济圈建设等战略，组织拟订园区区域协调发展战略、规划和政策。统筹推进社会事业、基本公共服务体系建设。推进实施可持续发展战略，推动生态文明建设和改革，协调推进绿色经济发展。拟订园区能源发展规划和政策，协调能源发展和改革中的重大问题。协调指导园区国家投资工程建设项目招投标工作统筹协调长江经济带发展相关工作。按规定权限审批、备案或转报除企业技术改造项目外的固定资产投资项目和资源开发利用、外资、境外投资项目。组织拟订综合性产业政策。综合分析工业服务业发展的重大问题，拟订重大产业发展规划，承办清洁汽车产业发展的有关工作。组织拟订推进创新创业和高技术产业发展的规划和政策，研究财政、金融运行形势并提出政策建议。研究提出政府投融资体制改革的政策建议。承担以工代赈、开发区运行监测和改革相关工作。统筹社会信用体系建设工作。审核、转报资源节约、综合利用、循环经济和污染治理、社会事业、能源长江经济带发展等中省市财政预算内资金建设项目。</w:t>
      </w:r>
    </w:p>
    <w:p>
      <w:pPr>
        <w:pStyle w:val="4"/>
        <w:ind w:firstLine="643"/>
        <w:rPr>
          <w:rFonts w:hint="eastAsia"/>
        </w:rPr>
      </w:pPr>
      <w:bookmarkStart w:id="136" w:name="_Toc7249"/>
      <w:bookmarkStart w:id="137" w:name="_Toc14947"/>
      <w:bookmarkStart w:id="138" w:name="_Toc12445"/>
      <w:r>
        <w:rPr>
          <w:rFonts w:hint="eastAsia"/>
        </w:rPr>
        <w:t>2.部门中长期规划</w:t>
      </w:r>
      <w:bookmarkEnd w:id="136"/>
      <w:bookmarkEnd w:id="137"/>
      <w:bookmarkEnd w:id="138"/>
    </w:p>
    <w:p>
      <w:pPr>
        <w:ind w:firstLine="640"/>
        <w:rPr>
          <w:rFonts w:hint="eastAsia" w:ascii="仿宋" w:hAnsi="仿宋" w:cs="仿宋"/>
          <w:szCs w:val="32"/>
        </w:rPr>
      </w:pPr>
      <w:r>
        <w:rPr>
          <w:rFonts w:hint="eastAsia" w:ascii="仿宋" w:hAnsi="仿宋" w:cs="仿宋"/>
          <w:szCs w:val="32"/>
        </w:rPr>
        <w:t>将以习近平新时代中国特色社会主义思想为指导，深入贯彻落实党的二十大精神，按照市局和园区党工委、管委会工作部署，紧紧围绕“实干争先”的工作目标，聚力推动全局干部职工队伍能力素质提升，推动“双圈举措”落地生根。充分发挥成渝地区双城经济圈（遂潼）产业合作示范园区建设领导小组及专项工作组作用，落实联席会议制度，加快推动产业合作示范园区建设；理顺“规划中期”战略调整。科学开展“十四五”规划中期评估工作，形成《遂宁高新区国民经济和社会发展第十四个五年规划和二〇三五年远景目标纲要中期评估报告》，科学评估园区经济社会发展现状，提出规划调整建议。</w:t>
      </w:r>
    </w:p>
    <w:p>
      <w:pPr>
        <w:pStyle w:val="5"/>
        <w:ind w:firstLine="643"/>
        <w:rPr>
          <w:rFonts w:hint="eastAsia"/>
        </w:rPr>
      </w:pPr>
      <w:r>
        <w:rPr>
          <w:rFonts w:hint="eastAsia"/>
        </w:rPr>
        <w:t>（1）</w:t>
      </w:r>
      <w:r>
        <w:t>着力组织建设，基层基础更加稳固</w:t>
      </w:r>
    </w:p>
    <w:p>
      <w:pPr>
        <w:ind w:firstLine="640"/>
        <w:rPr>
          <w:rFonts w:hint="eastAsia" w:ascii="仿宋" w:hAnsi="仿宋" w:cs="仿宋"/>
        </w:rPr>
      </w:pPr>
      <w:r>
        <w:rPr>
          <w:rFonts w:hint="eastAsia" w:ascii="仿宋" w:hAnsi="仿宋" w:cs="仿宋"/>
        </w:rPr>
        <w:t>一是选好配强党支部班子。基层组织建设更加牢固。二是做好发展党员工作。加大对入党积极分子的培养、教育和考察力度，严格履行发展党员工作程序。三是采取“线上学+线下学”等方式，组织开会学习党的二十大精神、习近平总书记来川视察重要指示精神、省委十二届三次全会精神、学习贯彻习近平新时代中国特色社会主义思想主题教育相关会议精神等支部学习活动，推动全体党员先学一步、学深一层，做到入脑入心、走深走实。</w:t>
      </w:r>
    </w:p>
    <w:p>
      <w:pPr>
        <w:pStyle w:val="5"/>
        <w:ind w:firstLine="643"/>
        <w:rPr>
          <w:rFonts w:hint="eastAsia" w:cs="仿宋"/>
        </w:rPr>
      </w:pPr>
      <w:r>
        <w:rPr>
          <w:rFonts w:hint="eastAsia" w:cs="仿宋"/>
        </w:rPr>
        <w:t>（2）</w:t>
      </w:r>
      <w:r>
        <w:rPr>
          <w:rFonts w:hint="eastAsia" w:cs="仿宋"/>
          <w:szCs w:val="32"/>
        </w:rPr>
        <w:t>聚焦目标任务，统计业务更加优质</w:t>
      </w:r>
    </w:p>
    <w:p>
      <w:pPr>
        <w:ind w:firstLine="640"/>
        <w:rPr>
          <w:rFonts w:hint="eastAsia"/>
        </w:rPr>
      </w:pPr>
      <w:r>
        <w:rPr>
          <w:rFonts w:hint="eastAsia"/>
        </w:rPr>
        <w:t>一是严格遵循统计定报制度，指导园区“四上”企业、抽样调查单位和在库投资业主单位等各类调查单位高效完成各专业月报、季报定期报表的报送、审核、验收、回复查询等工作。二是加强向上对接，及时向市统计局汇报园区经济发展态势，了解掌握省市经济运行情况，并对园区潜在问题进行预警，最大限度做好月度经济调度。</w:t>
      </w:r>
    </w:p>
    <w:p>
      <w:pPr>
        <w:pStyle w:val="5"/>
        <w:ind w:firstLine="643"/>
        <w:rPr>
          <w:rFonts w:hint="eastAsia"/>
        </w:rPr>
      </w:pPr>
      <w:r>
        <w:rPr>
          <w:rFonts w:hint="eastAsia"/>
        </w:rPr>
        <w:t>（3）</w:t>
      </w:r>
      <w:r>
        <w:t>挖掘经济动能，入库纳统更加精细</w:t>
      </w:r>
    </w:p>
    <w:p>
      <w:pPr>
        <w:ind w:firstLine="640"/>
        <w:rPr>
          <w:rFonts w:hint="eastAsia" w:ascii="仿宋" w:hAnsi="仿宋" w:cs="仿宋"/>
        </w:rPr>
      </w:pPr>
      <w:r>
        <w:rPr>
          <w:rFonts w:hint="eastAsia" w:ascii="仿宋" w:hAnsi="仿宋" w:cs="仿宋"/>
        </w:rPr>
        <w:t>一是以党政办名义分解下达“四上”企业升规入库目标任务和固定资产投资入库目标任务。二是向各单位发放“入库流程图”《升规入库工作手册》，“手把手”培训指导入库申报。三是坚持每月调度，动态更新“准四上”企业情况和项目建设情况，督促各单位抢抓入库进度，力争让企业和项目早入库、早报数。</w:t>
      </w:r>
    </w:p>
    <w:p>
      <w:pPr>
        <w:pStyle w:val="5"/>
        <w:ind w:firstLine="643"/>
        <w:rPr>
          <w:rFonts w:hint="eastAsia"/>
        </w:rPr>
      </w:pPr>
      <w:r>
        <w:rPr>
          <w:rFonts w:hint="eastAsia"/>
        </w:rPr>
        <w:t>（4）</w:t>
      </w:r>
      <w:r>
        <w:t>坚持统筹兼顾，五经普工作有序推进</w:t>
      </w:r>
    </w:p>
    <w:p>
      <w:pPr>
        <w:ind w:firstLine="640"/>
        <w:rPr>
          <w:rFonts w:hint="eastAsia" w:ascii="仿宋" w:hAnsi="仿宋" w:cs="仿宋"/>
        </w:rPr>
      </w:pPr>
      <w:r>
        <w:rPr>
          <w:rFonts w:hint="eastAsia" w:ascii="仿宋" w:hAnsi="仿宋" w:cs="仿宋"/>
        </w:rPr>
        <w:t>坚持“一盘棋”思想，活用“一线工作法”，加强基层调研督导，强化社区实地指导，统筹推进五经普各环节工作开展。一是以园区五经普领导小组名义印发《遂宁高新区第五次全国经济普查“分区包片”联系机制》和《遂宁高新区第五次全国经济普查“四上”企业联系机制》，坚持高位推动园区五经普工作；二是以园区五经普领导小组办公室名义印发《遂宁高新区第五次全国经济普查指导员、普查员选聘方案》，指导街道、镇高效完成“两员”选聘工作；三是积极召开普查“两员”业务培训会，统一“两员”思想认识，加强“两员”队伍建设；四是建立村（社区）“一对一”业务挂钩联系机制，组织人员深入村（社区）开展业务指导，实地开展建筑物标绘和普查小区划分核查，完成相关工作，为下一步单位清查和普查登记打下了良好的基础。</w:t>
      </w:r>
    </w:p>
    <w:p>
      <w:pPr>
        <w:pStyle w:val="5"/>
        <w:ind w:firstLine="643"/>
      </w:pPr>
      <w:r>
        <w:rPr>
          <w:rFonts w:hint="eastAsia"/>
        </w:rPr>
        <w:t>（5）</w:t>
      </w:r>
      <w:r>
        <w:t>融入“双圈”建设，战略部署更加稳健</w:t>
      </w:r>
    </w:p>
    <w:p>
      <w:pPr>
        <w:ind w:firstLine="640"/>
        <w:rPr>
          <w:rFonts w:hint="eastAsia"/>
        </w:rPr>
      </w:pPr>
      <w:r>
        <w:t>发改统计局切实发挥发改部门经济政策及发展战略总牵头作用，深入推进</w:t>
      </w:r>
      <w:r>
        <w:rPr>
          <w:rFonts w:hint="eastAsia"/>
        </w:rPr>
        <w:t>“</w:t>
      </w:r>
      <w:r>
        <w:t>经济社会全面融入</w:t>
      </w:r>
      <w:r>
        <w:rPr>
          <w:rFonts w:hint="eastAsia"/>
        </w:rPr>
        <w:t>”</w:t>
      </w:r>
      <w:r>
        <w:t>对标跨越行动，严格落实成渝地区双城经济圈建设、遂潼川渝毗邻地区一体化发展先行区建设、</w:t>
      </w:r>
      <w:r>
        <w:rPr>
          <w:rFonts w:hint="eastAsia"/>
        </w:rPr>
        <w:t>“</w:t>
      </w:r>
      <w:r>
        <w:t>一干多支、五区协同</w:t>
      </w:r>
      <w:r>
        <w:rPr>
          <w:rFonts w:hint="eastAsia"/>
        </w:rPr>
        <w:t>”</w:t>
      </w:r>
      <w:r>
        <w:t>等重大战略，推动园区经济高质量发展。</w:t>
      </w:r>
    </w:p>
    <w:bookmarkEnd w:id="132"/>
    <w:bookmarkEnd w:id="133"/>
    <w:p>
      <w:pPr>
        <w:pStyle w:val="3"/>
        <w:ind w:firstLine="643"/>
        <w:rPr>
          <w:rFonts w:hint="eastAsia"/>
          <w:color w:val="0000FF"/>
        </w:rPr>
      </w:pPr>
      <w:bookmarkStart w:id="139" w:name="_Toc31466"/>
      <w:bookmarkStart w:id="140" w:name="_Toc1280"/>
      <w:bookmarkStart w:id="141" w:name="_Toc27929"/>
      <w:bookmarkStart w:id="142" w:name="_Toc28422"/>
      <w:bookmarkStart w:id="143" w:name="_Toc10121"/>
      <w:bookmarkStart w:id="144" w:name="_Toc31914"/>
      <w:bookmarkStart w:id="145" w:name="_Toc4920"/>
      <w:r>
        <w:rPr>
          <w:rFonts w:hint="eastAsia"/>
        </w:rPr>
        <w:t>（二）部门（单位）分年度工作计划及重点项目</w:t>
      </w:r>
      <w:bookmarkEnd w:id="139"/>
      <w:bookmarkEnd w:id="140"/>
    </w:p>
    <w:p>
      <w:pPr>
        <w:ind w:firstLine="643"/>
        <w:rPr>
          <w:rStyle w:val="28"/>
          <w:rFonts w:hint="eastAsia"/>
        </w:rPr>
      </w:pPr>
      <w:r>
        <w:rPr>
          <w:rStyle w:val="28"/>
          <w:rFonts w:hint="eastAsia"/>
        </w:rPr>
        <w:t>1.经济指标争先进位</w:t>
      </w:r>
    </w:p>
    <w:p>
      <w:pPr>
        <w:ind w:firstLine="640"/>
        <w:rPr>
          <w:rFonts w:hint="eastAsia" w:ascii="仿宋" w:hAnsi="仿宋" w:cs="仿宋"/>
        </w:rPr>
      </w:pPr>
      <w:r>
        <w:rPr>
          <w:rFonts w:hint="eastAsia" w:ascii="仿宋" w:hAnsi="仿宋" w:cs="仿宋"/>
        </w:rPr>
        <w:t>力争2023年实现GDP、社消零、规上工业增加值等6个指标位居全市前列。一是借力“五经普”，调结构提总量。充分把握好“五经普”调整产业结构、提升经济体量的重要时机，摸清“家底”，应统尽统，全面准确展现园区经济发展现状。着力优化经济结构，提升工业占比，进一步平衡二产三产对经济发展的主辅作用。力争全年实现GDP总量达45.5亿元，进一步提升园区经济抗风险能力、产业聚集能力、人才吸引能力。</w:t>
      </w:r>
    </w:p>
    <w:p>
      <w:pPr>
        <w:pStyle w:val="4"/>
        <w:ind w:firstLine="643"/>
        <w:rPr>
          <w:rFonts w:hint="eastAsia"/>
        </w:rPr>
      </w:pPr>
      <w:r>
        <w:rPr>
          <w:rFonts w:hint="eastAsia"/>
        </w:rPr>
        <w:t>2.大力推动项目建设</w:t>
      </w:r>
    </w:p>
    <w:p>
      <w:pPr>
        <w:ind w:firstLine="640"/>
        <w:rPr>
          <w:rFonts w:hint="eastAsia" w:ascii="仿宋" w:hAnsi="仿宋" w:eastAsia="仿宋" w:cs="仿宋"/>
          <w:lang w:eastAsia="zh-CN"/>
        </w:rPr>
      </w:pPr>
      <w:r>
        <w:rPr>
          <w:rFonts w:hint="eastAsia" w:ascii="仿宋" w:hAnsi="仿宋" w:cs="仿宋"/>
        </w:rPr>
        <w:t>推动全年实施项目109个、总投资698.10亿元、年度计划投资114.6亿元。坚持重大项目县级领导揭榜挂帅和“五个一”联系机制，紧盯项目年度目标任务，倒排工期、顺排工序，加强项目统筹调度，确保二季度开工率85%以上，三季度实现市重点项目全面开工，全年完成投资90亿元以上，全力争取进入省市重点项目推进季度“红榜”</w:t>
      </w:r>
      <w:r>
        <w:rPr>
          <w:rFonts w:hint="eastAsia" w:ascii="仿宋" w:hAnsi="仿宋" w:cs="仿宋"/>
          <w:lang w:eastAsia="zh-CN"/>
        </w:rPr>
        <w:t>。</w:t>
      </w:r>
    </w:p>
    <w:p>
      <w:pPr>
        <w:pStyle w:val="4"/>
        <w:ind w:firstLine="643"/>
        <w:rPr>
          <w:rFonts w:hint="eastAsia"/>
        </w:rPr>
      </w:pPr>
      <w:r>
        <w:rPr>
          <w:rFonts w:hint="eastAsia"/>
        </w:rPr>
        <w:t>3.深度强化区域合作</w:t>
      </w:r>
    </w:p>
    <w:p>
      <w:pPr>
        <w:ind w:firstLine="640"/>
        <w:rPr>
          <w:rFonts w:hint="eastAsia" w:ascii="仿宋" w:hAnsi="仿宋" w:cs="仿宋"/>
          <w:color w:val="212529"/>
        </w:rPr>
      </w:pPr>
      <w:r>
        <w:rPr>
          <w:rFonts w:hint="eastAsia" w:ascii="仿宋" w:hAnsi="仿宋" w:cs="仿宋"/>
        </w:rPr>
        <w:t>做实成渝地区双城经济圈产业合作示范园区，与潼南高新区开展常态化交流互访，积极推进在产业发展、国高创建等方面合作，重点推动电子信息与电镀配套、家居建材与灯具灯饰等领域重点企业互产互销，形成两地良好互动局面</w:t>
      </w:r>
      <w:r>
        <w:rPr>
          <w:rFonts w:hint="eastAsia" w:ascii="仿宋" w:hAnsi="仿宋" w:cs="仿宋"/>
          <w:color w:val="212529"/>
          <w:kern w:val="0"/>
          <w:szCs w:val="32"/>
          <w:shd w:val="clear" w:color="auto" w:fill="FFFFFF"/>
          <w:lang w:bidi="ar"/>
        </w:rPr>
        <w:t>。</w:t>
      </w:r>
    </w:p>
    <w:p>
      <w:pPr>
        <w:pStyle w:val="3"/>
        <w:ind w:firstLine="643"/>
        <w:rPr>
          <w:rFonts w:hint="eastAsia"/>
        </w:rPr>
      </w:pPr>
      <w:bookmarkStart w:id="146" w:name="_Toc10255"/>
      <w:bookmarkStart w:id="147" w:name="_Toc29523"/>
      <w:r>
        <w:rPr>
          <w:rFonts w:hint="eastAsia"/>
        </w:rPr>
        <w:t>（三）部门（单位）整体支出绩效目标</w:t>
      </w:r>
      <w:bookmarkEnd w:id="141"/>
      <w:bookmarkEnd w:id="142"/>
      <w:bookmarkEnd w:id="146"/>
      <w:bookmarkEnd w:id="147"/>
    </w:p>
    <w:p>
      <w:pPr>
        <w:pStyle w:val="4"/>
        <w:ind w:firstLine="643"/>
        <w:rPr>
          <w:rFonts w:hint="eastAsia"/>
        </w:rPr>
      </w:pPr>
      <w:r>
        <w:rPr>
          <w:rFonts w:hint="eastAsia"/>
        </w:rPr>
        <w:t>1.总体目标</w:t>
      </w:r>
    </w:p>
    <w:p>
      <w:pPr>
        <w:ind w:firstLine="640"/>
        <w:rPr>
          <w:rFonts w:hint="eastAsia"/>
        </w:rPr>
      </w:pPr>
      <w:r>
        <w:rPr>
          <w:rFonts w:hint="eastAsia"/>
        </w:rPr>
        <w:t>按月度监测园区经济指标运行态势，完成名录库维护、生猪监测、劳动力调查、住户调查、人口抽样调查、城镇居民工作环境调查等专项统计调查。企业人员按要求完成统计定期报表、年报任务，完善统计基层基础规范化建设工作，接受上级统计数据质量调研、查询等。接洽拟到园区投资的企业，展示园区经济发展和营商环境等成果，推动园区招商引资相关工作。建立园区粮食应急供应体系等。</w:t>
      </w:r>
    </w:p>
    <w:p>
      <w:pPr>
        <w:pStyle w:val="4"/>
        <w:ind w:firstLine="643"/>
        <w:rPr>
          <w:rFonts w:hint="eastAsia"/>
        </w:rPr>
      </w:pPr>
      <w:r>
        <w:rPr>
          <w:rFonts w:hint="eastAsia"/>
        </w:rPr>
        <w:t>2.具体目标</w:t>
      </w:r>
    </w:p>
    <w:p>
      <w:pPr>
        <w:pStyle w:val="5"/>
        <w:ind w:firstLine="643"/>
        <w:rPr>
          <w:rFonts w:hint="eastAsia"/>
        </w:rPr>
      </w:pPr>
      <w:r>
        <w:rPr>
          <w:rFonts w:hint="eastAsia"/>
        </w:rPr>
        <w:t>（1）统计工作专项业务</w:t>
      </w:r>
    </w:p>
    <w:p>
      <w:pPr>
        <w:ind w:firstLine="640"/>
        <w:rPr>
          <w:rFonts w:hint="eastAsia"/>
        </w:rPr>
      </w:pPr>
      <w:r>
        <w:rPr>
          <w:rFonts w:hint="eastAsia"/>
        </w:rPr>
        <w:t>按月度监测园区经济指标运行态势，完成名录库维护、生猪监测、劳动力调查、住户调查、人口抽样调查、城镇居民工作环境调查等专项统计调查。企业人员按要求完成统计定期报表、年报任务，完善统计基层基础规范化建设工作，接受上级统计数据质量调研、查询等。</w:t>
      </w:r>
    </w:p>
    <w:p>
      <w:pPr>
        <w:pStyle w:val="5"/>
        <w:ind w:firstLine="643"/>
        <w:rPr>
          <w:rFonts w:hint="eastAsia"/>
        </w:rPr>
      </w:pPr>
      <w:r>
        <w:rPr>
          <w:rFonts w:hint="eastAsia"/>
        </w:rPr>
        <w:t>（2）招商引资工作</w:t>
      </w:r>
    </w:p>
    <w:p>
      <w:pPr>
        <w:ind w:firstLine="640"/>
        <w:rPr>
          <w:rFonts w:hint="eastAsia"/>
        </w:rPr>
      </w:pPr>
      <w:r>
        <w:rPr>
          <w:rFonts w:hint="eastAsia"/>
        </w:rPr>
        <w:t>接洽拟到园区投资的企业，展示园区经济发展和营商环境等成果，推动园区招商引资相关工作。更有效地为园区入驻企业服务，更好地协助企业办理项目落地、项目建设，为企业升规入统提供相关服务工作。</w:t>
      </w:r>
    </w:p>
    <w:p>
      <w:pPr>
        <w:pStyle w:val="5"/>
        <w:ind w:firstLine="643"/>
        <w:rPr>
          <w:rFonts w:hint="eastAsia"/>
        </w:rPr>
      </w:pPr>
      <w:r>
        <w:rPr>
          <w:rFonts w:hint="eastAsia"/>
        </w:rPr>
        <w:t>（3）项目工作及搭建粮食应急供应体系</w:t>
      </w:r>
    </w:p>
    <w:p>
      <w:pPr>
        <w:ind w:firstLine="640"/>
        <w:rPr>
          <w:rFonts w:hint="eastAsia" w:ascii="仿宋" w:hAnsi="仿宋" w:cs="仿宋"/>
        </w:rPr>
      </w:pPr>
      <w:r>
        <w:rPr>
          <w:rFonts w:hint="eastAsia" w:ascii="仿宋" w:hAnsi="仿宋" w:cs="仿宋"/>
        </w:rPr>
        <w:t>举办遂宁高新区开工仪式、进行遂宁高新区项目拉练活动、市级项目拉练；参与项目督查、考核、业务培训组织、项目包装资料规划；“红黑榜”“蜗牛榜”广告宣传等；对园区拟实施政府投资项目，聘请第三方机构进行评审项目可行性研究；申报中省预算内资金申请报告编制等；建立园区粮食应急供应体系。</w:t>
      </w:r>
    </w:p>
    <w:p>
      <w:pPr>
        <w:pStyle w:val="5"/>
        <w:ind w:firstLine="643"/>
        <w:rPr>
          <w:rFonts w:hint="eastAsia"/>
        </w:rPr>
      </w:pPr>
      <w:r>
        <w:rPr>
          <w:rFonts w:hint="eastAsia"/>
        </w:rPr>
        <w:t>（4）坚持党建引领</w:t>
      </w:r>
    </w:p>
    <w:p>
      <w:pPr>
        <w:ind w:firstLine="640"/>
        <w:rPr>
          <w:rFonts w:hint="eastAsia"/>
        </w:rPr>
      </w:pPr>
      <w:r>
        <w:t>加强基层党组织建设，提升党组织的凝聚力和战斗力。优化党组织设置，选优配强党组织领导班子，严格党员教育管理，做好发展党员工作，提高党员队伍的素质和质量。持续推进</w:t>
      </w:r>
      <w:r>
        <w:rPr>
          <w:rFonts w:hint="eastAsia"/>
        </w:rPr>
        <w:t>“</w:t>
      </w:r>
      <w:r>
        <w:t>两学一做”学习教育常态化制度化，扎实开展“不忘初心、牢记使命</w:t>
      </w:r>
      <w:r>
        <w:rPr>
          <w:rFonts w:hint="eastAsia"/>
        </w:rPr>
        <w:t>”</w:t>
      </w:r>
      <w:r>
        <w:t>主题教育和党史学习教育等活动。通过学习教育，使党员干部牢记党的宗旨，坚定理想信念，增强党性修养，提高政治觉悟。</w:t>
      </w:r>
    </w:p>
    <w:p>
      <w:pPr>
        <w:pStyle w:val="2"/>
        <w:ind w:firstLine="640"/>
        <w:rPr>
          <w:rFonts w:hint="eastAsia"/>
        </w:rPr>
      </w:pPr>
      <w:bookmarkStart w:id="148" w:name="_Toc21170"/>
      <w:bookmarkStart w:id="149" w:name="_Toc7508"/>
      <w:r>
        <w:rPr>
          <w:rFonts w:hint="eastAsia"/>
        </w:rPr>
        <w:t>三、评价思路</w:t>
      </w:r>
      <w:bookmarkEnd w:id="143"/>
      <w:bookmarkEnd w:id="148"/>
      <w:bookmarkEnd w:id="149"/>
    </w:p>
    <w:bookmarkEnd w:id="144"/>
    <w:bookmarkEnd w:id="145"/>
    <w:p>
      <w:pPr>
        <w:pStyle w:val="3"/>
        <w:ind w:firstLine="643"/>
        <w:rPr>
          <w:rFonts w:hint="eastAsia"/>
        </w:rPr>
      </w:pPr>
      <w:bookmarkStart w:id="150" w:name="_Toc7333"/>
      <w:bookmarkStart w:id="151" w:name="_Toc1274"/>
      <w:bookmarkStart w:id="152" w:name="_Toc19907"/>
      <w:bookmarkStart w:id="153" w:name="_Toc7433"/>
      <w:bookmarkStart w:id="154" w:name="_Toc10585"/>
      <w:bookmarkStart w:id="155" w:name="_Toc11669"/>
      <w:bookmarkStart w:id="156" w:name="_Toc11855"/>
      <w:r>
        <w:rPr>
          <w:rFonts w:hint="eastAsia"/>
        </w:rPr>
        <w:t>（一）评价思路及关注点</w:t>
      </w:r>
      <w:bookmarkEnd w:id="150"/>
      <w:bookmarkEnd w:id="151"/>
      <w:bookmarkEnd w:id="152"/>
      <w:bookmarkEnd w:id="153"/>
      <w:bookmarkEnd w:id="154"/>
      <w:bookmarkEnd w:id="155"/>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从部门整体出发，按照“职责－规划计划－重点任务－项目－资金资源配置－管理效率－履职效能”的闭环逻辑，围绕发改统计局部门整体绩效目标设置、资金资源统筹配置、管理效率、运行成本、履职效能、可持续发展能力及满意度等，聚焦于部门履职及管理过程的重点环节。评价要素及评价重点如下：</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战略及职责目标：部门绩效目标与部门职能职责、事业发展规划、年度工作任务和正常业绩水平是否相符；部门绩效目标能否有效反映部门履职效果。</w:t>
      </w:r>
    </w:p>
    <w:p>
      <w:pPr>
        <w:widowControl/>
        <w:ind w:firstLine="640"/>
        <w:rPr>
          <w:rFonts w:hint="eastAsia" w:ascii="仿宋" w:hAnsi="仿宋" w:cs="仿宋"/>
          <w:szCs w:val="32"/>
        </w:rPr>
      </w:pPr>
      <w:r>
        <w:rPr>
          <w:rFonts w:hint="eastAsia" w:ascii="仿宋" w:hAnsi="仿宋" w:cs="仿宋"/>
          <w:color w:val="000000"/>
          <w:kern w:val="0"/>
          <w:szCs w:val="32"/>
          <w:lang w:bidi="ar"/>
        </w:rPr>
        <w:t>资金资源统筹配置：预算支出结构与部门职能是否匹配，项目支出结构与履职需求是否相符，项目资金安排是否合理；收入预算编制是否完整。</w:t>
      </w:r>
    </w:p>
    <w:p>
      <w:pPr>
        <w:widowControl/>
        <w:ind w:firstLine="640"/>
        <w:rPr>
          <w:rFonts w:hint="eastAsia" w:ascii="仿宋" w:hAnsi="仿宋" w:cs="仿宋"/>
          <w:szCs w:val="32"/>
        </w:rPr>
      </w:pPr>
      <w:r>
        <w:rPr>
          <w:rFonts w:hint="eastAsia" w:ascii="仿宋" w:hAnsi="仿宋" w:cs="仿宋"/>
          <w:color w:val="000000"/>
          <w:kern w:val="0"/>
          <w:szCs w:val="32"/>
          <w:lang w:bidi="ar"/>
        </w:rPr>
        <w:t>管理效率：部门支出预算编制是否细化、完整，预算管理执行是否规范；部门资产管理是否规范及固定资产使用情况。</w:t>
      </w:r>
    </w:p>
    <w:p>
      <w:pPr>
        <w:widowControl/>
        <w:ind w:firstLine="640"/>
        <w:rPr>
          <w:rFonts w:hint="eastAsia" w:ascii="仿宋" w:hAnsi="仿宋" w:cs="仿宋"/>
          <w:szCs w:val="32"/>
        </w:rPr>
      </w:pPr>
      <w:r>
        <w:rPr>
          <w:rFonts w:hint="eastAsia" w:ascii="仿宋" w:hAnsi="仿宋" w:cs="仿宋"/>
          <w:color w:val="000000"/>
          <w:kern w:val="0"/>
          <w:szCs w:val="32"/>
          <w:lang w:bidi="ar"/>
        </w:rPr>
        <w:t>运行成本：公用经费、“三公”经费、培训费、会议费、机关运行经费控制情况。</w:t>
      </w:r>
    </w:p>
    <w:p>
      <w:pPr>
        <w:widowControl/>
        <w:ind w:firstLine="640"/>
        <w:rPr>
          <w:rFonts w:hint="eastAsia" w:ascii="仿宋" w:hAnsi="仿宋" w:cs="仿宋"/>
          <w:szCs w:val="32"/>
        </w:rPr>
      </w:pPr>
      <w:r>
        <w:rPr>
          <w:rFonts w:hint="eastAsia" w:ascii="仿宋" w:hAnsi="仿宋" w:cs="仿宋"/>
          <w:color w:val="000000"/>
          <w:kern w:val="0"/>
          <w:szCs w:val="32"/>
          <w:lang w:bidi="ar"/>
        </w:rPr>
        <w:t>履职工作效能：部门整体绩效目标及年度工作任务完成情况及效果，部门工作及社会服务能力。</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可持续发展：信息化建设、服务中心人才队伍建设等方面可持续发展能力；部门中长期规划是否建立；满意度评价。</w:t>
      </w:r>
    </w:p>
    <w:p>
      <w:pPr>
        <w:pStyle w:val="3"/>
        <w:ind w:firstLine="643"/>
        <w:rPr>
          <w:rFonts w:hint="eastAsia"/>
        </w:rPr>
      </w:pPr>
      <w:bookmarkStart w:id="157" w:name="_Toc25379"/>
      <w:bookmarkStart w:id="158" w:name="_Toc19063"/>
      <w:bookmarkStart w:id="159" w:name="_Toc30742"/>
      <w:r>
        <w:rPr>
          <w:rFonts w:hint="eastAsia"/>
        </w:rPr>
        <w:t>（二）评价方法</w:t>
      </w:r>
      <w:bookmarkEnd w:id="157"/>
      <w:bookmarkEnd w:id="158"/>
      <w:bookmarkEnd w:id="159"/>
    </w:p>
    <w:bookmarkEnd w:id="156"/>
    <w:p>
      <w:pPr>
        <w:pStyle w:val="4"/>
        <w:ind w:firstLine="643"/>
        <w:rPr>
          <w:rFonts w:hint="eastAsia"/>
        </w:rPr>
      </w:pPr>
      <w:r>
        <w:rPr>
          <w:rFonts w:hint="eastAsia"/>
        </w:rPr>
        <w:t>1.案卷研究法</w:t>
      </w:r>
    </w:p>
    <w:p>
      <w:pPr>
        <w:widowControl/>
        <w:shd w:val="clear" w:color="auto" w:fill="FFFFFF"/>
        <w:ind w:firstLine="640"/>
        <w:rPr>
          <w:rFonts w:hint="eastAsia" w:ascii="仿宋" w:hAnsi="仿宋" w:cs="仿宋"/>
          <w:color w:val="000000"/>
          <w:kern w:val="0"/>
          <w:szCs w:val="32"/>
        </w:rPr>
      </w:pPr>
      <w:r>
        <w:rPr>
          <w:rFonts w:hint="eastAsia" w:ascii="仿宋" w:hAnsi="仿宋" w:cs="仿宋"/>
          <w:color w:val="000000"/>
          <w:kern w:val="0"/>
          <w:szCs w:val="32"/>
        </w:rPr>
        <w:t>对部门职能、中长期规划、部门年度工作计划及工作总结、部门资金使用管理情况等相关资料进行研究、比较、分析，提取重要信息。同时，查找财政管理方面政策文件及相关资料，了解</w:t>
      </w:r>
      <w:r>
        <w:rPr>
          <w:rFonts w:hint="eastAsia" w:ascii="仿宋" w:hAnsi="仿宋" w:cs="仿宋"/>
          <w:szCs w:val="32"/>
        </w:rPr>
        <w:t>发改统计局</w:t>
      </w:r>
      <w:r>
        <w:rPr>
          <w:rFonts w:hint="eastAsia" w:ascii="仿宋" w:hAnsi="仿宋" w:cs="仿宋"/>
          <w:color w:val="000000"/>
          <w:kern w:val="0"/>
          <w:szCs w:val="32"/>
        </w:rPr>
        <w:t>在履行部门职能、实现职责目标方面的发展现状、面临的主要问题及未来发展趋势，支撑评价工作的开展和评价结论的得出。</w:t>
      </w:r>
    </w:p>
    <w:p>
      <w:pPr>
        <w:pStyle w:val="4"/>
        <w:ind w:firstLine="643"/>
        <w:rPr>
          <w:rFonts w:hint="eastAsia"/>
        </w:rPr>
      </w:pPr>
      <w:r>
        <w:rPr>
          <w:rFonts w:hint="eastAsia"/>
        </w:rPr>
        <w:t>2.比较分析法</w:t>
      </w:r>
    </w:p>
    <w:p>
      <w:pPr>
        <w:widowControl/>
        <w:shd w:val="clear" w:color="auto" w:fill="FFFFFF"/>
        <w:ind w:firstLine="640"/>
        <w:rPr>
          <w:rFonts w:hint="eastAsia" w:ascii="仿宋" w:hAnsi="仿宋" w:cs="仿宋"/>
          <w:color w:val="000000"/>
          <w:kern w:val="0"/>
          <w:szCs w:val="32"/>
        </w:rPr>
      </w:pPr>
      <w:r>
        <w:rPr>
          <w:rFonts w:hint="eastAsia" w:ascii="仿宋" w:hAnsi="仿宋" w:cs="仿宋"/>
          <w:color w:val="000000"/>
          <w:kern w:val="0"/>
          <w:szCs w:val="32"/>
        </w:rPr>
        <w:t>通过对年度目标与实际完成情况、预算安排与执行结果进行比较，综合分析部门整体开展的效率和效果。</w:t>
      </w:r>
    </w:p>
    <w:p>
      <w:pPr>
        <w:pStyle w:val="4"/>
        <w:ind w:firstLine="643"/>
        <w:rPr>
          <w:rFonts w:hint="eastAsia"/>
        </w:rPr>
      </w:pPr>
      <w:r>
        <w:rPr>
          <w:rFonts w:hint="eastAsia"/>
        </w:rPr>
        <w:t>3.因素分析法</w:t>
      </w:r>
    </w:p>
    <w:p>
      <w:pPr>
        <w:widowControl/>
        <w:ind w:firstLine="640"/>
        <w:rPr>
          <w:rFonts w:hint="eastAsia" w:ascii="仿宋" w:hAnsi="仿宋" w:cs="仿宋"/>
          <w:szCs w:val="32"/>
        </w:rPr>
      </w:pPr>
      <w:r>
        <w:rPr>
          <w:rFonts w:hint="eastAsia" w:ascii="仿宋" w:hAnsi="仿宋" w:cs="仿宋"/>
          <w:color w:val="000000"/>
          <w:kern w:val="0"/>
          <w:szCs w:val="32"/>
          <w:lang w:bidi="ar"/>
        </w:rPr>
        <w:t>通过对收集的发改统计局2023年部门整体支出有关资料进行分析，了解资金的使用范围和用途，查看预算绩效目标的设置情况，综合分析影响绩效目标实现、实施效果的内外因素，评价绩效目标实现程度。</w:t>
      </w:r>
    </w:p>
    <w:p>
      <w:pPr>
        <w:pStyle w:val="4"/>
        <w:ind w:firstLine="643"/>
      </w:pPr>
      <w:r>
        <w:rPr>
          <w:rFonts w:hint="eastAsia"/>
        </w:rPr>
        <w:t>4.</w:t>
      </w:r>
      <w:r>
        <w:t>成本效益分析法</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将一定时期内的支出与效益进行对比分析，以评价绩效目标实现程度。</w:t>
      </w:r>
    </w:p>
    <w:p>
      <w:pPr>
        <w:pStyle w:val="4"/>
        <w:ind w:firstLine="643"/>
        <w:rPr>
          <w:rFonts w:hint="eastAsia"/>
        </w:rPr>
      </w:pPr>
      <w:r>
        <w:rPr>
          <w:rFonts w:hint="eastAsia"/>
        </w:rPr>
        <w:t>5.</w:t>
      </w:r>
      <w:r>
        <w:t>公众评判法</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评价组根据单位职能、职责和2023年度绩效目标完成情况，制定对应的满意度调查问卷。通过对服务对象发放满意度调查问卷作答情况，对发改统计局履职情况进行评判；对工作完成效果进行摸底调查，评价绩效目标实现程度。</w:t>
      </w:r>
    </w:p>
    <w:p>
      <w:pPr>
        <w:pStyle w:val="3"/>
        <w:ind w:firstLine="643"/>
        <w:rPr>
          <w:rFonts w:hint="eastAsia"/>
        </w:rPr>
      </w:pPr>
      <w:bookmarkStart w:id="160" w:name="_Toc11963"/>
      <w:bookmarkStart w:id="161" w:name="_Toc16697"/>
      <w:bookmarkStart w:id="162" w:name="_Toc24976"/>
      <w:bookmarkStart w:id="163" w:name="_Toc21812"/>
      <w:bookmarkStart w:id="164" w:name="_Toc4006"/>
      <w:r>
        <w:rPr>
          <w:rFonts w:hint="eastAsia"/>
        </w:rPr>
        <w:t>（三）评价过程</w:t>
      </w:r>
      <w:bookmarkEnd w:id="160"/>
      <w:bookmarkEnd w:id="161"/>
      <w:bookmarkEnd w:id="162"/>
    </w:p>
    <w:p>
      <w:pPr>
        <w:pStyle w:val="4"/>
        <w:ind w:firstLine="643"/>
        <w:rPr>
          <w:rFonts w:hint="eastAsia"/>
        </w:rPr>
      </w:pPr>
      <w:r>
        <w:rPr>
          <w:rFonts w:hint="eastAsia"/>
        </w:rPr>
        <w:t>1.前期准备</w:t>
      </w:r>
      <w:bookmarkEnd w:id="163"/>
      <w:bookmarkEnd w:id="164"/>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为保障此次绩效评价工作的顺利开展，我们成立了绩效评价小组并召开评价工作启动会。对发改统计局进行预调研，制定评价工作方案，设置评价指标体系及评分表。</w:t>
      </w:r>
      <w:bookmarkStart w:id="165" w:name="_Toc9913"/>
      <w:bookmarkStart w:id="166" w:name="_Toc31091"/>
    </w:p>
    <w:p>
      <w:pPr>
        <w:pStyle w:val="4"/>
        <w:ind w:firstLine="643"/>
        <w:rPr>
          <w:rFonts w:hint="eastAsia"/>
        </w:rPr>
      </w:pPr>
      <w:r>
        <w:rPr>
          <w:rFonts w:hint="eastAsia"/>
        </w:rPr>
        <w:t>2.组织实施</w:t>
      </w:r>
      <w:bookmarkEnd w:id="165"/>
      <w:bookmarkEnd w:id="166"/>
    </w:p>
    <w:p>
      <w:pPr>
        <w:widowControl/>
        <w:ind w:firstLine="640"/>
        <w:rPr>
          <w:rFonts w:hint="eastAsia" w:ascii="仿宋" w:hAnsi="仿宋" w:cs="仿宋"/>
          <w:szCs w:val="32"/>
        </w:rPr>
      </w:pPr>
      <w:r>
        <w:rPr>
          <w:rFonts w:hint="eastAsia" w:ascii="仿宋" w:hAnsi="仿宋" w:cs="仿宋"/>
          <w:color w:val="000000"/>
          <w:kern w:val="0"/>
          <w:szCs w:val="32"/>
          <w:lang w:bidi="ar"/>
        </w:rPr>
        <w:t>绩效评价小组按绩效工作安排在遂宁高新区财政金融局领导带领下进驻被评价单位，开展进场评价工作会议，听取了发改统计局对本单位绩效目标设定及完成程度，组织管理制度建立健全及落实情况，预算支出执行情况，财务管理状况，资产管理情况和预算支出执行产生的效益效果等情况介绍。遂宁高新区财政金融局领导提出本次工作目的和工作要求，指示实地评价的科学性、规范性、客观性、公正性、独立性原则。</w:t>
      </w:r>
    </w:p>
    <w:p>
      <w:pPr>
        <w:widowControl/>
        <w:ind w:firstLine="640"/>
        <w:rPr>
          <w:rFonts w:hint="eastAsia" w:ascii="仿宋" w:hAnsi="仿宋" w:cs="仿宋"/>
          <w:szCs w:val="32"/>
        </w:rPr>
      </w:pPr>
      <w:r>
        <w:rPr>
          <w:rFonts w:hint="eastAsia" w:ascii="仿宋" w:hAnsi="仿宋" w:cs="仿宋"/>
          <w:color w:val="000000"/>
          <w:kern w:val="0"/>
          <w:szCs w:val="32"/>
          <w:lang w:bidi="ar"/>
        </w:rPr>
        <w:t>入场后，我方收取现场评价资料，进行现场资料分析，复核预算收支情况，查看部门工作现场，核实单位资产规模和管理情况，结合资料实地查看部门工作实际完成状态和规模，核实各项资产保存管理状况，评价部门管理状态，查验单位工作实施的真实性和规范性，检验已完成工作的运行效果。对各部门履行职责情况的公众满意度进行调查，对具有明确受益对象的评价项目，根据需要收集的评价数据设置调查表并认真做好调查表的发放与回收工作。</w:t>
      </w:r>
    </w:p>
    <w:p>
      <w:pPr>
        <w:pStyle w:val="4"/>
        <w:ind w:firstLine="643"/>
        <w:rPr>
          <w:rFonts w:hint="eastAsia"/>
        </w:rPr>
      </w:pPr>
      <w:bookmarkStart w:id="167" w:name="_Toc21860"/>
      <w:bookmarkStart w:id="168" w:name="_Toc23588"/>
      <w:r>
        <w:rPr>
          <w:rFonts w:hint="eastAsia"/>
        </w:rPr>
        <w:t>3.分析评价</w:t>
      </w:r>
      <w:bookmarkEnd w:id="167"/>
      <w:bookmarkEnd w:id="168"/>
    </w:p>
    <w:p>
      <w:pPr>
        <w:ind w:firstLine="640"/>
        <w:rPr>
          <w:rFonts w:hint="eastAsia"/>
        </w:rPr>
      </w:pPr>
      <w:r>
        <w:rPr>
          <w:rFonts w:hint="eastAsia"/>
        </w:rPr>
        <w:t>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得出部门整体实施绩效结论。</w:t>
      </w:r>
    </w:p>
    <w:p>
      <w:pPr>
        <w:pStyle w:val="4"/>
        <w:ind w:firstLine="643"/>
        <w:rPr>
          <w:rFonts w:hint="eastAsia"/>
        </w:rPr>
      </w:pPr>
      <w:bookmarkStart w:id="169" w:name="_Toc6713"/>
      <w:bookmarkStart w:id="170" w:name="_Toc11498"/>
      <w:r>
        <w:rPr>
          <w:rFonts w:hint="eastAsia"/>
        </w:rPr>
        <w:t>4.绩效评价报告</w:t>
      </w:r>
      <w:bookmarkEnd w:id="169"/>
      <w:bookmarkEnd w:id="170"/>
    </w:p>
    <w:p>
      <w:pPr>
        <w:pStyle w:val="5"/>
        <w:ind w:firstLine="643"/>
        <w:rPr>
          <w:rFonts w:hint="eastAsia"/>
        </w:rPr>
      </w:pPr>
      <w:bookmarkStart w:id="171" w:name="_Toc27053"/>
      <w:r>
        <w:rPr>
          <w:rFonts w:hint="eastAsia"/>
        </w:rPr>
        <w:t>（1）撰写绩效评价报告</w:t>
      </w:r>
      <w:bookmarkEnd w:id="171"/>
    </w:p>
    <w:p>
      <w:pPr>
        <w:widowControl/>
        <w:ind w:firstLine="640"/>
        <w:rPr>
          <w:rFonts w:hint="eastAsia" w:ascii="仿宋" w:hAnsi="仿宋" w:cs="仿宋"/>
          <w:szCs w:val="32"/>
        </w:rPr>
      </w:pPr>
      <w:r>
        <w:rPr>
          <w:rFonts w:hint="eastAsia" w:ascii="仿宋" w:hAnsi="仿宋" w:cs="仿宋"/>
          <w:color w:val="000000"/>
          <w:kern w:val="0"/>
          <w:szCs w:val="32"/>
          <w:lang w:bidi="ar"/>
        </w:rPr>
        <w:t>绩效评价报告的具体格式由财政部门统一制定，绩效评价人员按照规定的文本格式和协议要求撰写绩效评价报告，做到依据充分、数据真实、内容完整、客观公正、结论明确、建议可行。</w:t>
      </w:r>
    </w:p>
    <w:p>
      <w:pPr>
        <w:pStyle w:val="5"/>
        <w:ind w:firstLine="643"/>
        <w:rPr>
          <w:rFonts w:hint="eastAsia"/>
        </w:rPr>
      </w:pPr>
      <w:bookmarkStart w:id="172" w:name="_Toc27045"/>
      <w:r>
        <w:rPr>
          <w:rFonts w:hint="eastAsia"/>
        </w:rPr>
        <w:t>（2）绩效评价报告交换意见</w:t>
      </w:r>
      <w:bookmarkEnd w:id="172"/>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绩效评价报告初稿完成后，根据反馈的有效意见对评价报告进行修改。如对评价报告存在意见分歧，经协商仍不能取得一致的，评价组在出具正式绩效评价报告时须同时提交被评价单位的不同意见。</w:t>
      </w:r>
      <w:bookmarkStart w:id="173" w:name="_Toc1589"/>
    </w:p>
    <w:p>
      <w:pPr>
        <w:pStyle w:val="5"/>
        <w:ind w:firstLine="643"/>
        <w:rPr>
          <w:rFonts w:hint="eastAsia"/>
        </w:rPr>
      </w:pPr>
      <w:r>
        <w:rPr>
          <w:rFonts w:hint="eastAsia"/>
        </w:rPr>
        <w:t>（3）提交绩效评价报告</w:t>
      </w:r>
      <w:bookmarkEnd w:id="173"/>
    </w:p>
    <w:p>
      <w:pPr>
        <w:widowControl/>
        <w:ind w:firstLine="640"/>
        <w:rPr>
          <w:rFonts w:hint="eastAsia" w:ascii="仿宋" w:hAnsi="仿宋" w:cs="仿宋"/>
          <w:color w:val="000000"/>
          <w:kern w:val="0"/>
          <w:szCs w:val="32"/>
          <w:lang w:bidi="ar"/>
        </w:rPr>
      </w:pPr>
      <w:r>
        <w:rPr>
          <w:rFonts w:hint="eastAsia" w:ascii="仿宋" w:hAnsi="仿宋" w:cs="仿宋"/>
        </w:rPr>
        <w:t>出具四川遂宁高新技术产业园区发展改革与统计局2023年度部门整体支出绩效评价报告。</w:t>
      </w:r>
    </w:p>
    <w:p>
      <w:pPr>
        <w:pStyle w:val="2"/>
        <w:ind w:firstLine="640"/>
        <w:rPr>
          <w:rFonts w:hint="eastAsia"/>
        </w:rPr>
      </w:pPr>
      <w:bookmarkStart w:id="174" w:name="_Toc2364"/>
      <w:bookmarkStart w:id="175" w:name="_Toc32048"/>
      <w:bookmarkStart w:id="176" w:name="_Toc15446"/>
      <w:bookmarkStart w:id="177" w:name="_Toc32108"/>
      <w:bookmarkStart w:id="178" w:name="_Toc3833"/>
      <w:r>
        <w:rPr>
          <w:rFonts w:hint="eastAsia"/>
        </w:rPr>
        <w:t>四、指标体系</w:t>
      </w:r>
      <w:bookmarkEnd w:id="174"/>
      <w:bookmarkEnd w:id="175"/>
      <w:bookmarkEnd w:id="176"/>
      <w:bookmarkEnd w:id="177"/>
      <w:bookmarkEnd w:id="178"/>
    </w:p>
    <w:p>
      <w:pPr>
        <w:pStyle w:val="3"/>
        <w:ind w:firstLine="643"/>
        <w:rPr>
          <w:rFonts w:hint="eastAsia"/>
        </w:rPr>
      </w:pPr>
      <w:bookmarkStart w:id="179" w:name="_Toc16298"/>
      <w:bookmarkStart w:id="180" w:name="_Toc774"/>
      <w:bookmarkStart w:id="181" w:name="_Toc15056"/>
      <w:bookmarkStart w:id="182" w:name="_Toc7494"/>
      <w:bookmarkStart w:id="183" w:name="_Toc29225"/>
      <w:r>
        <w:rPr>
          <w:rFonts w:hint="eastAsia"/>
        </w:rPr>
        <w:t>（一）评价指标的构建思路及分值分布</w:t>
      </w:r>
      <w:bookmarkEnd w:id="179"/>
      <w:bookmarkEnd w:id="180"/>
      <w:bookmarkEnd w:id="181"/>
      <w:bookmarkEnd w:id="182"/>
      <w:bookmarkEnd w:id="183"/>
    </w:p>
    <w:p>
      <w:pPr>
        <w:widowControl/>
        <w:ind w:firstLine="640"/>
        <w:rPr>
          <w:rFonts w:hint="eastAsia" w:ascii="仿宋" w:hAnsi="仿宋" w:cs="仿宋"/>
          <w:szCs w:val="32"/>
        </w:rPr>
      </w:pPr>
      <w:r>
        <w:rPr>
          <w:rFonts w:hint="eastAsia" w:ascii="仿宋" w:hAnsi="仿宋" w:cs="仿宋"/>
          <w:color w:val="000000"/>
          <w:kern w:val="0"/>
          <w:szCs w:val="32"/>
          <w:lang w:bidi="ar"/>
        </w:rPr>
        <w:t>绩效评价指标是衡量绩效目标实现程度的考核工具。通过将绩效业绩指标化，获取具有针对性的业绩值，为开展绩效评价工作提供基础。绩效评价指标应当充分体现和真实反映部门的绩效、绩效目标的完成情况及评价的政策需要。绩效评价指标体系通常包括具体指标、指标权重、指标解释、数据来源、评价标准及评分方法等。</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对象为发改统计局整体支出，针对发改统计局的绩效指标体系建立是本次部门整体绩效综合评价的一个关键模块，在确定发改统计局整体支出绩效评价指标方面，我们主要考虑到三个重点：一是设置合理的绩效指标，绩效指标要能够准确清晰地反映发改统计局履职效果，需尽量设置为可衡量、可考核的清晰明确的指标，指标值需具有约束力；二是确定特性指标恰当的指标权重，依据相关原则，结合专家经验对各项指标重要程度进行研判，并匹配相应权重；三是针对发改统计局业务特点、制度改革事业发展实际建立适当评价标准，组合使用定性标准与定量标准。</w:t>
      </w:r>
    </w:p>
    <w:p>
      <w:pPr>
        <w:widowControl/>
        <w:ind w:firstLine="640"/>
        <w:jc w:val="left"/>
        <w:rPr>
          <w:rFonts w:hint="eastAsia" w:ascii="仿宋" w:hAnsi="仿宋" w:cs="仿宋"/>
          <w:color w:val="000000"/>
          <w:kern w:val="0"/>
          <w:szCs w:val="32"/>
          <w:lang w:bidi="ar"/>
        </w:rPr>
      </w:pPr>
      <w:r>
        <w:rPr>
          <w:rFonts w:hint="eastAsia" w:ascii="仿宋" w:hAnsi="仿宋" w:cs="仿宋"/>
          <w:color w:val="000000"/>
          <w:kern w:val="0"/>
          <w:szCs w:val="32"/>
          <w:lang w:bidi="ar"/>
        </w:rPr>
        <w:t>结合发改统计局实际情况，我方在符合国家规定的部门整体支出绩效评价指标框架要求的前提下，细化了资金使用配置、目标规划、管理效率、运行成本、履职效能和可持续等方面指标权重，根据发改统计局的特点针对性强化了指标考核权重。</w:t>
      </w:r>
      <w:bookmarkStart w:id="184" w:name="_Toc25852"/>
      <w:bookmarkStart w:id="185" w:name="_Toc19515"/>
      <w:bookmarkStart w:id="186" w:name="_Toc32019"/>
    </w:p>
    <w:p>
      <w:pPr>
        <w:pStyle w:val="3"/>
        <w:ind w:firstLine="643"/>
        <w:rPr>
          <w:rFonts w:hint="eastAsia"/>
        </w:rPr>
      </w:pPr>
      <w:bookmarkStart w:id="187" w:name="_Toc13961"/>
      <w:bookmarkStart w:id="188" w:name="_Toc1891"/>
      <w:r>
        <w:rPr>
          <w:rFonts w:hint="eastAsia"/>
        </w:rPr>
        <w:t>（二）评价等级</w:t>
      </w:r>
      <w:bookmarkEnd w:id="184"/>
      <w:bookmarkEnd w:id="185"/>
      <w:bookmarkEnd w:id="186"/>
      <w:bookmarkEnd w:id="187"/>
      <w:bookmarkEnd w:id="188"/>
    </w:p>
    <w:p>
      <w:pPr>
        <w:widowControl/>
        <w:ind w:firstLine="640"/>
        <w:rPr>
          <w:rFonts w:hint="eastAsia" w:ascii="仿宋" w:hAnsi="仿宋" w:cs="仿宋"/>
          <w:szCs w:val="32"/>
        </w:rPr>
      </w:pPr>
      <w:r>
        <w:rPr>
          <w:rFonts w:hint="eastAsia" w:ascii="仿宋" w:hAnsi="仿宋" w:cs="仿宋"/>
          <w:color w:val="000000"/>
          <w:kern w:val="0"/>
          <w:szCs w:val="32"/>
          <w:lang w:bidi="ar"/>
        </w:rPr>
        <w:t>结合部门主要职能、部门工作内容以及部门项目特点，绩效评价小组在与专家组充分沟通的基础上，拟定本次遂宁发改统计局部门整体支出绩效评价指标体系。本部门整体支出绩效评价指标体系下设投入、过程、产出和效果4个一级指标、12个二级指标、37个三级指标。</w:t>
      </w:r>
    </w:p>
    <w:p>
      <w:pPr>
        <w:widowControl/>
        <w:ind w:firstLine="640"/>
        <w:rPr>
          <w:rFonts w:hint="eastAsia" w:ascii="仿宋" w:hAnsi="仿宋" w:cs="仿宋"/>
          <w:szCs w:val="32"/>
        </w:rPr>
      </w:pPr>
      <w:r>
        <w:rPr>
          <w:rFonts w:hint="eastAsia" w:ascii="仿宋" w:hAnsi="仿宋" w:cs="仿宋"/>
          <w:color w:val="000000"/>
          <w:kern w:val="0"/>
          <w:szCs w:val="32"/>
          <w:lang w:bidi="ar"/>
        </w:rPr>
        <w:t>绩效评价结果分为4个等级：</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综合得分在90（含90）-100分为“优”；</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综合得分在80（含80）-90分为“良”；</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综合得分在60（含60）-80分为“中”；</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综合得分在60分以下为“差”。</w:t>
      </w:r>
      <w:bookmarkStart w:id="189" w:name="_Toc1889"/>
      <w:bookmarkStart w:id="190" w:name="_Toc20235"/>
    </w:p>
    <w:p>
      <w:pPr>
        <w:pStyle w:val="2"/>
        <w:ind w:firstLine="640"/>
        <w:rPr>
          <w:rFonts w:hint="eastAsia"/>
        </w:rPr>
      </w:pPr>
      <w:bookmarkStart w:id="191" w:name="_Toc24339"/>
      <w:bookmarkStart w:id="192" w:name="_Toc13135"/>
      <w:bookmarkStart w:id="193" w:name="_Toc13874"/>
      <w:r>
        <w:rPr>
          <w:rFonts w:hint="eastAsia"/>
        </w:rPr>
        <w:t>五、评价结论及绩效分析</w:t>
      </w:r>
      <w:bookmarkEnd w:id="191"/>
      <w:bookmarkEnd w:id="192"/>
      <w:bookmarkEnd w:id="193"/>
    </w:p>
    <w:p>
      <w:pPr>
        <w:pStyle w:val="3"/>
        <w:ind w:firstLine="643"/>
        <w:rPr>
          <w:rFonts w:hint="eastAsia"/>
        </w:rPr>
      </w:pPr>
      <w:bookmarkStart w:id="194" w:name="_Toc30518"/>
      <w:bookmarkStart w:id="195" w:name="_Toc25626"/>
      <w:bookmarkStart w:id="196" w:name="_Toc31961"/>
      <w:r>
        <w:rPr>
          <w:rFonts w:hint="eastAsia"/>
        </w:rPr>
        <w:t>（一）评价结论</w:t>
      </w:r>
      <w:bookmarkEnd w:id="189"/>
      <w:bookmarkEnd w:id="190"/>
      <w:bookmarkEnd w:id="194"/>
      <w:bookmarkEnd w:id="195"/>
      <w:bookmarkEnd w:id="196"/>
    </w:p>
    <w:p>
      <w:pPr>
        <w:widowControl/>
        <w:ind w:firstLine="640"/>
        <w:rPr>
          <w:rFonts w:hint="eastAsia" w:ascii="仿宋" w:hAnsi="仿宋" w:cs="仿宋"/>
        </w:rPr>
      </w:pPr>
      <w:r>
        <w:rPr>
          <w:rFonts w:hint="eastAsia" w:ascii="仿宋" w:hAnsi="仿宋" w:cs="仿宋"/>
        </w:rPr>
        <w:t>2023年度</w:t>
      </w:r>
      <w:r>
        <w:rPr>
          <w:rFonts w:hint="eastAsia" w:ascii="仿宋" w:hAnsi="仿宋" w:cs="仿宋"/>
          <w:lang w:val="en-US" w:eastAsia="zh-CN"/>
        </w:rPr>
        <w:t>发改统计局</w:t>
      </w:r>
      <w:r>
        <w:rPr>
          <w:rFonts w:hint="eastAsia" w:ascii="仿宋" w:hAnsi="仿宋" w:cs="仿宋"/>
        </w:rPr>
        <w:t>按规定编报了部门绩效目标，目标设立合理，符合绩效管理相关规定，与地区发展规划的目标方向一致，相应工作内容与职责相契合。绩效目标管理也存在一些不足，个别指标设置不够明确、细化和量化。</w:t>
      </w:r>
      <w:r>
        <w:rPr>
          <w:rFonts w:hint="eastAsia" w:ascii="仿宋" w:hAnsi="仿宋" w:cs="仿宋"/>
          <w:lang w:val="en-US" w:eastAsia="zh-CN"/>
        </w:rPr>
        <w:t>发改统计局</w:t>
      </w:r>
      <w:r>
        <w:rPr>
          <w:rFonts w:hint="eastAsia" w:ascii="仿宋" w:hAnsi="仿宋" w:cs="仿宋"/>
        </w:rPr>
        <w:t>制定了中长期发展规划，完成了本年度各项工作任务，实现了部门绩效总体目标和各项指标。</w:t>
      </w:r>
      <w:r>
        <w:rPr>
          <w:rFonts w:hint="eastAsia" w:ascii="仿宋" w:hAnsi="仿宋" w:cs="仿宋"/>
          <w:lang w:val="en-US" w:eastAsia="zh-CN"/>
        </w:rPr>
        <w:t>发改统计局</w:t>
      </w:r>
      <w:r>
        <w:rPr>
          <w:rFonts w:hint="eastAsia" w:ascii="仿宋" w:hAnsi="仿宋" w:cs="仿宋"/>
        </w:rPr>
        <w:t>紧抓预算管理和执行，完成了2023年度预算支出。“三公经费”年初预算1.00万元，调整</w:t>
      </w:r>
      <w:r>
        <w:rPr>
          <w:rStyle w:val="24"/>
          <w:rFonts w:hint="eastAsia"/>
          <w:sz w:val="32"/>
          <w:szCs w:val="32"/>
        </w:rPr>
        <w:t>后</w:t>
      </w:r>
      <w:r>
        <w:rPr>
          <w:rFonts w:hint="eastAsia" w:ascii="仿宋" w:hAnsi="仿宋" w:cs="仿宋"/>
        </w:rPr>
        <w:t>预算为0元，无实际支出，“三公经费”控制较好。2023年</w:t>
      </w:r>
      <w:r>
        <w:rPr>
          <w:rFonts w:hint="eastAsia" w:ascii="仿宋" w:hAnsi="仿宋" w:cs="仿宋"/>
          <w:lang w:val="en-US" w:eastAsia="zh-CN"/>
        </w:rPr>
        <w:t>发改统计局</w:t>
      </w:r>
      <w:r>
        <w:rPr>
          <w:rFonts w:hint="eastAsia" w:ascii="仿宋" w:hAnsi="仿宋" w:cs="仿宋"/>
        </w:rPr>
        <w:t>实际在职人员数量未超确定的人员编制范围。部门制定了部分内部管理制度，但不够健全，相关资产管理工作存在不足，财务信息质量有待提高。2023年度</w:t>
      </w:r>
      <w:r>
        <w:rPr>
          <w:rFonts w:hint="eastAsia" w:ascii="仿宋" w:hAnsi="仿宋" w:cs="仿宋"/>
          <w:lang w:val="en-US" w:eastAsia="zh-CN"/>
        </w:rPr>
        <w:t>发改统计局</w:t>
      </w:r>
      <w:r>
        <w:rPr>
          <w:rFonts w:hint="eastAsia" w:ascii="仿宋" w:hAnsi="仿宋" w:cs="仿宋"/>
        </w:rPr>
        <w:t>各项工作任务均已顺利完成，较好地履行了部门工作职责。</w:t>
      </w:r>
      <w:r>
        <w:rPr>
          <w:rFonts w:hint="eastAsia" w:ascii="仿宋" w:hAnsi="仿宋" w:cs="仿宋"/>
          <w:lang w:val="en-US" w:eastAsia="zh-CN"/>
        </w:rPr>
        <w:t>发改统计局</w:t>
      </w:r>
      <w:r>
        <w:rPr>
          <w:rFonts w:hint="eastAsia" w:ascii="仿宋" w:hAnsi="仿宋" w:cs="仿宋"/>
        </w:rPr>
        <w:t>工作的完成发挥了相应的社会效益和一定的经济效益，群众满意度总体较高。</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经综合评议，2023年度</w:t>
      </w:r>
      <w:r>
        <w:rPr>
          <w:rFonts w:hint="eastAsia" w:ascii="仿宋" w:hAnsi="仿宋" w:cs="仿宋"/>
          <w:szCs w:val="32"/>
        </w:rPr>
        <w:t>发改统计局</w:t>
      </w:r>
      <w:r>
        <w:rPr>
          <w:rFonts w:hint="eastAsia" w:ascii="仿宋" w:hAnsi="仿宋" w:cs="仿宋"/>
          <w:color w:val="000000"/>
          <w:kern w:val="0"/>
          <w:szCs w:val="32"/>
          <w:lang w:bidi="ar"/>
        </w:rPr>
        <w:t>部门整体支出绩效评价综合得分91.00分，综合绩效评定结论为“优”。综合评价得分情况如下：</w:t>
      </w:r>
    </w:p>
    <w:p>
      <w:pPr>
        <w:widowControl/>
        <w:spacing w:before="120" w:beforeLines="50" w:after="120" w:afterLines="50" w:line="240" w:lineRule="auto"/>
        <w:ind w:firstLine="0" w:firstLineChars="0"/>
        <w:jc w:val="center"/>
        <w:rPr>
          <w:rFonts w:hint="eastAsia" w:ascii="宋体" w:hAnsi="宋体" w:eastAsia="宋体" w:cs="宋体"/>
          <w:b/>
          <w:bCs/>
          <w:sz w:val="24"/>
        </w:rPr>
      </w:pPr>
      <w:r>
        <w:rPr>
          <w:rFonts w:hint="eastAsia" w:ascii="宋体" w:hAnsi="宋体" w:eastAsia="宋体" w:cs="宋体"/>
          <w:b/>
          <w:bCs/>
          <w:color w:val="000000"/>
          <w:kern w:val="0"/>
          <w:sz w:val="24"/>
          <w:lang w:bidi="ar"/>
        </w:rPr>
        <w:t>综合评价得分情况表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9"/>
        <w:gridCol w:w="2090"/>
        <w:gridCol w:w="2090"/>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2089"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209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209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c>
          <w:tcPr>
            <w:tcW w:w="209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208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投入</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20.00</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19.00</w:t>
            </w:r>
          </w:p>
        </w:tc>
        <w:tc>
          <w:tcPr>
            <w:tcW w:w="209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95.00%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208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过程</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30.00</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23.00</w:t>
            </w:r>
          </w:p>
        </w:tc>
        <w:tc>
          <w:tcPr>
            <w:tcW w:w="209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76.67%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208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产出</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30.00</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29.00</w:t>
            </w:r>
          </w:p>
        </w:tc>
        <w:tc>
          <w:tcPr>
            <w:tcW w:w="209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96.67%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exact"/>
        </w:trPr>
        <w:tc>
          <w:tcPr>
            <w:tcW w:w="208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效益</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20.00</w:t>
            </w:r>
          </w:p>
        </w:tc>
        <w:tc>
          <w:tcPr>
            <w:tcW w:w="2090" w:type="dxa"/>
            <w:noWrap w:val="0"/>
            <w:vAlign w:val="center"/>
          </w:tcPr>
          <w:p>
            <w:pPr>
              <w:pStyle w:val="29"/>
              <w:spacing w:line="240" w:lineRule="auto"/>
              <w:ind w:firstLine="0" w:firstLineChars="0"/>
              <w:jc w:val="center"/>
              <w:rPr>
                <w:rFonts w:ascii="宋体" w:hAnsi="宋体" w:eastAsia="宋体" w:cs="宋体"/>
                <w:sz w:val="24"/>
                <w:szCs w:val="24"/>
              </w:rPr>
            </w:pPr>
            <w:r>
              <w:rPr>
                <w:rFonts w:hint="eastAsia" w:ascii="宋体" w:hAnsi="宋体" w:eastAsia="宋体" w:cs="宋体"/>
                <w:sz w:val="24"/>
                <w:szCs w:val="24"/>
              </w:rPr>
              <w:t>20.00</w:t>
            </w:r>
          </w:p>
        </w:tc>
        <w:tc>
          <w:tcPr>
            <w:tcW w:w="209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exact"/>
        </w:trPr>
        <w:tc>
          <w:tcPr>
            <w:tcW w:w="2089"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合计</w:t>
            </w:r>
          </w:p>
        </w:tc>
        <w:tc>
          <w:tcPr>
            <w:tcW w:w="2090" w:type="dxa"/>
            <w:noWrap w:val="0"/>
            <w:vAlign w:val="center"/>
          </w:tcPr>
          <w:p>
            <w:pPr>
              <w:pStyle w:val="29"/>
              <w:spacing w:line="240" w:lineRule="auto"/>
              <w:ind w:firstLine="0" w:firstLineChars="0"/>
              <w:jc w:val="center"/>
              <w:rPr>
                <w:rFonts w:ascii="宋体" w:hAnsi="宋体" w:eastAsia="宋体" w:cs="宋体"/>
                <w:b/>
                <w:bCs/>
                <w:sz w:val="24"/>
                <w:szCs w:val="24"/>
              </w:rPr>
            </w:pPr>
            <w:r>
              <w:rPr>
                <w:rFonts w:hint="eastAsia" w:ascii="宋体" w:hAnsi="宋体" w:eastAsia="宋体" w:cs="宋体"/>
                <w:b/>
                <w:bCs/>
                <w:sz w:val="24"/>
                <w:szCs w:val="24"/>
              </w:rPr>
              <w:t>100.00</w:t>
            </w:r>
          </w:p>
        </w:tc>
        <w:tc>
          <w:tcPr>
            <w:tcW w:w="2090" w:type="dxa"/>
            <w:noWrap w:val="0"/>
            <w:vAlign w:val="center"/>
          </w:tcPr>
          <w:p>
            <w:pPr>
              <w:pStyle w:val="29"/>
              <w:spacing w:line="240" w:lineRule="auto"/>
              <w:ind w:firstLine="0" w:firstLineChars="0"/>
              <w:jc w:val="center"/>
              <w:rPr>
                <w:rFonts w:ascii="宋体" w:hAnsi="宋体" w:eastAsia="宋体" w:cs="宋体"/>
                <w:b/>
                <w:bCs/>
                <w:sz w:val="24"/>
                <w:szCs w:val="24"/>
              </w:rPr>
            </w:pPr>
            <w:r>
              <w:rPr>
                <w:rFonts w:hint="eastAsia" w:ascii="宋体" w:hAnsi="宋体" w:eastAsia="宋体" w:cs="宋体"/>
                <w:b/>
                <w:bCs/>
                <w:sz w:val="24"/>
                <w:szCs w:val="24"/>
              </w:rPr>
              <w:t>91.00</w:t>
            </w:r>
          </w:p>
        </w:tc>
        <w:tc>
          <w:tcPr>
            <w:tcW w:w="209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91.00%</w:t>
            </w:r>
          </w:p>
        </w:tc>
      </w:tr>
    </w:tbl>
    <w:p>
      <w:pPr>
        <w:pStyle w:val="3"/>
        <w:ind w:firstLine="643"/>
        <w:rPr>
          <w:rFonts w:hint="eastAsia"/>
        </w:rPr>
      </w:pPr>
      <w:bookmarkStart w:id="197" w:name="_Toc19764"/>
      <w:bookmarkStart w:id="198" w:name="_Toc21862"/>
      <w:bookmarkStart w:id="199" w:name="_Toc13367"/>
      <w:bookmarkStart w:id="200" w:name="_Toc14227"/>
      <w:bookmarkStart w:id="201" w:name="_Toc26592"/>
      <w:r>
        <w:rPr>
          <w:rFonts w:hint="eastAsia"/>
        </w:rPr>
        <w:t>（二）指标分析</w:t>
      </w:r>
      <w:bookmarkEnd w:id="197"/>
      <w:bookmarkEnd w:id="198"/>
      <w:bookmarkEnd w:id="199"/>
      <w:bookmarkEnd w:id="200"/>
      <w:bookmarkEnd w:id="201"/>
    </w:p>
    <w:p>
      <w:pPr>
        <w:pStyle w:val="4"/>
        <w:ind w:firstLine="643"/>
        <w:rPr>
          <w:rFonts w:hint="eastAsia"/>
        </w:rPr>
      </w:pPr>
      <w:bookmarkStart w:id="202" w:name="_Toc11680"/>
      <w:r>
        <w:rPr>
          <w:rFonts w:hint="eastAsia" w:cs="楷体"/>
        </w:rPr>
        <w:t>1.</w:t>
      </w:r>
      <w:r>
        <w:rPr>
          <w:rFonts w:hint="eastAsia"/>
        </w:rPr>
        <w:t>投入指标</w:t>
      </w:r>
      <w:bookmarkEnd w:id="202"/>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发改统计局预算基础信息符合相关规定，基础信息的真实、完整、准确是本单位预算编制数据重要基础，本部门预算编制基础是真实、完整、准确的；绩效目标设定基本符合预算管理的要求。绩效目标设置绩效指标清晰、明确，大部分绩效指标设置能够做到细化量化可衡量，能够基本满足对本部门工作绩效的考核要求。绩效指标总体上科学、合理。同时，评价中也发现个别绩效目标设置不够细化量化，预算绩效目标指标数值设置和考核存在不可衡量之处。本项投入指标分值20.00分，得分为19.00分，得分率95.00%。评分见下表：</w:t>
      </w:r>
    </w:p>
    <w:p>
      <w:pPr>
        <w:widowControl/>
        <w:ind w:firstLine="482"/>
        <w:jc w:val="center"/>
        <w:rPr>
          <w:rFonts w:hint="eastAsia" w:ascii="宋体" w:hAnsi="宋体" w:eastAsia="宋体" w:cs="宋体"/>
          <w:b/>
          <w:bCs/>
          <w:sz w:val="24"/>
        </w:rPr>
      </w:pPr>
      <w:r>
        <w:rPr>
          <w:rFonts w:hint="eastAsia" w:ascii="宋体" w:hAnsi="宋体" w:eastAsia="宋体" w:cs="宋体"/>
          <w:b/>
          <w:bCs/>
          <w:sz w:val="24"/>
        </w:rPr>
        <w:t>投入指标设定及评分情况表</w:t>
      </w:r>
    </w:p>
    <w:tbl>
      <w:tblPr>
        <w:tblStyle w:val="18"/>
        <w:tblW w:w="8077" w:type="dxa"/>
        <w:jc w:val="center"/>
        <w:tblLayout w:type="fixed"/>
        <w:tblCellMar>
          <w:top w:w="0" w:type="dxa"/>
          <w:left w:w="108" w:type="dxa"/>
          <w:bottom w:w="0" w:type="dxa"/>
          <w:right w:w="108" w:type="dxa"/>
        </w:tblCellMar>
      </w:tblPr>
      <w:tblGrid>
        <w:gridCol w:w="722"/>
        <w:gridCol w:w="1054"/>
        <w:gridCol w:w="976"/>
        <w:gridCol w:w="2795"/>
        <w:gridCol w:w="1209"/>
        <w:gridCol w:w="1321"/>
      </w:tblGrid>
      <w:tr>
        <w:tblPrEx>
          <w:tblCellMar>
            <w:top w:w="0" w:type="dxa"/>
            <w:left w:w="108" w:type="dxa"/>
            <w:bottom w:w="0" w:type="dxa"/>
            <w:right w:w="108" w:type="dxa"/>
          </w:tblCellMar>
        </w:tblPrEx>
        <w:trPr>
          <w:trHeight w:val="700"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05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一级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9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二级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三级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分值</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05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投入</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(20分</w:t>
            </w:r>
            <w:r>
              <w:rPr>
                <w:rFonts w:hint="eastAsia" w:ascii="宋体" w:hAnsi="宋体" w:eastAsia="宋体" w:cs="宋体"/>
                <w:b/>
                <w:bCs/>
                <w:color w:val="000000"/>
                <w:kern w:val="0"/>
                <w:sz w:val="20"/>
                <w:szCs w:val="20"/>
                <w:lang w:eastAsia="zh-CN" w:bidi="ar"/>
              </w:rPr>
              <w:t>）</w:t>
            </w:r>
          </w:p>
        </w:tc>
        <w:tc>
          <w:tcPr>
            <w:tcW w:w="9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预算</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编制</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(10分</w:t>
            </w:r>
            <w:r>
              <w:rPr>
                <w:rFonts w:hint="eastAsia" w:ascii="宋体" w:hAnsi="宋体" w:eastAsia="宋体" w:cs="宋体"/>
                <w:sz w:val="20"/>
                <w:szCs w:val="20"/>
                <w:lang w:eastAsia="zh-CN"/>
              </w:rPr>
              <w:t>）</w:t>
            </w: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基础信息完整性（2分）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5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绩效目标符合性（2分）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05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绩效指标明确性（3分）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05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绩效指标科学合理性（3分）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05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97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预算</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配置</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(10分</w:t>
            </w:r>
            <w:r>
              <w:rPr>
                <w:rFonts w:hint="eastAsia" w:ascii="宋体" w:hAnsi="宋体" w:eastAsia="宋体" w:cs="宋体"/>
                <w:color w:val="000000"/>
                <w:kern w:val="0"/>
                <w:sz w:val="20"/>
                <w:szCs w:val="20"/>
                <w:lang w:eastAsia="zh-CN" w:bidi="ar"/>
              </w:rPr>
              <w:t>）</w:t>
            </w: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在职人员控制率（4分）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4.00</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05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“三公经费”变动率（3分）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61" w:hRule="atLeast"/>
          <w:jc w:val="center"/>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05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97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79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重点支出安排率（3分）</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85" w:hRule="atLeast"/>
          <w:jc w:val="center"/>
        </w:trPr>
        <w:tc>
          <w:tcPr>
            <w:tcW w:w="5547"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402"/>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本项合计</w:t>
            </w:r>
          </w:p>
        </w:tc>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20.00</w:t>
            </w:r>
          </w:p>
        </w:tc>
        <w:tc>
          <w:tcPr>
            <w:tcW w:w="13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19.00</w:t>
            </w:r>
          </w:p>
        </w:tc>
      </w:tr>
    </w:tbl>
    <w:p>
      <w:pPr>
        <w:pStyle w:val="5"/>
        <w:ind w:firstLine="643"/>
        <w:rPr>
          <w:rFonts w:hint="eastAsia"/>
        </w:rPr>
      </w:pPr>
      <w:r>
        <w:rPr>
          <w:rFonts w:hint="eastAsia"/>
        </w:rPr>
        <w:t>（1）预算编制</w:t>
      </w:r>
    </w:p>
    <w:p>
      <w:pPr>
        <w:ind w:firstLine="640"/>
        <w:rPr>
          <w:rFonts w:hint="eastAsia" w:ascii="仿宋" w:hAnsi="仿宋" w:cs="仿宋"/>
        </w:rPr>
      </w:pPr>
      <w:r>
        <w:rPr>
          <w:rFonts w:hint="eastAsia" w:ascii="仿宋" w:hAnsi="仿宋" w:cs="仿宋"/>
        </w:rPr>
        <w:t>1）基础信息完整性</w:t>
      </w:r>
    </w:p>
    <w:p>
      <w:pPr>
        <w:widowControl/>
        <w:ind w:firstLine="640"/>
        <w:rPr>
          <w:rFonts w:hint="eastAsia" w:ascii="仿宋" w:hAnsi="仿宋" w:cs="仿宋"/>
          <w:kern w:val="0"/>
          <w:szCs w:val="32"/>
          <w:lang w:bidi="ar"/>
        </w:rPr>
      </w:pPr>
      <w:r>
        <w:rPr>
          <w:rFonts w:hint="eastAsia"/>
        </w:rPr>
        <w:t>发改统计局</w:t>
      </w:r>
      <w:r>
        <w:rPr>
          <w:rFonts w:hint="eastAsia" w:ascii="仿宋" w:hAnsi="仿宋" w:cs="仿宋"/>
          <w:kern w:val="0"/>
          <w:szCs w:val="32"/>
          <w:lang w:bidi="ar"/>
        </w:rPr>
        <w:t>提供了单位基本信息状况，机构设置状况，单位人员状况，部门职能和工作任务情况，提供的单位相关信息资料能够真实、完整，反映单位基本状况和职能所在，能够对预算编制数据的提供支撑和依据。2023年度预算基本支出基本参照单位人员和定额的公用支出来确定本年基本支出预算数额，能够按照单位职能承担</w:t>
      </w:r>
      <w:r>
        <w:rPr>
          <w:rFonts w:hint="eastAsia"/>
        </w:rPr>
        <w:t>发改统计局</w:t>
      </w:r>
      <w:r>
        <w:rPr>
          <w:rFonts w:hint="eastAsia" w:ascii="仿宋" w:hAnsi="仿宋" w:cs="仿宋"/>
          <w:kern w:val="0"/>
          <w:szCs w:val="32"/>
          <w:lang w:bidi="ar"/>
        </w:rPr>
        <w:t>所属的专项项目支出的工作内容。结合相关资料分析来看，发改统计局预算基础信息符合相关规定，信息资料真实、完整、准确，这些基础信息是本单位预算编制数据重要基础。总体而言，预算编制基础是真实、完整、准确的。</w:t>
      </w:r>
    </w:p>
    <w:p>
      <w:pPr>
        <w:pStyle w:val="9"/>
        <w:ind w:firstLine="640"/>
        <w:rPr>
          <w:rFonts w:hint="eastAsia" w:ascii="仿宋" w:hAnsi="仿宋" w:eastAsia="仿宋" w:cs="仿宋"/>
          <w:sz w:val="32"/>
          <w:szCs w:val="32"/>
        </w:rPr>
      </w:pPr>
      <w:r>
        <w:rPr>
          <w:rFonts w:hint="eastAsia" w:ascii="仿宋" w:hAnsi="仿宋" w:eastAsia="仿宋" w:cs="仿宋"/>
          <w:kern w:val="0"/>
          <w:sz w:val="32"/>
          <w:szCs w:val="32"/>
          <w:lang w:bidi="ar"/>
        </w:rPr>
        <w:t>2）绩效目标符合性</w:t>
      </w:r>
    </w:p>
    <w:p>
      <w:pPr>
        <w:ind w:firstLine="640"/>
        <w:rPr>
          <w:rFonts w:hint="eastAsia" w:ascii="仿宋" w:hAnsi="仿宋" w:cs="仿宋"/>
        </w:rPr>
      </w:pPr>
      <w:r>
        <w:rPr>
          <w:rFonts w:hint="eastAsia" w:ascii="仿宋" w:hAnsi="仿宋" w:cs="仿宋"/>
          <w:kern w:val="0"/>
          <w:szCs w:val="32"/>
          <w:lang w:bidi="ar"/>
        </w:rPr>
        <w:t>根据《四川遂宁高新技术产业园区发展改革与统计局绩效目标申报表》，发改统计局制定了年度预算总体绩效目标和具体绩效目标。其中总体目标为：</w:t>
      </w:r>
      <w:r>
        <w:rPr>
          <w:rFonts w:hint="eastAsia" w:ascii="仿宋" w:hAnsi="仿宋" w:cs="仿宋"/>
        </w:rPr>
        <w:t>按月度监测园区经济指标运行态势，完成名录库维护、生猪监测、劳动力调查、住户调查、人口抽样调查、城镇居民工作环境调查等专项统计调查。企业人员按要求完成统计定期报表、年报任务，完善统计基层基础规范化建设工作，接受上级统计数据质量调研、查询等。接洽拟到园区投资的企业，展示园区经济发展和营商环境等成果，推动园区招商引资相关工作。建立园区粮食应急供应体系等。</w:t>
      </w:r>
      <w:r>
        <w:rPr>
          <w:rFonts w:hint="eastAsia" w:ascii="仿宋" w:hAnsi="仿宋" w:cs="仿宋"/>
          <w:kern w:val="0"/>
          <w:szCs w:val="32"/>
          <w:lang w:bidi="ar"/>
        </w:rPr>
        <w:t>绩效</w:t>
      </w:r>
      <w:r>
        <w:rPr>
          <w:rFonts w:hint="eastAsia" w:ascii="仿宋" w:hAnsi="仿宋" w:cs="仿宋"/>
        </w:rPr>
        <w:t>目标设定符合国家法律法规、国民经济和社会发展总体规划，</w:t>
      </w:r>
      <w:r>
        <w:rPr>
          <w:rFonts w:hint="eastAsia" w:ascii="仿宋" w:hAnsi="仿宋" w:cs="仿宋"/>
          <w:kern w:val="0"/>
          <w:szCs w:val="32"/>
          <w:lang w:bidi="ar"/>
        </w:rPr>
        <w:t>与部门的职责相匹配。绩效目标设定基本符合预算管理的要求。</w:t>
      </w:r>
    </w:p>
    <w:p>
      <w:pPr>
        <w:widowControl/>
        <w:ind w:firstLine="640"/>
        <w:rPr>
          <w:rFonts w:hint="eastAsia" w:ascii="仿宋" w:hAnsi="仿宋" w:cs="仿宋"/>
          <w:szCs w:val="32"/>
        </w:rPr>
      </w:pPr>
      <w:r>
        <w:rPr>
          <w:rFonts w:hint="eastAsia" w:ascii="仿宋" w:hAnsi="仿宋" w:cs="仿宋"/>
          <w:kern w:val="0"/>
          <w:szCs w:val="32"/>
          <w:lang w:bidi="ar"/>
        </w:rPr>
        <w:t>3）绩效指标明确性</w:t>
      </w:r>
    </w:p>
    <w:p>
      <w:pPr>
        <w:widowControl/>
        <w:ind w:firstLine="640"/>
        <w:rPr>
          <w:rFonts w:hint="eastAsia" w:ascii="仿宋" w:hAnsi="仿宋" w:cs="仿宋"/>
          <w:szCs w:val="32"/>
        </w:rPr>
      </w:pPr>
      <w:r>
        <w:rPr>
          <w:rFonts w:hint="eastAsia" w:ascii="仿宋" w:hAnsi="仿宋" w:cs="仿宋"/>
          <w:kern w:val="0"/>
          <w:szCs w:val="32"/>
          <w:lang w:bidi="ar"/>
        </w:rPr>
        <w:t>发改统计局制定了年度预算具体绩效目标并设置了各项指标。根据《发改统计局部门（单位）整体支出绩效目标申报表》，发改统计局在年度绩效总体目标的基础上，从产出数量、质量、社会效益和服务对象满意度等角度细化了各项绩效指标。本部门一级指标分为完成目标、效果指标和满意度指标三大指标，其中，完成目标下设四个二级指标，分别为数量指标、质量指标、时效指标、成本指标；效果指标下设两个二级指标，分别为：社会效益指标和可持续影响指标；满意度指标下设一个二级指标，为满意度指标。三级指标的设置基本做到明确、细致、细化、量化、可衡量。比如产出数量指标中分别明确了“争取上级资金额≥5亿元”“竣工重点项目数量≥40”“开工重点项目数量≥20”和“重点工作任务数3项”的数量目标；产出质量指标中“报表审核通过率”“项目开工率”等都设置了具体可量化的质量指标值，但个别指标设置时未充分考虑相应指标的考核依据和方法。如招商引资项目“质量指标”对应的考核指标“招引客商所属行业”评判方式未明确，导致考核指标达标情况时，缺少相应的数据采集评判标准；项目前期工作激励2022年省预算内基本建设资金（非戴帽部分）中“时效指标”为“投资完成率≥100%”表述不明确，不能确认具体的时点。评价认为，总体上绩效目标设置绩效指标基本能够做到细化、量化，大部分绩效指标设置清晰、目标明确。能够基本满足对本部门工作绩效的考核要求。</w:t>
      </w:r>
    </w:p>
    <w:p>
      <w:pPr>
        <w:widowControl/>
        <w:ind w:firstLine="640"/>
        <w:rPr>
          <w:rFonts w:hint="eastAsia" w:ascii="仿宋" w:hAnsi="仿宋" w:cs="仿宋"/>
          <w:szCs w:val="32"/>
        </w:rPr>
      </w:pPr>
      <w:r>
        <w:rPr>
          <w:rFonts w:hint="eastAsia" w:ascii="仿宋" w:hAnsi="仿宋" w:cs="仿宋"/>
          <w:kern w:val="0"/>
          <w:szCs w:val="32"/>
          <w:lang w:bidi="ar"/>
        </w:rPr>
        <w:t>4）绩效指标科学合理性</w:t>
      </w:r>
    </w:p>
    <w:p>
      <w:pPr>
        <w:widowControl/>
        <w:ind w:firstLine="640"/>
        <w:rPr>
          <w:rFonts w:hint="eastAsia" w:ascii="仿宋" w:hAnsi="仿宋" w:cs="仿宋"/>
          <w:color w:val="000000"/>
          <w:kern w:val="0"/>
          <w:szCs w:val="32"/>
          <w:lang w:bidi="ar"/>
        </w:rPr>
      </w:pPr>
      <w:r>
        <w:rPr>
          <w:rFonts w:hint="eastAsia" w:ascii="仿宋" w:hAnsi="仿宋" w:cs="仿宋"/>
          <w:kern w:val="0"/>
          <w:szCs w:val="32"/>
          <w:lang w:bidi="ar"/>
        </w:rPr>
        <w:t>发改统计局依据整体绩效目标所设定的部门项目绩效指标总体上科学、合理，能够科学合理地反映和考核本部门预算项目绩效指标。项目绩效指标的设置依据是充分的，与部门职责相匹配，与部门年度的任务和计划相对应，与本年度部门年初预算资金相匹配。但个别指标设置时未充分考虑相应指标的考核依据和方法。如部门整体支出绩效目标表中：“搭建粮食应急供应体系，年底之前</w:t>
      </w:r>
      <w:r>
        <w:rPr>
          <w:rFonts w:ascii="仿宋" w:hAnsi="仿宋" w:cs="仿宋"/>
          <w:kern w:val="0"/>
          <w:szCs w:val="32"/>
          <w:lang w:bidi="ar"/>
        </w:rPr>
        <w:t>”</w:t>
      </w:r>
      <w:r>
        <w:rPr>
          <w:rFonts w:hint="eastAsia" w:ascii="仿宋" w:hAnsi="仿宋" w:cs="仿宋"/>
          <w:kern w:val="0"/>
          <w:szCs w:val="32"/>
          <w:lang w:bidi="ar"/>
        </w:rPr>
        <w:t>是时效指标，不是数量指标，未量化到具体数量。2023年第五次经济普查相关费用项目，未设定绩效目标，效益指标的经济效益和可持续效益均定义为：“经济发展质量不断提升”，缺乏合理性。</w:t>
      </w:r>
    </w:p>
    <w:p>
      <w:pPr>
        <w:pStyle w:val="5"/>
        <w:ind w:firstLine="643"/>
        <w:rPr>
          <w:rFonts w:hint="eastAsia"/>
        </w:rPr>
      </w:pPr>
      <w:r>
        <w:rPr>
          <w:rFonts w:hint="eastAsia"/>
        </w:rPr>
        <w:t>（2）预算配置</w:t>
      </w:r>
    </w:p>
    <w:p>
      <w:pPr>
        <w:widowControl/>
        <w:shd w:val="clear" w:color="auto" w:fill="FFFFFF"/>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1）在职人员控制率</w:t>
      </w:r>
    </w:p>
    <w:p>
      <w:pPr>
        <w:widowControl/>
        <w:shd w:val="clear" w:color="auto" w:fill="FFFFFF"/>
        <w:ind w:firstLine="640"/>
        <w:rPr>
          <w:rFonts w:ascii="仿宋" w:hAnsi="仿宋" w:cs="仿宋"/>
          <w:color w:val="000000"/>
          <w:kern w:val="0"/>
          <w:szCs w:val="32"/>
          <w:lang w:bidi="ar"/>
        </w:rPr>
      </w:pPr>
      <w:r>
        <w:rPr>
          <w:rFonts w:hint="eastAsia" w:ascii="仿宋" w:hAnsi="仿宋" w:cs="仿宋"/>
          <w:color w:val="000000"/>
          <w:kern w:val="0"/>
          <w:szCs w:val="32"/>
          <w:lang w:bidi="ar"/>
        </w:rPr>
        <w:t>发改统计局遂宁高新区分局核定编制人数8人，其中行政编制4名，事业编4名，设局长1名（正科级）、副局长2名（副科级）。经实际查看，截至2023年底在职人员8人，其中公务员4人，事业人员4人。2023年在职控制率100%，</w:t>
      </w:r>
      <w:r>
        <w:rPr>
          <w:rFonts w:hint="eastAsia"/>
        </w:rPr>
        <w:t>人员控制情况良好</w:t>
      </w:r>
      <w:r>
        <w:rPr>
          <w:rFonts w:hint="eastAsia" w:ascii="仿宋" w:hAnsi="仿宋" w:cs="仿宋"/>
          <w:color w:val="000000"/>
          <w:kern w:val="0"/>
          <w:szCs w:val="32"/>
          <w:lang w:bidi="ar"/>
        </w:rPr>
        <w:t>。</w:t>
      </w:r>
    </w:p>
    <w:p>
      <w:pPr>
        <w:widowControl/>
        <w:ind w:firstLine="640"/>
        <w:rPr>
          <w:rFonts w:hint="eastAsia" w:ascii="仿宋" w:hAnsi="仿宋" w:cs="仿宋"/>
          <w:szCs w:val="32"/>
        </w:rPr>
      </w:pPr>
      <w:r>
        <w:rPr>
          <w:rFonts w:hint="eastAsia" w:ascii="仿宋" w:hAnsi="仿宋" w:cs="仿宋"/>
          <w:color w:val="000000"/>
          <w:kern w:val="0"/>
          <w:szCs w:val="32"/>
          <w:lang w:bidi="ar"/>
        </w:rPr>
        <w:t>2）“三公经费”变动率</w:t>
      </w:r>
    </w:p>
    <w:p>
      <w:pPr>
        <w:pStyle w:val="8"/>
        <w:ind w:firstLine="640"/>
        <w:jc w:val="both"/>
        <w:rPr>
          <w:rFonts w:hint="eastAsia" w:ascii="仿宋" w:hAnsi="仿宋" w:cs="仿宋"/>
          <w:szCs w:val="32"/>
        </w:rPr>
      </w:pPr>
      <w:r>
        <w:rPr>
          <w:rFonts w:hint="eastAsia" w:ascii="仿宋" w:hAnsi="仿宋" w:cs="仿宋"/>
          <w:color w:val="000000"/>
          <w:kern w:val="0"/>
          <w:szCs w:val="32"/>
          <w:lang w:bidi="ar"/>
        </w:rPr>
        <w:t>2023年度发改统计局“三公经费”经预算调整后为0元，</w:t>
      </w:r>
      <w:r>
        <w:rPr>
          <w:rFonts w:hint="eastAsia" w:ascii="仿宋" w:hAnsi="仿宋" w:cs="仿宋"/>
          <w:color w:val="212529"/>
          <w:szCs w:val="32"/>
          <w:shd w:val="clear" w:color="auto" w:fill="FFFFFF"/>
        </w:rPr>
        <w:t>本</w:t>
      </w:r>
      <w:r>
        <w:rPr>
          <w:rFonts w:hint="eastAsia" w:ascii="仿宋" w:hAnsi="仿宋" w:cs="仿宋"/>
          <w:color w:val="000000"/>
          <w:kern w:val="0"/>
          <w:szCs w:val="32"/>
          <w:lang w:bidi="ar"/>
        </w:rPr>
        <w:t>年未发生“三公经费”支出，2022年无“三公经费”，“三公经费”无变动。</w:t>
      </w:r>
    </w:p>
    <w:p>
      <w:pPr>
        <w:widowControl/>
        <w:ind w:firstLine="640"/>
        <w:rPr>
          <w:rFonts w:hint="eastAsia" w:ascii="仿宋" w:hAnsi="仿宋" w:cs="仿宋"/>
          <w:szCs w:val="32"/>
        </w:rPr>
      </w:pPr>
      <w:r>
        <w:rPr>
          <w:rFonts w:hint="eastAsia" w:ascii="仿宋" w:hAnsi="仿宋" w:cs="仿宋"/>
          <w:color w:val="000000"/>
          <w:kern w:val="0"/>
          <w:szCs w:val="32"/>
          <w:lang w:bidi="ar"/>
        </w:rPr>
        <w:t>3）重点支出安排率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发改统计局2023年度没有涉及四川省遂宁市委政府部署的重点项目预算安排，不涉及重点项目支出。</w:t>
      </w:r>
    </w:p>
    <w:p>
      <w:pPr>
        <w:pStyle w:val="4"/>
        <w:ind w:firstLine="643"/>
        <w:rPr>
          <w:rFonts w:hint="eastAsia"/>
        </w:rPr>
      </w:pPr>
      <w:bookmarkStart w:id="203" w:name="_Toc29630"/>
      <w:r>
        <w:rPr>
          <w:rFonts w:hint="eastAsia" w:cs="楷体"/>
        </w:rPr>
        <w:t>2.</w:t>
      </w:r>
      <w:r>
        <w:rPr>
          <w:rFonts w:hint="eastAsia"/>
        </w:rPr>
        <w:t>过程指标</w:t>
      </w:r>
      <w:bookmarkEnd w:id="203"/>
    </w:p>
    <w:p>
      <w:pPr>
        <w:pStyle w:val="8"/>
        <w:ind w:firstLine="640"/>
        <w:jc w:val="both"/>
        <w:rPr>
          <w:rFonts w:hint="eastAsia" w:ascii="仿宋" w:hAnsi="仿宋" w:cs="仿宋"/>
          <w:color w:val="000000"/>
          <w:kern w:val="0"/>
          <w:szCs w:val="32"/>
          <w:lang w:bidi="ar"/>
        </w:rPr>
      </w:pPr>
      <w:r>
        <w:rPr>
          <w:rFonts w:hint="eastAsia" w:ascii="仿宋" w:hAnsi="仿宋" w:cs="仿宋"/>
          <w:color w:val="000000"/>
          <w:kern w:val="0"/>
          <w:szCs w:val="32"/>
          <w:lang w:bidi="ar"/>
        </w:rPr>
        <w:t>2023年度，发改统计局预算完成率100%，基本完成本年预算支出。预算调整36.74万元，预算调整率4.51%。单位预算支付能够按照支付进度进行，全年预算执行100.00%，能够较好地完成预算资金支付进度。本部门2023年度“</w:t>
      </w:r>
      <w:r>
        <w:rPr>
          <w:rFonts w:hint="eastAsia" w:ascii="仿宋" w:hAnsi="仿宋" w:cs="仿宋"/>
          <w:spacing w:val="5"/>
          <w:szCs w:val="32"/>
        </w:rPr>
        <w:t>三公经费”本年度未发生支出，控制率良好。</w:t>
      </w:r>
      <w:r>
        <w:rPr>
          <w:rFonts w:hint="eastAsia" w:ascii="仿宋" w:hAnsi="仿宋" w:cs="仿宋"/>
          <w:color w:val="000000"/>
          <w:kern w:val="0"/>
          <w:szCs w:val="32"/>
          <w:lang w:bidi="ar"/>
        </w:rPr>
        <w:t>本单位制定了部分管理制度，但是总体上看管理制度还不够完备和全面，单位内部控制建设有待加强。本单位支出符合部门预算批复的用途，符合国家财经法规和财务管理制度规定以及有关专项资金管理办法的规定，能够严格实行国库集中支付，预算按照要求公开公示，会计信息质量控制有待增强，基本能够达到客观真实核算和监督单位实际收支的目的。资产管理制度未认真贯彻执行，资产管理不够规范。本项过程指标分值30.00分，得分为23.00分，得分率76.67%。</w:t>
      </w:r>
    </w:p>
    <w:p>
      <w:pPr>
        <w:widowControl/>
        <w:ind w:firstLine="482"/>
        <w:jc w:val="center"/>
        <w:rPr>
          <w:rFonts w:hint="eastAsia" w:ascii="宋体" w:hAnsi="宋体" w:eastAsia="宋体" w:cs="宋体"/>
          <w:b/>
          <w:bCs/>
          <w:sz w:val="24"/>
        </w:rPr>
      </w:pPr>
      <w:r>
        <w:rPr>
          <w:rFonts w:hint="eastAsia" w:ascii="宋体" w:hAnsi="宋体" w:eastAsia="宋体" w:cs="宋体"/>
          <w:b/>
          <w:bCs/>
          <w:sz w:val="24"/>
        </w:rPr>
        <w:t>过程指标设定及评分情况表</w:t>
      </w:r>
    </w:p>
    <w:tbl>
      <w:tblPr>
        <w:tblStyle w:val="18"/>
        <w:tblW w:w="8097" w:type="dxa"/>
        <w:jc w:val="center"/>
        <w:tblLayout w:type="fixed"/>
        <w:tblCellMar>
          <w:top w:w="0" w:type="dxa"/>
          <w:left w:w="108" w:type="dxa"/>
          <w:bottom w:w="0" w:type="dxa"/>
          <w:right w:w="108" w:type="dxa"/>
        </w:tblCellMar>
      </w:tblPr>
      <w:tblGrid>
        <w:gridCol w:w="687"/>
        <w:gridCol w:w="1393"/>
        <w:gridCol w:w="919"/>
        <w:gridCol w:w="3121"/>
        <w:gridCol w:w="1052"/>
        <w:gridCol w:w="925"/>
      </w:tblGrid>
      <w:tr>
        <w:tblPrEx>
          <w:tblCellMar>
            <w:top w:w="0" w:type="dxa"/>
            <w:left w:w="108" w:type="dxa"/>
            <w:bottom w:w="0" w:type="dxa"/>
            <w:right w:w="108" w:type="dxa"/>
          </w:tblCellMar>
        </w:tblPrEx>
        <w:trPr>
          <w:trHeight w:val="611"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39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一级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9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二级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三级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分值</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39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过程</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b/>
                <w:bCs/>
                <w:color w:val="000000"/>
                <w:kern w:val="0"/>
                <w:sz w:val="20"/>
                <w:szCs w:val="20"/>
                <w:lang w:bidi="ar"/>
              </w:rPr>
              <w:t>(30分</w:t>
            </w:r>
            <w:r>
              <w:rPr>
                <w:rFonts w:hint="eastAsia" w:ascii="宋体" w:hAnsi="宋体" w:eastAsia="宋体" w:cs="宋体"/>
                <w:b/>
                <w:bCs/>
                <w:color w:val="000000"/>
                <w:kern w:val="0"/>
                <w:sz w:val="20"/>
                <w:szCs w:val="20"/>
                <w:lang w:eastAsia="zh-CN" w:bidi="ar"/>
              </w:rPr>
              <w:t>）</w:t>
            </w:r>
          </w:p>
        </w:tc>
        <w:tc>
          <w:tcPr>
            <w:tcW w:w="9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预算</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执行</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(14分</w:t>
            </w:r>
            <w:r>
              <w:rPr>
                <w:rFonts w:hint="eastAsia" w:ascii="宋体" w:hAnsi="宋体" w:eastAsia="宋体" w:cs="宋体"/>
                <w:color w:val="000000"/>
                <w:kern w:val="0"/>
                <w:sz w:val="20"/>
                <w:szCs w:val="20"/>
                <w:lang w:eastAsia="zh-CN" w:bidi="ar"/>
              </w:rPr>
              <w:t>）</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预算完成率（2分）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预算调整率（2分）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支付进度率（3分）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结转结余率（3分）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公用经费控制率（2分）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“三公经费”控制率（2分）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2</w:t>
            </w:r>
            <w:r>
              <w:rPr>
                <w:rFonts w:hint="eastAsia" w:ascii="宋体" w:hAnsi="宋体" w:eastAsia="宋体" w:cs="宋体"/>
                <w:color w:val="000000"/>
                <w:kern w:val="0"/>
                <w:sz w:val="20"/>
                <w:szCs w:val="20"/>
                <w:lang w:bidi="ar"/>
              </w:rPr>
              <w:t>.00</w:t>
            </w:r>
          </w:p>
        </w:tc>
      </w:tr>
      <w:tr>
        <w:tblPrEx>
          <w:tblCellMar>
            <w:top w:w="0" w:type="dxa"/>
            <w:left w:w="108" w:type="dxa"/>
            <w:bottom w:w="0" w:type="dxa"/>
            <w:right w:w="108" w:type="dxa"/>
          </w:tblCellMar>
        </w:tblPrEx>
        <w:trPr>
          <w:trHeight w:val="695"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预算</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管理</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(10分</w:t>
            </w:r>
            <w:r>
              <w:rPr>
                <w:rFonts w:hint="eastAsia" w:ascii="宋体" w:hAnsi="宋体" w:eastAsia="宋体" w:cs="宋体"/>
                <w:color w:val="000000"/>
                <w:kern w:val="0"/>
                <w:sz w:val="20"/>
                <w:szCs w:val="20"/>
                <w:lang w:eastAsia="zh-CN" w:bidi="ar"/>
              </w:rPr>
              <w:t>）</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管理制度健全性及执行性（2分）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资金使用合规性（2分）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预决算信息公开性（2分）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政府购买服务执行情况（2分）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财务信息完善性（2分）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695"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资产</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管理</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(6分</w:t>
            </w:r>
            <w:r>
              <w:rPr>
                <w:rFonts w:hint="eastAsia" w:ascii="宋体" w:hAnsi="宋体" w:eastAsia="宋体" w:cs="宋体"/>
                <w:color w:val="000000"/>
                <w:kern w:val="0"/>
                <w:sz w:val="20"/>
                <w:szCs w:val="20"/>
                <w:lang w:eastAsia="zh-CN" w:bidi="ar"/>
              </w:rPr>
              <w:t>）</w:t>
            </w: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管理制度健全性合规性和执行度（2分）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资产管理规范性（2分）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val="en-US" w:eastAsia="zh-CN" w:bidi="ar"/>
              </w:rPr>
              <w:t>1</w:t>
            </w:r>
            <w:r>
              <w:rPr>
                <w:rFonts w:hint="eastAsia" w:ascii="宋体" w:hAnsi="宋体" w:eastAsia="宋体" w:cs="宋体"/>
                <w:color w:val="000000"/>
                <w:kern w:val="0"/>
                <w:sz w:val="20"/>
                <w:szCs w:val="20"/>
                <w:lang w:bidi="ar"/>
              </w:rPr>
              <w:t>.00</w:t>
            </w:r>
          </w:p>
        </w:tc>
      </w:tr>
      <w:tr>
        <w:tblPrEx>
          <w:tblCellMar>
            <w:top w:w="0" w:type="dxa"/>
            <w:left w:w="108" w:type="dxa"/>
            <w:bottom w:w="0" w:type="dxa"/>
            <w:right w:w="108" w:type="dxa"/>
          </w:tblCellMar>
        </w:tblPrEx>
        <w:trPr>
          <w:trHeight w:val="359" w:hRule="atLeast"/>
          <w:jc w:val="center"/>
        </w:trPr>
        <w:tc>
          <w:tcPr>
            <w:tcW w:w="68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139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9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固定资产利用率（2分）</w:t>
            </w:r>
          </w:p>
        </w:tc>
        <w:tc>
          <w:tcPr>
            <w:tcW w:w="10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82" w:hRule="atLeast"/>
          <w:jc w:val="center"/>
        </w:trPr>
        <w:tc>
          <w:tcPr>
            <w:tcW w:w="6120"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本项合计</w:t>
            </w:r>
          </w:p>
        </w:tc>
        <w:tc>
          <w:tcPr>
            <w:tcW w:w="105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w:t>
            </w:r>
          </w:p>
        </w:tc>
        <w:tc>
          <w:tcPr>
            <w:tcW w:w="92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23.00</w:t>
            </w:r>
          </w:p>
        </w:tc>
      </w:tr>
    </w:tbl>
    <w:p>
      <w:pPr>
        <w:pStyle w:val="5"/>
        <w:ind w:firstLine="643"/>
        <w:rPr>
          <w:rFonts w:hint="eastAsia"/>
        </w:rPr>
      </w:pPr>
      <w:r>
        <w:rPr>
          <w:rFonts w:hint="eastAsia"/>
        </w:rPr>
        <w:t>（1）预算执行</w:t>
      </w:r>
    </w:p>
    <w:p>
      <w:pPr>
        <w:ind w:firstLine="640"/>
        <w:rPr>
          <w:rFonts w:hint="eastAsia" w:ascii="仿宋" w:hAnsi="仿宋" w:cs="仿宋"/>
        </w:rPr>
      </w:pPr>
      <w:r>
        <w:rPr>
          <w:rFonts w:hint="eastAsia" w:ascii="仿宋" w:hAnsi="仿宋" w:cs="仿宋"/>
        </w:rPr>
        <w:t>1）预算完成率</w:t>
      </w:r>
    </w:p>
    <w:p>
      <w:pPr>
        <w:ind w:firstLine="640"/>
        <w:rPr>
          <w:rFonts w:ascii="仿宋" w:hAnsi="仿宋" w:cs="仿宋"/>
        </w:rPr>
      </w:pPr>
      <w:r>
        <w:rPr>
          <w:rFonts w:hint="eastAsia" w:ascii="仿宋" w:hAnsi="仿宋" w:cs="仿宋"/>
        </w:rPr>
        <w:t>本项考核发改统计局部门本年度预算完成数与预算数的比率，用以反映和考核部门（单位）预算完成程度。2023年度发改统计局年初预算为815.21万元，其中：基本支出178.41万元（人员经费支出142.87万元，公用经费支出35.54万元）占年初预算数的21.88%；项目支出636.80万元，占年初预算数的78.12%。后经过预算调整后的预算为851.94万元。2023年度发改统计局实际支出为851.94万元，其中：基本支出63.60万元（人员经费支出42.78万元，公用经费支出20.82万元）占</w:t>
      </w:r>
      <w:r>
        <w:rPr>
          <w:rFonts w:hint="eastAsia"/>
        </w:rPr>
        <w:t>预算支出总额的</w:t>
      </w:r>
      <w:r>
        <w:rPr>
          <w:rFonts w:hint="eastAsia" w:ascii="仿宋" w:hAnsi="仿宋" w:cs="仿宋"/>
        </w:rPr>
        <w:t>7.47%；项目支出</w:t>
      </w:r>
      <w:r>
        <w:rPr>
          <w:rFonts w:hint="eastAsia"/>
        </w:rPr>
        <w:t>预算支出总额的</w:t>
      </w:r>
      <w:r>
        <w:rPr>
          <w:rFonts w:hint="eastAsia" w:ascii="仿宋" w:hAnsi="仿宋" w:cs="仿宋"/>
        </w:rPr>
        <w:t>788.34万元，占</w:t>
      </w:r>
      <w:r>
        <w:rPr>
          <w:rFonts w:hint="eastAsia"/>
        </w:rPr>
        <w:t>预算支出总额的</w:t>
      </w:r>
      <w:r>
        <w:rPr>
          <w:rFonts w:hint="eastAsia" w:ascii="仿宋" w:hAnsi="仿宋" w:cs="仿宋"/>
        </w:rPr>
        <w:t>92.53%。2023年预算完成率100.00%。</w:t>
      </w:r>
    </w:p>
    <w:p>
      <w:pPr>
        <w:ind w:firstLine="640"/>
        <w:rPr>
          <w:rFonts w:hint="eastAsia" w:ascii="仿宋" w:hAnsi="仿宋" w:cs="仿宋"/>
        </w:rPr>
      </w:pPr>
      <w:r>
        <w:rPr>
          <w:rFonts w:hint="eastAsia" w:ascii="仿宋" w:hAnsi="仿宋" w:cs="仿宋"/>
        </w:rPr>
        <w:t>2）预算调整率</w:t>
      </w:r>
    </w:p>
    <w:p>
      <w:pPr>
        <w:ind w:firstLine="640"/>
        <w:rPr>
          <w:rFonts w:hint="eastAsia" w:ascii="仿宋" w:hAnsi="仿宋" w:cs="仿宋"/>
        </w:rPr>
      </w:pPr>
      <w:r>
        <w:rPr>
          <w:rFonts w:hint="eastAsia"/>
        </w:rPr>
        <w:t>本项考核发改统计局部门本年度预算调整数与预算数的比率，用以评价该部门预算</w:t>
      </w:r>
      <w:r>
        <w:rPr>
          <w:rFonts w:hint="eastAsia" w:ascii="仿宋" w:hAnsi="仿宋" w:cs="仿宋"/>
        </w:rPr>
        <w:t>的调整程度。根据2023年发改统计局《年度部门预算表》，年初预算数为815.21万元，全年预算851.94万元，年中预算调整额为36.74万元。预算调整率4.51%。整体调整幅度较小。</w:t>
      </w:r>
    </w:p>
    <w:p>
      <w:pPr>
        <w:ind w:firstLine="640"/>
        <w:rPr>
          <w:rFonts w:hint="eastAsia" w:ascii="仿宋" w:hAnsi="仿宋" w:cs="仿宋"/>
        </w:rPr>
      </w:pPr>
      <w:r>
        <w:rPr>
          <w:rFonts w:hint="eastAsia" w:ascii="仿宋" w:hAnsi="仿宋" w:cs="仿宋"/>
        </w:rPr>
        <w:t>3）支付进度率</w:t>
      </w:r>
    </w:p>
    <w:p>
      <w:pPr>
        <w:ind w:firstLine="640"/>
        <w:rPr>
          <w:rFonts w:hint="eastAsia" w:ascii="仿宋" w:hAnsi="仿宋" w:cs="仿宋"/>
          <w:szCs w:val="32"/>
        </w:rPr>
      </w:pPr>
      <w:r>
        <w:rPr>
          <w:rFonts w:hint="eastAsia" w:ascii="仿宋" w:hAnsi="仿宋" w:cs="仿宋"/>
          <w:szCs w:val="32"/>
        </w:rPr>
        <w:t>本项考核发改统计局部门本年度实际支付进度与年度序时支付进度比率，用以评价该部门预算执行的及时性和均衡性程度及对本年度结转结余资金的实际控制程度。经查看2023年6月、9月和11月的账目和资金支付情况，支付进度分别为65.35%、87.22%和94.4%。</w:t>
      </w:r>
    </w:p>
    <w:p>
      <w:pPr>
        <w:ind w:firstLine="640"/>
        <w:rPr>
          <w:rFonts w:hint="eastAsia"/>
        </w:rPr>
      </w:pPr>
      <w:r>
        <w:rPr>
          <w:rFonts w:hint="eastAsia"/>
        </w:rPr>
        <w:t>总体而言，</w:t>
      </w:r>
      <w:r>
        <w:rPr>
          <w:rStyle w:val="24"/>
          <w:rFonts w:hint="eastAsia" w:ascii="仿宋" w:hAnsi="仿宋" w:cs="仿宋"/>
          <w:sz w:val="32"/>
          <w:szCs w:val="32"/>
        </w:rPr>
        <w:t>全年</w:t>
      </w:r>
      <w:r>
        <w:rPr>
          <w:rFonts w:hint="eastAsia"/>
        </w:rPr>
        <w:t>支付进度合理，总体进度执行能够与时间线相匹配，全年支付进度执行较好。</w:t>
      </w:r>
    </w:p>
    <w:p>
      <w:pPr>
        <w:ind w:firstLine="640"/>
        <w:rPr>
          <w:rFonts w:hint="eastAsia" w:ascii="仿宋" w:hAnsi="仿宋" w:cs="仿宋"/>
        </w:rPr>
      </w:pPr>
      <w:r>
        <w:rPr>
          <w:rFonts w:hint="eastAsia" w:ascii="仿宋" w:hAnsi="仿宋" w:cs="仿宋"/>
        </w:rPr>
        <w:t>4）结转结余率</w:t>
      </w:r>
    </w:p>
    <w:p>
      <w:pPr>
        <w:ind w:firstLine="640"/>
        <w:rPr>
          <w:rFonts w:hint="eastAsia" w:ascii="仿宋" w:hAnsi="仿宋" w:cs="仿宋"/>
        </w:rPr>
      </w:pPr>
      <w:r>
        <w:rPr>
          <w:rFonts w:hint="eastAsia" w:ascii="仿宋" w:hAnsi="仿宋" w:cs="仿宋"/>
        </w:rPr>
        <w:t>本年调整后预算为851.94万元，实际支出851.94万元，执行率100.00%，年底结转和结余数为0元。结转结余控制较好，资金使用效率较高，未造成年底资金沉淀和闲置。</w:t>
      </w:r>
    </w:p>
    <w:p>
      <w:pPr>
        <w:ind w:firstLine="640"/>
        <w:rPr>
          <w:rFonts w:hint="eastAsia" w:ascii="仿宋" w:hAnsi="仿宋" w:cs="仿宋"/>
        </w:rPr>
      </w:pPr>
      <w:r>
        <w:rPr>
          <w:rFonts w:hint="eastAsia" w:ascii="仿宋" w:hAnsi="仿宋" w:cs="仿宋"/>
        </w:rPr>
        <w:t>5）公用经费控制率</w:t>
      </w:r>
    </w:p>
    <w:p>
      <w:pPr>
        <w:ind w:firstLine="640"/>
        <w:rPr>
          <w:rFonts w:hint="eastAsia"/>
        </w:rPr>
      </w:pPr>
      <w:r>
        <w:rPr>
          <w:rFonts w:hint="eastAsia"/>
        </w:rPr>
        <w:t>公用经费控制率考核实际支出的公用经费总额与预算安排的公用经费总额的比率，反映和考核部门（单位）对机构运转成本的实际控制程度。</w:t>
      </w:r>
    </w:p>
    <w:p>
      <w:pPr>
        <w:ind w:firstLine="640"/>
        <w:rPr>
          <w:rFonts w:hint="eastAsia" w:ascii="仿宋" w:hAnsi="仿宋" w:cs="仿宋"/>
        </w:rPr>
      </w:pPr>
      <w:r>
        <w:rPr>
          <w:rFonts w:hint="eastAsia" w:ascii="仿宋" w:hAnsi="仿宋" w:cs="仿宋"/>
        </w:rPr>
        <w:t>根据2023年发改统计局2023年度财务账目，本年预算调整后公用经费为20.82万元，2023年度公用经费支出为20.82万元。公用经费控制率为100.00%，公用经费使用整体未超出预算额。</w:t>
      </w:r>
    </w:p>
    <w:p>
      <w:pPr>
        <w:ind w:firstLine="640"/>
        <w:rPr>
          <w:rFonts w:hint="eastAsia" w:ascii="仿宋" w:hAnsi="仿宋" w:cs="仿宋"/>
        </w:rPr>
      </w:pPr>
      <w:r>
        <w:rPr>
          <w:rFonts w:hint="eastAsia" w:ascii="仿宋" w:hAnsi="仿宋" w:cs="仿宋"/>
        </w:rPr>
        <w:t>6）“三公经费”控制率</w:t>
      </w:r>
    </w:p>
    <w:p>
      <w:pPr>
        <w:ind w:firstLine="640"/>
        <w:rPr>
          <w:rFonts w:hint="eastAsia" w:ascii="仿宋" w:hAnsi="仿宋" w:cs="仿宋"/>
        </w:rPr>
      </w:pPr>
      <w:r>
        <w:rPr>
          <w:rFonts w:hint="eastAsia" w:ascii="仿宋" w:hAnsi="仿宋" w:cs="仿宋"/>
        </w:rPr>
        <w:t>“三公经费”控制率考核年度“三公经费”实际支出数与预算安排数的比率，用以评价该部门“三公经费”的实际控制程度。2023年度发改统计局“三公经费”预算数为0元，</w:t>
      </w:r>
      <w:r>
        <w:rPr>
          <w:rFonts w:hint="eastAsia" w:ascii="仿宋" w:hAnsi="仿宋" w:cs="仿宋"/>
          <w:kern w:val="0"/>
          <w:szCs w:val="32"/>
          <w:lang w:bidi="ar"/>
        </w:rPr>
        <w:t>本年未发生“三公经费”支出，“</w:t>
      </w:r>
      <w:r>
        <w:rPr>
          <w:rFonts w:hint="eastAsia"/>
        </w:rPr>
        <w:t>三公经费”控制情况较好。</w:t>
      </w:r>
    </w:p>
    <w:p>
      <w:pPr>
        <w:ind w:firstLine="640"/>
        <w:rPr>
          <w:rFonts w:hint="eastAsia" w:ascii="仿宋" w:hAnsi="仿宋" w:cs="仿宋"/>
        </w:rPr>
      </w:pPr>
      <w:r>
        <w:rPr>
          <w:rFonts w:hint="eastAsia" w:ascii="仿宋" w:hAnsi="仿宋" w:cs="仿宋"/>
        </w:rPr>
        <w:t>7）政府</w:t>
      </w:r>
      <w:r>
        <w:rPr>
          <w:rFonts w:hint="eastAsia"/>
        </w:rPr>
        <w:t>购买服务</w:t>
      </w:r>
      <w:r>
        <w:rPr>
          <w:rFonts w:hint="eastAsia" w:ascii="仿宋" w:hAnsi="仿宋" w:cs="仿宋"/>
        </w:rPr>
        <w:t>执行率</w:t>
      </w:r>
    </w:p>
    <w:p>
      <w:pPr>
        <w:ind w:firstLine="640"/>
        <w:rPr>
          <w:rFonts w:hint="eastAsia" w:ascii="仿宋" w:hAnsi="仿宋" w:cs="仿宋"/>
        </w:rPr>
      </w:pPr>
      <w:r>
        <w:rPr>
          <w:rFonts w:hint="eastAsia" w:ascii="仿宋" w:hAnsi="仿宋" w:cs="仿宋"/>
        </w:rPr>
        <w:t>根据2023年度发改统计局批复预算情况，2023年度不涉及政府购买服务预算。</w:t>
      </w:r>
    </w:p>
    <w:p>
      <w:pPr>
        <w:pStyle w:val="5"/>
        <w:ind w:firstLine="643"/>
        <w:rPr>
          <w:rFonts w:hint="eastAsia"/>
        </w:rPr>
      </w:pPr>
      <w:r>
        <w:rPr>
          <w:rFonts w:hint="eastAsia"/>
        </w:rPr>
        <w:t>（2）预算管理</w:t>
      </w:r>
    </w:p>
    <w:p>
      <w:pPr>
        <w:widowControl/>
        <w:ind w:firstLine="640"/>
        <w:rPr>
          <w:rFonts w:hint="eastAsia" w:ascii="仿宋" w:hAnsi="仿宋" w:cs="仿宋"/>
          <w:szCs w:val="32"/>
        </w:rPr>
      </w:pPr>
      <w:r>
        <w:rPr>
          <w:rFonts w:hint="eastAsia" w:ascii="仿宋" w:hAnsi="仿宋" w:cs="仿宋"/>
          <w:szCs w:val="32"/>
        </w:rPr>
        <w:t>1）</w:t>
      </w:r>
      <w:r>
        <w:rPr>
          <w:rFonts w:hint="eastAsia" w:ascii="仿宋" w:hAnsi="仿宋" w:cs="仿宋"/>
          <w:color w:val="000000"/>
          <w:kern w:val="0"/>
          <w:szCs w:val="32"/>
          <w:lang w:bidi="ar"/>
        </w:rPr>
        <w:t>管理制度健全性</w:t>
      </w:r>
    </w:p>
    <w:p>
      <w:pPr>
        <w:bidi w:val="0"/>
        <w:rPr>
          <w:rFonts w:hint="eastAsia" w:ascii="仿宋" w:hAnsi="仿宋" w:eastAsia="仿宋" w:cs="仿宋"/>
        </w:rPr>
      </w:pPr>
      <w:r>
        <w:rPr>
          <w:rFonts w:hint="eastAsia" w:ascii="仿宋" w:hAnsi="仿宋" w:eastAsia="仿宋" w:cs="仿宋"/>
        </w:rPr>
        <w:t>为规范各个业务环节的管理，遂宁高新区发展改革与统计局制定了《遂宁高新区发展改革与统计局财务管理制度（试行）》（遂高发改统计〔2022〕2号）、《政府采购内部控制管理制度（试行）》（遂高发改统计〔2022〕3号）等正式成文制度，其他管理方面参照《遂宁高新区机关财务管理制度（试行）》（遂高办〔2021〕269号）、《遂宁高新区财政性资金使用管理暂行办法（试行）》（遂高办〔2021〕270号）等制度执行。《遂宁高新区发展改革与统计局财务管理制度（试行）》（遂高发改统计〔2022〕2号）内容不够完善</w:t>
      </w:r>
      <w:r>
        <w:rPr>
          <w:rFonts w:hint="eastAsia" w:ascii="仿宋" w:hAnsi="仿宋" w:cs="仿宋"/>
          <w:lang w:eastAsia="zh-CN"/>
        </w:rPr>
        <w:t>，</w:t>
      </w:r>
      <w:r>
        <w:rPr>
          <w:rFonts w:hint="eastAsia" w:ascii="仿宋" w:hAnsi="仿宋" w:eastAsia="仿宋" w:cs="仿宋"/>
        </w:rPr>
        <w:t>如无固定资产管理制度，部分制度未有效实施，如制度中无关于出差相关规定及补贴标准，但有发生出差有补贴事项；制度有公务卡结算，但实际未实施。劳务派遣的采购未按照管理制度要求执行必要的比选、询价程序，直接签订劳务派遣合同。</w:t>
      </w:r>
    </w:p>
    <w:p>
      <w:pPr>
        <w:widowControl/>
        <w:ind w:firstLine="640"/>
        <w:rPr>
          <w:rFonts w:hint="eastAsia" w:ascii="仿宋" w:hAnsi="仿宋" w:cs="仿宋"/>
          <w:szCs w:val="32"/>
        </w:rPr>
      </w:pPr>
      <w:r>
        <w:rPr>
          <w:rFonts w:hint="eastAsia" w:ascii="仿宋" w:hAnsi="仿宋" w:cs="仿宋"/>
          <w:color w:val="000000"/>
          <w:kern w:val="0"/>
          <w:szCs w:val="32"/>
          <w:lang w:bidi="ar"/>
        </w:rPr>
        <w:t>2）资金使用合规性</w:t>
      </w:r>
    </w:p>
    <w:p>
      <w:pPr>
        <w:widowControl/>
        <w:ind w:firstLine="640"/>
        <w:rPr>
          <w:rFonts w:ascii="仿宋" w:hAnsi="仿宋" w:cs="仿宋"/>
          <w:color w:val="000000"/>
          <w:kern w:val="0"/>
          <w:szCs w:val="32"/>
          <w:lang w:bidi="ar"/>
        </w:rPr>
      </w:pPr>
      <w:r>
        <w:rPr>
          <w:rFonts w:hint="eastAsia" w:ascii="仿宋" w:hAnsi="仿宋" w:cs="仿宋"/>
          <w:color w:val="000000"/>
          <w:kern w:val="0"/>
          <w:szCs w:val="32"/>
          <w:lang w:bidi="ar"/>
        </w:rPr>
        <w:t>经查看单位严格执行预算批复和相关的预算财务管理制度的规定的情况，评价本部门预算资金的规范运行情况。经查看发改统计局预算资金支出账目和资金支出资料，支出符合部门预算批复的用途，符合国家财经法规和财务管理制度规定以及有关专项资金管理办法的规定，能够严格执行国库集中支付。</w:t>
      </w:r>
      <w:r>
        <w:rPr>
          <w:rStyle w:val="24"/>
          <w:rFonts w:hint="eastAsia" w:ascii="仿宋" w:hAnsi="仿宋" w:cs="仿宋"/>
          <w:sz w:val="32"/>
          <w:szCs w:val="32"/>
        </w:rPr>
        <w:t>未发现截留、挤占、挪用、虚列支出等情况。</w:t>
      </w:r>
    </w:p>
    <w:p>
      <w:pPr>
        <w:widowControl/>
        <w:ind w:firstLine="640"/>
        <w:rPr>
          <w:rFonts w:hint="eastAsia" w:ascii="仿宋" w:hAnsi="仿宋" w:cs="仿宋"/>
          <w:szCs w:val="32"/>
        </w:rPr>
      </w:pPr>
      <w:r>
        <w:rPr>
          <w:rFonts w:hint="eastAsia" w:ascii="仿宋" w:hAnsi="仿宋" w:cs="仿宋"/>
          <w:color w:val="000000"/>
          <w:kern w:val="0"/>
          <w:szCs w:val="32"/>
          <w:lang w:bidi="ar"/>
        </w:rPr>
        <w:t>3）预决算信息公开性</w:t>
      </w:r>
    </w:p>
    <w:p>
      <w:pPr>
        <w:widowControl/>
        <w:ind w:firstLine="640"/>
        <w:rPr>
          <w:rFonts w:hint="eastAsia" w:ascii="仿宋" w:hAnsi="仿宋" w:cs="仿宋"/>
          <w:szCs w:val="32"/>
        </w:rPr>
      </w:pPr>
      <w:r>
        <w:rPr>
          <w:rFonts w:hint="eastAsia" w:ascii="仿宋" w:hAnsi="仿宋" w:cs="仿宋"/>
          <w:color w:val="000000"/>
          <w:kern w:val="0"/>
          <w:szCs w:val="32"/>
          <w:lang w:bidi="ar"/>
        </w:rPr>
        <w:t>此次绩效评价，我们查看了发改统计局部门信息网站。（网站为四川省遂宁市人民政府网站，网络地址为：</w:t>
      </w:r>
      <w:r>
        <w:rPr>
          <w:rFonts w:hint="eastAsia" w:ascii="仿宋" w:hAnsi="仿宋" w:cs="仿宋"/>
          <w:color w:val="000000"/>
          <w:kern w:val="0"/>
          <w:szCs w:val="32"/>
          <w:lang w:bidi="ar"/>
        </w:rPr>
        <w:fldChar w:fldCharType="begin"/>
      </w:r>
      <w:r>
        <w:rPr>
          <w:rFonts w:hint="eastAsia" w:ascii="仿宋" w:hAnsi="仿宋" w:cs="仿宋"/>
          <w:color w:val="000000"/>
          <w:kern w:val="0"/>
          <w:szCs w:val="32"/>
          <w:lang w:bidi="ar"/>
        </w:rPr>
        <w:instrText xml:space="preserve"> HYPERLINK "https://www.suining.gov.cn/welcome" </w:instrText>
      </w:r>
      <w:r>
        <w:rPr>
          <w:rFonts w:hint="eastAsia" w:ascii="仿宋" w:hAnsi="仿宋" w:cs="仿宋"/>
          <w:color w:val="000000"/>
          <w:kern w:val="0"/>
          <w:szCs w:val="32"/>
          <w:lang w:bidi="ar"/>
        </w:rPr>
        <w:fldChar w:fldCharType="separate"/>
      </w:r>
      <w:r>
        <w:rPr>
          <w:rStyle w:val="22"/>
          <w:rFonts w:hint="eastAsia" w:ascii="仿宋" w:hAnsi="仿宋" w:cs="仿宋"/>
          <w:kern w:val="0"/>
          <w:szCs w:val="32"/>
          <w:lang w:bidi="ar"/>
        </w:rPr>
        <w:t>https://www.suining.gov.cn/welcome</w:t>
      </w:r>
      <w:r>
        <w:rPr>
          <w:rFonts w:hint="eastAsia" w:ascii="仿宋" w:hAnsi="仿宋" w:cs="仿宋"/>
          <w:color w:val="000000"/>
          <w:kern w:val="0"/>
          <w:szCs w:val="32"/>
          <w:lang w:bidi="ar"/>
        </w:rPr>
        <w:fldChar w:fldCharType="end"/>
      </w:r>
      <w:r>
        <w:rPr>
          <w:rFonts w:hint="eastAsia" w:ascii="仿宋" w:hAnsi="仿宋" w:cs="仿宋"/>
          <w:color w:val="000000"/>
          <w:kern w:val="0"/>
          <w:szCs w:val="32"/>
          <w:lang w:bidi="ar"/>
        </w:rPr>
        <w:t>），在政府信息公开－政府信息公开指南-法定主动公开内容-财政预决算公开-2023年财政预决算公开-市直园区预决算信息公开-遂宁高新区一项中显示，发改统计局已公开2023年度部门预算信息，但是未见2023年决算信息公开。</w:t>
      </w:r>
    </w:p>
    <w:p>
      <w:pPr>
        <w:widowControl/>
        <w:ind w:firstLine="640"/>
        <w:rPr>
          <w:rFonts w:hint="eastAsia" w:ascii="仿宋" w:hAnsi="仿宋" w:cs="仿宋"/>
          <w:szCs w:val="32"/>
        </w:rPr>
      </w:pPr>
      <w:r>
        <w:rPr>
          <w:rFonts w:hint="eastAsia" w:ascii="仿宋" w:hAnsi="仿宋" w:cs="仿宋"/>
          <w:color w:val="000000"/>
          <w:kern w:val="0"/>
          <w:szCs w:val="32"/>
          <w:lang w:bidi="ar"/>
        </w:rPr>
        <w:t>4）政府购买服务执行情况</w:t>
      </w:r>
    </w:p>
    <w:p>
      <w:pPr>
        <w:widowControl/>
        <w:ind w:firstLine="640"/>
        <w:rPr>
          <w:rFonts w:hint="eastAsia" w:ascii="仿宋" w:hAnsi="仿宋" w:cs="仿宋"/>
          <w:szCs w:val="32"/>
        </w:rPr>
      </w:pPr>
      <w:r>
        <w:rPr>
          <w:rFonts w:hint="eastAsia" w:ascii="仿宋" w:hAnsi="仿宋" w:cs="仿宋"/>
          <w:color w:val="000000"/>
          <w:kern w:val="0"/>
          <w:szCs w:val="32"/>
          <w:lang w:bidi="ar"/>
        </w:rPr>
        <w:t>2023年度发改统计局不存在政府购买服务，故此无政府购买服务执行情况。</w:t>
      </w:r>
    </w:p>
    <w:p>
      <w:pPr>
        <w:widowControl/>
        <w:ind w:firstLine="640"/>
        <w:rPr>
          <w:rFonts w:hint="eastAsia" w:ascii="仿宋" w:hAnsi="仿宋" w:cs="仿宋"/>
          <w:szCs w:val="32"/>
        </w:rPr>
      </w:pPr>
      <w:r>
        <w:rPr>
          <w:rFonts w:hint="eastAsia" w:ascii="仿宋" w:hAnsi="仿宋" w:cs="仿宋"/>
          <w:color w:val="000000"/>
          <w:kern w:val="0"/>
          <w:szCs w:val="32"/>
          <w:lang w:bidi="ar"/>
        </w:rPr>
        <w:t>5）财务信息完善性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本项考核依据《遂宁高新区党政办公室关于印发</w:t>
      </w:r>
      <w:r>
        <w:rPr>
          <w:rFonts w:hint="eastAsia"/>
        </w:rPr>
        <w:t>〈</w:t>
      </w:r>
      <w:r>
        <w:rPr>
          <w:rFonts w:hint="eastAsia" w:ascii="仿宋" w:hAnsi="仿宋" w:cs="仿宋"/>
          <w:color w:val="000000"/>
          <w:kern w:val="0"/>
          <w:szCs w:val="32"/>
          <w:lang w:bidi="ar"/>
        </w:rPr>
        <w:t>机关财务管理制度（试行）</w:t>
      </w:r>
      <w:r>
        <w:rPr>
          <w:rFonts w:hint="eastAsia"/>
        </w:rPr>
        <w:t>〉</w:t>
      </w:r>
      <w:r>
        <w:rPr>
          <w:rFonts w:hint="eastAsia" w:ascii="仿宋" w:hAnsi="仿宋" w:cs="仿宋"/>
          <w:color w:val="000000"/>
          <w:kern w:val="0"/>
          <w:szCs w:val="32"/>
          <w:lang w:bidi="ar"/>
        </w:rPr>
        <w:t>的通知》（遂高办</w:t>
      </w:r>
      <w:r>
        <w:rPr>
          <w:rFonts w:hint="eastAsia" w:ascii="仿宋" w:hAnsi="仿宋" w:cs="仿宋"/>
          <w:szCs w:val="32"/>
        </w:rPr>
        <w:t>〔2021〕</w:t>
      </w:r>
      <w:r>
        <w:rPr>
          <w:rFonts w:hint="eastAsia" w:ascii="仿宋" w:hAnsi="仿宋" w:cs="仿宋"/>
          <w:color w:val="000000"/>
          <w:kern w:val="0"/>
          <w:szCs w:val="32"/>
          <w:lang w:bidi="ar"/>
        </w:rPr>
        <w:t>269号）、</w:t>
      </w:r>
      <w:r>
        <w:rPr>
          <w:rFonts w:hint="eastAsia" w:ascii="仿宋" w:hAnsi="仿宋" w:cs="仿宋"/>
          <w:szCs w:val="32"/>
        </w:rPr>
        <w:t>《遂宁高新区财政性资金使用管理暂行办法（试行）》（遂高办〔2021〕270号）</w:t>
      </w:r>
      <w:r>
        <w:rPr>
          <w:rFonts w:hint="eastAsia" w:ascii="仿宋" w:hAnsi="仿宋" w:cs="仿宋"/>
          <w:color w:val="000000"/>
          <w:kern w:val="0"/>
          <w:szCs w:val="32"/>
          <w:lang w:bidi="ar"/>
        </w:rPr>
        <w:t>《遂宁市党政机关国内公务接待管理实施办法的通知》（遂委办发</w:t>
      </w:r>
      <w:r>
        <w:rPr>
          <w:rFonts w:hint="eastAsia" w:ascii="仿宋" w:hAnsi="仿宋" w:cs="仿宋"/>
          <w:szCs w:val="32"/>
        </w:rPr>
        <w:t>〔2014〕</w:t>
      </w:r>
      <w:r>
        <w:rPr>
          <w:rFonts w:hint="eastAsia" w:ascii="仿宋" w:hAnsi="仿宋" w:cs="仿宋"/>
          <w:color w:val="000000"/>
          <w:kern w:val="0"/>
          <w:szCs w:val="32"/>
          <w:lang w:bidi="ar"/>
        </w:rPr>
        <w:t>18号）等规定，检查会计信息资料是否真实、准确、完整，用以评价该部门财务信息对预算管理工作的反映情况。</w:t>
      </w:r>
    </w:p>
    <w:p>
      <w:pPr>
        <w:pStyle w:val="8"/>
        <w:ind w:firstLine="640"/>
        <w:jc w:val="both"/>
        <w:rPr>
          <w:rFonts w:hint="eastAsia" w:ascii="仿宋" w:hAnsi="仿宋" w:cs="仿宋"/>
          <w:color w:val="000000"/>
          <w:kern w:val="0"/>
          <w:szCs w:val="32"/>
          <w:lang w:bidi="ar"/>
        </w:rPr>
      </w:pPr>
      <w:r>
        <w:rPr>
          <w:rFonts w:hint="eastAsia" w:ascii="仿宋" w:hAnsi="仿宋" w:cs="仿宋"/>
          <w:color w:val="000000"/>
          <w:kern w:val="0"/>
          <w:szCs w:val="32"/>
          <w:lang w:bidi="ar"/>
        </w:rPr>
        <w:t>本次评价工作发现存在记账凭证会计信息登记不够真实完善，记账凭证下方信息如会计主管、审核、记账、制单、</w:t>
      </w:r>
      <w:r>
        <w:rPr>
          <w:rFonts w:hint="eastAsia" w:ascii="仿宋" w:hAnsi="仿宋" w:cs="仿宋"/>
          <w:kern w:val="0"/>
          <w:szCs w:val="32"/>
          <w:lang w:bidi="ar"/>
        </w:rPr>
        <w:t>出纳等未落款具体负责人员；</w:t>
      </w:r>
      <w:r>
        <w:rPr>
          <w:rFonts w:hint="eastAsia"/>
        </w:rPr>
        <w:t>存在记账凭证会计信息填报不完善，个别财务记账，无有效结算凭证，如劳务派遣支出无发票，办公用品无入库签收和领用程序。</w:t>
      </w:r>
    </w:p>
    <w:p>
      <w:pPr>
        <w:pStyle w:val="5"/>
        <w:ind w:firstLine="643"/>
        <w:rPr>
          <w:rFonts w:hint="eastAsia"/>
        </w:rPr>
      </w:pPr>
      <w:r>
        <w:rPr>
          <w:rFonts w:hint="eastAsia"/>
        </w:rPr>
        <w:t>（3）资产管理</w:t>
      </w:r>
    </w:p>
    <w:p>
      <w:pPr>
        <w:widowControl/>
        <w:ind w:firstLine="640"/>
        <w:rPr>
          <w:rFonts w:hint="eastAsia" w:ascii="仿宋" w:hAnsi="仿宋" w:cs="仿宋"/>
          <w:szCs w:val="32"/>
        </w:rPr>
      </w:pPr>
      <w:r>
        <w:rPr>
          <w:rFonts w:hint="eastAsia" w:ascii="仿宋" w:hAnsi="仿宋" w:cs="仿宋"/>
          <w:color w:val="000000"/>
          <w:kern w:val="0"/>
          <w:szCs w:val="32"/>
          <w:lang w:bidi="ar"/>
        </w:rPr>
        <w:t>1）资产管理制度健全性合规性和执行度</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本单位未制定国有资产管理制度，部门未认真贯彻执行有关国有资产管理制度。如未</w:t>
      </w:r>
      <w:r>
        <w:rPr>
          <w:rFonts w:hint="eastAsia" w:ascii="仿宋" w:hAnsi="仿宋" w:cs="仿宋"/>
          <w:szCs w:val="32"/>
        </w:rPr>
        <w:t>定期或者不定期进行清查盘点工作。</w:t>
      </w:r>
    </w:p>
    <w:p>
      <w:pPr>
        <w:widowControl/>
        <w:ind w:firstLine="640"/>
        <w:rPr>
          <w:rFonts w:hint="eastAsia" w:ascii="仿宋" w:hAnsi="仿宋" w:cs="仿宋"/>
          <w:szCs w:val="32"/>
        </w:rPr>
      </w:pPr>
      <w:r>
        <w:rPr>
          <w:rFonts w:hint="eastAsia" w:ascii="仿宋" w:hAnsi="仿宋" w:cs="仿宋"/>
          <w:color w:val="000000"/>
          <w:kern w:val="0"/>
          <w:szCs w:val="32"/>
          <w:lang w:bidi="ar"/>
        </w:rPr>
        <w:t>2）资产管理规范性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w:t>
      </w:r>
      <w:r>
        <w:rPr>
          <w:rFonts w:hint="eastAsia" w:ascii="仿宋" w:hAnsi="仿宋" w:cs="仿宋"/>
          <w:color w:val="000000"/>
          <w:kern w:val="0"/>
          <w:szCs w:val="32"/>
          <w:lang w:val="en-US" w:eastAsia="zh-CN" w:bidi="ar"/>
        </w:rPr>
        <w:t>次</w:t>
      </w:r>
      <w:r>
        <w:rPr>
          <w:rFonts w:hint="eastAsia" w:ascii="仿宋" w:hAnsi="仿宋" w:cs="仿宋"/>
          <w:color w:val="000000"/>
          <w:kern w:val="0"/>
          <w:szCs w:val="32"/>
          <w:lang w:bidi="ar"/>
        </w:rPr>
        <w:t>评价工作针对的方向有①资产保存完整；②资产配置合理；③资产使用规范；④资产账务管理合规，账实相符。</w:t>
      </w:r>
    </w:p>
    <w:p>
      <w:pPr>
        <w:widowControl/>
        <w:ind w:firstLine="640"/>
        <w:rPr>
          <w:rFonts w:hint="eastAsia" w:ascii="仿宋" w:hAnsi="仿宋" w:cs="仿宋"/>
          <w:szCs w:val="32"/>
        </w:rPr>
      </w:pPr>
      <w:r>
        <w:rPr>
          <w:rFonts w:hint="eastAsia" w:ascii="仿宋" w:hAnsi="仿宋" w:cs="仿宋"/>
          <w:color w:val="000000"/>
          <w:kern w:val="0"/>
          <w:szCs w:val="32"/>
          <w:lang w:bidi="ar"/>
        </w:rPr>
        <w:t>发改统计局相关资产核查清点工作相对滞后，单位资产能够基本保管完好，配置相对合理。但是也存在着资产管理不到位的情况，如正常盘点工作和账实核对工作缺失、未建资产卡片、缺少验收入库手续、未落实使用者责任、存在账外资产。</w:t>
      </w:r>
    </w:p>
    <w:p>
      <w:pPr>
        <w:widowControl/>
        <w:ind w:firstLine="640"/>
        <w:rPr>
          <w:rFonts w:hint="eastAsia" w:ascii="仿宋" w:hAnsi="仿宋" w:cs="仿宋"/>
          <w:szCs w:val="32"/>
        </w:rPr>
      </w:pPr>
      <w:r>
        <w:rPr>
          <w:rFonts w:hint="eastAsia" w:ascii="仿宋" w:hAnsi="仿宋" w:cs="仿宋"/>
          <w:color w:val="000000"/>
          <w:kern w:val="0"/>
          <w:szCs w:val="32"/>
          <w:lang w:bidi="ar"/>
        </w:rPr>
        <w:t>3）固定资产利用率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2023年8月17日，评价组根据发改统计局资产台账，整理出《固定资产盘点登记表》，在单位财务人员陪同下对发改统计局资产保存和使用状况进行盘点，评测单位实际在用固定资产总额与所有固定资产总额的比率，考核固定资产使用的效率程度。经过实际现场盘点资产并查看资产使用状态，</w:t>
      </w:r>
      <w:r>
        <w:rPr>
          <w:rFonts w:hint="eastAsia" w:ascii="仿宋" w:hAnsi="仿宋" w:cs="仿宋"/>
          <w:szCs w:val="32"/>
        </w:rPr>
        <w:t>未见到闲置状况，资产全部在用，无</w:t>
      </w:r>
      <w:r>
        <w:rPr>
          <w:rFonts w:hint="eastAsia"/>
        </w:rPr>
        <w:t>损坏报废资产，</w:t>
      </w:r>
      <w:r>
        <w:rPr>
          <w:rFonts w:hint="eastAsia" w:ascii="仿宋" w:hAnsi="仿宋" w:cs="仿宋"/>
          <w:color w:val="000000"/>
          <w:kern w:val="0"/>
          <w:szCs w:val="32"/>
          <w:lang w:bidi="ar"/>
        </w:rPr>
        <w:t>发改统计局</w:t>
      </w:r>
      <w:r>
        <w:rPr>
          <w:rFonts w:hint="eastAsia" w:ascii="仿宋" w:hAnsi="仿宋" w:cs="仿宋"/>
          <w:szCs w:val="32"/>
        </w:rPr>
        <w:t>固定资产利用率100.00%。</w:t>
      </w:r>
      <w:r>
        <w:rPr>
          <w:rFonts w:hint="eastAsia"/>
        </w:rPr>
        <w:t>但</w:t>
      </w:r>
      <w:r>
        <w:rPr>
          <w:rFonts w:hint="eastAsia" w:ascii="仿宋" w:hAnsi="仿宋" w:cs="仿宋"/>
          <w:szCs w:val="32"/>
        </w:rPr>
        <w:t>存在未登记在账资产，无法确定价值。</w:t>
      </w:r>
    </w:p>
    <w:p>
      <w:pPr>
        <w:pStyle w:val="4"/>
        <w:ind w:firstLine="643"/>
        <w:rPr>
          <w:rFonts w:hint="eastAsia" w:cs="楷体"/>
        </w:rPr>
      </w:pPr>
      <w:r>
        <w:rPr>
          <w:rFonts w:hint="eastAsia" w:cs="楷体"/>
        </w:rPr>
        <w:t>3.产出指标</w:t>
      </w:r>
    </w:p>
    <w:p>
      <w:pPr>
        <w:ind w:firstLine="640"/>
        <w:rPr>
          <w:rFonts w:hint="eastAsia" w:ascii="仿宋" w:hAnsi="仿宋" w:cs="仿宋"/>
          <w:kern w:val="0"/>
          <w:szCs w:val="32"/>
          <w:lang w:bidi="ar"/>
        </w:rPr>
      </w:pPr>
      <w:r>
        <w:rPr>
          <w:rFonts w:hint="eastAsia" w:ascii="仿宋" w:hAnsi="仿宋" w:cs="仿宋"/>
          <w:color w:val="000000"/>
          <w:kern w:val="0"/>
          <w:szCs w:val="32"/>
          <w:lang w:bidi="ar"/>
        </w:rPr>
        <w:t>结合2023年度发改统计局绩效目标设定情况，此次评价对本部门工作完成情况和目标实现进行评价，2023年度发改统计局</w:t>
      </w:r>
      <w:r>
        <w:rPr>
          <w:rFonts w:hint="eastAsia" w:ascii="仿宋" w:hAnsi="仿宋" w:cs="仿宋"/>
          <w:kern w:val="0"/>
          <w:szCs w:val="32"/>
          <w:lang w:bidi="ar"/>
        </w:rPr>
        <w:t>在第五次经济普查－普查专项清查摸底户数、2023年度统计企业数量、搭建粮食应急供应体系重点项目开工数量和招商引资接待、拜访客商人次等工作任务上都完成了对应的数量目标值，在项目建设开工率、GDP同比增长率、规模以上工业增加值增长率等</w:t>
      </w:r>
      <w:r>
        <w:rPr>
          <w:rFonts w:hint="eastAsia" w:ascii="仿宋" w:hAnsi="仿宋" w:cs="仿宋"/>
          <w:color w:val="000000"/>
          <w:kern w:val="0"/>
          <w:szCs w:val="32"/>
          <w:lang w:bidi="ar"/>
        </w:rPr>
        <w:t>反映质量信息的指标上也达到了预设的目标。搭建粮食应急供应体系竣工重点项目数量达标75%。总体上，发改统计局2023年度较好地完成了当年工作任务，相关成果数量和质量基本达标。在工作履职方面，部门工作人员认真负责，</w:t>
      </w:r>
      <w:r>
        <w:rPr>
          <w:rFonts w:hint="eastAsia" w:ascii="仿宋" w:hAnsi="仿宋" w:cs="仿宋"/>
          <w:szCs w:val="32"/>
        </w:rPr>
        <w:t>园区前三季度纳入全市季度考核排位的主要经济指标实现“3个第一，3个第二”：GDP同比增长7.20%，居全市第2；全社会固定资产投资增长6.30%，全市第1</w:t>
      </w:r>
      <w:r>
        <w:rPr>
          <w:rStyle w:val="24"/>
          <w:rFonts w:hint="eastAsia" w:ascii="仿宋" w:hAnsi="仿宋" w:cs="仿宋"/>
          <w:sz w:val="32"/>
          <w:szCs w:val="32"/>
        </w:rPr>
        <w:t>；</w:t>
      </w:r>
      <w:r>
        <w:rPr>
          <w:rFonts w:hint="eastAsia" w:ascii="仿宋" w:hAnsi="仿宋" w:cs="仿宋"/>
          <w:szCs w:val="32"/>
        </w:rPr>
        <w:t>服务业增加值增长8.40%，全市第1；社消零增长19.00%，全市第1；规上工业增加值增长8.40%，居全市第2；建筑业总产值增长3.80%，居全市第2；建安工程投资增长1.20%，居全市第7</w:t>
      </w:r>
      <w:r>
        <w:rPr>
          <w:rFonts w:hint="eastAsia" w:ascii="仿宋" w:hAnsi="仿宋" w:cs="仿宋"/>
          <w:kern w:val="0"/>
          <w:szCs w:val="32"/>
          <w:lang w:bidi="ar"/>
        </w:rPr>
        <w:t>。</w:t>
      </w:r>
    </w:p>
    <w:p>
      <w:pPr>
        <w:ind w:firstLine="640"/>
        <w:rPr>
          <w:rFonts w:hint="eastAsia" w:ascii="仿宋" w:hAnsi="仿宋" w:cs="仿宋"/>
          <w:kern w:val="0"/>
          <w:szCs w:val="32"/>
          <w:lang w:bidi="ar"/>
        </w:rPr>
      </w:pPr>
      <w:r>
        <w:rPr>
          <w:rFonts w:hint="eastAsia" w:ascii="仿宋" w:hAnsi="仿宋" w:cs="仿宋"/>
          <w:kern w:val="0"/>
          <w:szCs w:val="32"/>
          <w:lang w:bidi="ar"/>
        </w:rPr>
        <w:t>本项产出指标分值30.00分，得分29.00分，得分率96.67%。</w:t>
      </w:r>
    </w:p>
    <w:p>
      <w:pPr>
        <w:widowControl/>
        <w:ind w:firstLine="482"/>
        <w:jc w:val="center"/>
        <w:rPr>
          <w:rFonts w:hint="eastAsia" w:ascii="宋体" w:hAnsi="宋体" w:eastAsia="宋体" w:cs="宋体"/>
          <w:b/>
          <w:bCs/>
          <w:sz w:val="24"/>
        </w:rPr>
      </w:pPr>
      <w:r>
        <w:rPr>
          <w:rFonts w:hint="eastAsia" w:ascii="宋体" w:hAnsi="宋体" w:eastAsia="宋体" w:cs="宋体"/>
          <w:b/>
          <w:bCs/>
          <w:sz w:val="24"/>
        </w:rPr>
        <w:t>产出指标设定及评分情况表</w:t>
      </w:r>
    </w:p>
    <w:tbl>
      <w:tblPr>
        <w:tblStyle w:val="18"/>
        <w:tblW w:w="0" w:type="auto"/>
        <w:jc w:val="center"/>
        <w:tblLayout w:type="autofit"/>
        <w:tblCellMar>
          <w:top w:w="0" w:type="dxa"/>
          <w:left w:w="108" w:type="dxa"/>
          <w:bottom w:w="0" w:type="dxa"/>
          <w:right w:w="108" w:type="dxa"/>
        </w:tblCellMar>
      </w:tblPr>
      <w:tblGrid>
        <w:gridCol w:w="618"/>
        <w:gridCol w:w="1358"/>
        <w:gridCol w:w="1044"/>
        <w:gridCol w:w="3139"/>
        <w:gridCol w:w="884"/>
        <w:gridCol w:w="1119"/>
      </w:tblGrid>
      <w:tr>
        <w:tblPrEx>
          <w:tblCellMar>
            <w:top w:w="0" w:type="dxa"/>
            <w:left w:w="108" w:type="dxa"/>
            <w:bottom w:w="0" w:type="dxa"/>
            <w:right w:w="108" w:type="dxa"/>
          </w:tblCellMar>
        </w:tblPrEx>
        <w:trPr>
          <w:trHeight w:val="321"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35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一级指标</w:t>
            </w:r>
          </w:p>
        </w:tc>
        <w:tc>
          <w:tcPr>
            <w:tcW w:w="104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分值</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271"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35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产出（30分）</w:t>
            </w:r>
          </w:p>
        </w:tc>
        <w:tc>
          <w:tcPr>
            <w:tcW w:w="104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产出</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数量</w:t>
            </w:r>
          </w:p>
          <w:p>
            <w:pPr>
              <w:widowControl/>
              <w:spacing w:line="240" w:lineRule="auto"/>
              <w:ind w:firstLine="0" w:firstLineChars="0"/>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10分</w:t>
            </w:r>
            <w:r>
              <w:rPr>
                <w:rFonts w:hint="eastAsia" w:ascii="宋体" w:hAnsi="宋体" w:eastAsia="宋体" w:cs="宋体"/>
                <w:color w:val="000000"/>
                <w:kern w:val="0"/>
                <w:sz w:val="20"/>
                <w:szCs w:val="20"/>
                <w:lang w:eastAsia="zh-CN" w:bidi="ar"/>
              </w:rPr>
              <w:t>）</w:t>
            </w: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第五次经济普查-普查专项清查摸底户数（2分）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2023年度统计（2分）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21"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招商引资接待、</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拜访客商人数（2分）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21"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建粮食应急供应体系竣工重点项目数量（2分）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tblPrEx>
          <w:tblCellMar>
            <w:top w:w="0" w:type="dxa"/>
            <w:left w:w="108" w:type="dxa"/>
            <w:bottom w:w="0" w:type="dxa"/>
            <w:right w:w="108" w:type="dxa"/>
          </w:tblCellMar>
        </w:tblPrEx>
        <w:trPr>
          <w:trHeight w:val="321"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建粮食应急供应体系重点项目开工项目数（2分）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产出</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质量</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10分）</w:t>
            </w: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全社会固定资产投资增长率（2分）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规模以上工业增加值增长率（2分）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GDP同比增长率（2分）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项目建设开工率（2分）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社会消费零售增长率（2分）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169"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职责</w:t>
            </w:r>
          </w:p>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履行</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eastAsia="zh-CN" w:bidi="ar"/>
              </w:rPr>
              <w:t>（</w:t>
            </w:r>
            <w:r>
              <w:rPr>
                <w:rFonts w:hint="eastAsia" w:ascii="宋体" w:hAnsi="宋体" w:eastAsia="宋体" w:cs="宋体"/>
                <w:color w:val="000000"/>
                <w:kern w:val="0"/>
                <w:sz w:val="20"/>
                <w:szCs w:val="20"/>
                <w:lang w:bidi="ar"/>
              </w:rPr>
              <w:t>10分）</w:t>
            </w: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工作发展（5分）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315" w:hRule="atLeast"/>
          <w:jc w:val="center"/>
        </w:trPr>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13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044"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313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重点工作办理情况（5分）</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184" w:hRule="atLeast"/>
          <w:jc w:val="center"/>
        </w:trPr>
        <w:tc>
          <w:tcPr>
            <w:tcW w:w="6159"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本项合计</w:t>
            </w:r>
          </w:p>
        </w:tc>
        <w:tc>
          <w:tcPr>
            <w:tcW w:w="88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30.00</w:t>
            </w:r>
          </w:p>
        </w:tc>
        <w:tc>
          <w:tcPr>
            <w:tcW w:w="11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29.00</w:t>
            </w:r>
          </w:p>
        </w:tc>
      </w:tr>
    </w:tbl>
    <w:p>
      <w:pPr>
        <w:pStyle w:val="5"/>
        <w:ind w:firstLine="643"/>
        <w:rPr>
          <w:rFonts w:hint="eastAsia"/>
        </w:rPr>
      </w:pPr>
      <w:r>
        <w:rPr>
          <w:rFonts w:hint="eastAsia"/>
        </w:rPr>
        <w:t>（1）产出数量</w:t>
      </w:r>
    </w:p>
    <w:p>
      <w:pPr>
        <w:pStyle w:val="9"/>
        <w:ind w:firstLine="640"/>
        <w:rPr>
          <w:rFonts w:hint="eastAsia" w:ascii="仿宋" w:hAnsi="仿宋" w:eastAsia="仿宋" w:cs="仿宋"/>
          <w:sz w:val="32"/>
          <w:szCs w:val="32"/>
        </w:rPr>
      </w:pPr>
      <w:r>
        <w:rPr>
          <w:rFonts w:hint="eastAsia" w:ascii="仿宋" w:hAnsi="仿宋" w:eastAsia="仿宋" w:cs="仿宋"/>
          <w:sz w:val="32"/>
          <w:szCs w:val="32"/>
        </w:rPr>
        <w:t>1）第五次经济普查-普查专项清查摸底户数</w:t>
      </w:r>
    </w:p>
    <w:p>
      <w:pPr>
        <w:adjustRightInd w:val="0"/>
        <w:snapToGrid w:val="0"/>
        <w:ind w:firstLine="640"/>
        <w:jc w:val="left"/>
        <w:rPr>
          <w:rFonts w:hint="eastAsia" w:ascii="仿宋" w:hAnsi="仿宋" w:cs="仿宋"/>
          <w:color w:val="000000"/>
          <w:kern w:val="0"/>
          <w:szCs w:val="32"/>
        </w:rPr>
      </w:pPr>
      <w:r>
        <w:rPr>
          <w:rFonts w:hint="eastAsia" w:ascii="仿宋" w:hAnsi="仿宋" w:cs="仿宋"/>
          <w:color w:val="000000"/>
          <w:kern w:val="0"/>
          <w:szCs w:val="32"/>
        </w:rPr>
        <w:t>根据发改统计局2023年工作计划，</w:t>
      </w:r>
      <w:r>
        <w:rPr>
          <w:rFonts w:hint="eastAsia" w:ascii="仿宋" w:hAnsi="仿宋" w:cs="仿宋"/>
        </w:rPr>
        <w:t>完成第五次全国经济普查单位摸底、宣传动员、“两员”业务培训等普查前期工作为2024年正式入户打好基础。经济普查专项清查企业3780户、个体户9208户，劳动力调查384户，</w:t>
      </w:r>
      <w:r>
        <w:rPr>
          <w:rFonts w:hint="eastAsia" w:ascii="仿宋" w:hAnsi="仿宋" w:cs="仿宋"/>
          <w:color w:val="000000"/>
          <w:kern w:val="0"/>
          <w:szCs w:val="32"/>
        </w:rPr>
        <w:t>超额完成目标任务3000个法人单位的目标。</w:t>
      </w:r>
    </w:p>
    <w:p>
      <w:pPr>
        <w:pStyle w:val="9"/>
        <w:ind w:firstLine="640"/>
        <w:rPr>
          <w:rFonts w:hint="eastAsia" w:ascii="仿宋" w:hAnsi="仿宋" w:eastAsia="仿宋" w:cs="仿宋"/>
          <w:sz w:val="32"/>
          <w:szCs w:val="32"/>
        </w:rPr>
      </w:pPr>
      <w:r>
        <w:rPr>
          <w:rFonts w:hint="eastAsia" w:ascii="仿宋" w:hAnsi="仿宋" w:eastAsia="仿宋" w:cs="仿宋"/>
          <w:color w:val="000000"/>
          <w:kern w:val="0"/>
          <w:sz w:val="32"/>
          <w:szCs w:val="32"/>
        </w:rPr>
        <w:t>2）2023年度统计</w:t>
      </w:r>
    </w:p>
    <w:p>
      <w:pPr>
        <w:ind w:firstLine="640"/>
        <w:rPr>
          <w:rFonts w:hint="eastAsia" w:ascii="仿宋" w:hAnsi="仿宋" w:cs="仿宋"/>
        </w:rPr>
      </w:pPr>
      <w:r>
        <w:rPr>
          <w:rFonts w:hint="eastAsia" w:ascii="仿宋" w:hAnsi="仿宋" w:cs="仿宋"/>
        </w:rPr>
        <w:t>发改统计局根据2023年统计任务，突出“四上”企业申报，做好企业清查。2023年围绕“四上”企业清查目标，做大做实企业名录库，为经济高质量增长提供强大的规模企业准备。项目完成城乡收支调查10户，规上企业调查统205户，名录库维护数3780户，规下企业调查统计15户。年初绩效目标任务量均已完成。</w:t>
      </w:r>
    </w:p>
    <w:p>
      <w:pPr>
        <w:pStyle w:val="11"/>
        <w:ind w:firstLine="640"/>
        <w:rPr>
          <w:rFonts w:hint="eastAsia" w:ascii="仿宋" w:hAnsi="仿宋" w:cs="仿宋"/>
          <w:sz w:val="32"/>
          <w:szCs w:val="32"/>
        </w:rPr>
      </w:pPr>
      <w:r>
        <w:rPr>
          <w:rFonts w:hint="eastAsia" w:ascii="仿宋" w:hAnsi="仿宋" w:cs="仿宋"/>
          <w:sz w:val="32"/>
          <w:szCs w:val="32"/>
        </w:rPr>
        <w:t>3）招商引资接待、拜访客商人数</w:t>
      </w:r>
    </w:p>
    <w:p>
      <w:pPr>
        <w:adjustRightInd w:val="0"/>
        <w:snapToGrid w:val="0"/>
        <w:ind w:firstLine="640"/>
        <w:jc w:val="left"/>
        <w:rPr>
          <w:rFonts w:hint="eastAsia" w:ascii="仿宋" w:hAnsi="仿宋" w:cs="仿宋"/>
        </w:rPr>
      </w:pPr>
      <w:r>
        <w:rPr>
          <w:rFonts w:hint="eastAsia" w:ascii="仿宋" w:hAnsi="仿宋" w:cs="仿宋"/>
          <w:szCs w:val="32"/>
        </w:rPr>
        <w:t>发改统计局2023年度</w:t>
      </w:r>
      <w:r>
        <w:rPr>
          <w:rFonts w:hint="eastAsia" w:ascii="仿宋" w:hAnsi="仿宋" w:cs="仿宋"/>
        </w:rPr>
        <w:t>通过项目实施，更有效地为园区入驻企业服务，更好地协助企业办理项目落地、项目建设，为企业升规入统提供相关服务工作。接待往来客商25家接待236人次。</w:t>
      </w:r>
    </w:p>
    <w:p>
      <w:pPr>
        <w:pStyle w:val="11"/>
        <w:ind w:firstLine="640"/>
        <w:rPr>
          <w:rFonts w:hint="eastAsia" w:ascii="仿宋" w:hAnsi="仿宋" w:cs="仿宋"/>
          <w:sz w:val="32"/>
          <w:szCs w:val="32"/>
        </w:rPr>
      </w:pPr>
      <w:r>
        <w:rPr>
          <w:rFonts w:hint="eastAsia" w:ascii="仿宋" w:hAnsi="仿宋" w:cs="仿宋"/>
          <w:sz w:val="32"/>
          <w:szCs w:val="32"/>
        </w:rPr>
        <w:t>4）构建粮食应急供应体系竣工重点项目数量</w:t>
      </w:r>
    </w:p>
    <w:p>
      <w:pPr>
        <w:adjustRightInd w:val="0"/>
        <w:snapToGrid w:val="0"/>
        <w:ind w:firstLine="640"/>
        <w:jc w:val="left"/>
        <w:rPr>
          <w:rFonts w:hint="eastAsia" w:ascii="仿宋" w:hAnsi="仿宋" w:cs="仿宋"/>
        </w:rPr>
      </w:pPr>
      <w:r>
        <w:rPr>
          <w:rFonts w:hint="eastAsia" w:ascii="仿宋" w:hAnsi="仿宋" w:cs="仿宋"/>
          <w:szCs w:val="32"/>
        </w:rPr>
        <w:t>根据部门职能</w:t>
      </w:r>
      <w:r>
        <w:rPr>
          <w:rFonts w:hint="eastAsia" w:ascii="仿宋" w:hAnsi="仿宋" w:cs="仿宋"/>
          <w:lang w:val="zh-CN"/>
        </w:rPr>
        <w:t>负责投资综合管理和协调推进重大项目建设</w:t>
      </w:r>
      <w:r>
        <w:rPr>
          <w:rFonts w:hint="eastAsia" w:ascii="仿宋" w:hAnsi="仿宋" w:cs="仿宋"/>
          <w:szCs w:val="32"/>
        </w:rPr>
        <w:t>，主动研究国家产业政策和投资导向，积极捕捉投资信息，主动出击，2023年度实际开工的重点项目数量24个超越目标计划20个，争取到上级资金4,748.00万元。但竣工重点项目竣工数量计完成40个，实际完工30个，重点项目完工数量完成率75.00%。</w:t>
      </w:r>
    </w:p>
    <w:p>
      <w:pPr>
        <w:pStyle w:val="5"/>
        <w:ind w:firstLine="643"/>
        <w:rPr>
          <w:rFonts w:hint="eastAsia" w:cs="仿宋"/>
          <w:szCs w:val="32"/>
        </w:rPr>
      </w:pPr>
      <w:r>
        <w:rPr>
          <w:rFonts w:hint="eastAsia" w:cs="仿宋"/>
          <w:szCs w:val="32"/>
        </w:rPr>
        <w:t>（2）产出质量</w:t>
      </w:r>
    </w:p>
    <w:p>
      <w:pPr>
        <w:ind w:firstLine="640"/>
        <w:rPr>
          <w:rFonts w:hint="eastAsia" w:ascii="仿宋" w:hAnsi="仿宋" w:cs="仿宋"/>
          <w:szCs w:val="32"/>
        </w:rPr>
      </w:pPr>
      <w:r>
        <w:rPr>
          <w:rFonts w:hint="eastAsia" w:ascii="仿宋" w:hAnsi="仿宋" w:cs="仿宋"/>
          <w:szCs w:val="32"/>
        </w:rPr>
        <w:t>加强向上对接，及时向市统计局汇报园区经济发展态势，了解掌握省市经济运行情况，并对园区潜在问题进行预警，最大限度做好月度经济调度。园区前三季度纳入全市季度考核排位的主要经济指标实现“3个第一，3个第二”：GDP同比增长7.20%，居全市第2；全社会固定资产投资增长6.30%，全市第1；服务业增加值增长8.40%，全市第1；社消零增长19.00%，全市第1；规上工业增加值增长8.40%，居全市第2；建筑业总产值增长3.80%，居全市第2；建安工程投资增长1.2%，居全市第7。</w:t>
      </w:r>
    </w:p>
    <w:p>
      <w:pPr>
        <w:pStyle w:val="5"/>
        <w:ind w:firstLine="643"/>
        <w:rPr>
          <w:rFonts w:hint="eastAsia" w:cs="仿宋"/>
          <w:szCs w:val="32"/>
        </w:rPr>
      </w:pPr>
      <w:r>
        <w:rPr>
          <w:rFonts w:hint="eastAsia" w:cs="仿宋"/>
          <w:szCs w:val="32"/>
        </w:rPr>
        <w:t>（3）职责履行</w:t>
      </w:r>
    </w:p>
    <w:p>
      <w:pPr>
        <w:ind w:firstLine="640"/>
        <w:rPr>
          <w:rFonts w:hint="eastAsia" w:ascii="仿宋" w:hAnsi="仿宋" w:cs="仿宋"/>
        </w:rPr>
      </w:pPr>
      <w:r>
        <w:rPr>
          <w:rFonts w:hint="eastAsia" w:ascii="仿宋" w:hAnsi="仿宋" w:cs="仿宋"/>
        </w:rPr>
        <w:t>本项考核本部门常规工作在工作能力、工作影响、工作业绩等方面是否积极向前发展，是否争先进位取得突破。</w:t>
      </w:r>
    </w:p>
    <w:p>
      <w:pPr>
        <w:ind w:firstLine="640"/>
        <w:rPr>
          <w:rFonts w:hint="eastAsia" w:ascii="仿宋" w:hAnsi="仿宋" w:cs="仿宋"/>
        </w:rPr>
      </w:pPr>
      <w:r>
        <w:rPr>
          <w:rFonts w:hint="eastAsia" w:ascii="仿宋" w:hAnsi="仿宋" w:cs="仿宋"/>
        </w:rPr>
        <w:t>2023年度</w:t>
      </w:r>
      <w:r>
        <w:rPr>
          <w:rFonts w:hint="eastAsia" w:ascii="仿宋" w:hAnsi="仿宋" w:cs="仿宋"/>
          <w:szCs w:val="32"/>
        </w:rPr>
        <w:t>发改统计局为</w:t>
      </w:r>
      <w:r>
        <w:rPr>
          <w:rFonts w:hint="eastAsia" w:ascii="仿宋" w:hAnsi="仿宋" w:cs="仿宋"/>
        </w:rPr>
        <w:t>投资综合管理和协调推进重大项目建设；准确把握中、省、市产业政策和投资方向，结合园区实际情况，策划、包装、争取优质项目，充实项目储备库，精准谋划绵遂内铁路遂宁高新站配套基础设施、雁栖湖体育公园等144个项目、总投资856亿元重点项目。</w:t>
      </w:r>
    </w:p>
    <w:p>
      <w:pPr>
        <w:ind w:firstLine="640"/>
        <w:rPr>
          <w:rFonts w:hint="eastAsia" w:ascii="仿宋" w:hAnsi="仿宋" w:cs="仿宋"/>
        </w:rPr>
      </w:pPr>
      <w:r>
        <w:rPr>
          <w:rFonts w:hint="eastAsia" w:ascii="仿宋" w:hAnsi="仿宋" w:cs="仿宋"/>
        </w:rPr>
        <w:t>通过落实“红黑榜”管理制度，实行“两周一督查、每月一通报，一季一拉练”等工作机制，加强对园区县级及以上重大项目以及上级资金项目督查督办。成功举办遂宁市2023年第一季度重大项目集中开工仪式以及华创项目开工仪式。</w:t>
      </w:r>
    </w:p>
    <w:p>
      <w:pPr>
        <w:ind w:firstLine="640"/>
        <w:rPr>
          <w:rFonts w:hint="eastAsia" w:ascii="仿宋" w:hAnsi="仿宋" w:cs="仿宋"/>
        </w:rPr>
      </w:pPr>
      <w:r>
        <w:rPr>
          <w:rFonts w:hint="eastAsia" w:ascii="仿宋" w:hAnsi="仿宋" w:cs="仿宋"/>
        </w:rPr>
        <w:t>为促进高新区发展主动研究国家产业政策和投资导向，积极捕捉投资信息</w:t>
      </w:r>
      <w:r>
        <w:rPr>
          <w:rFonts w:hint="eastAsia" w:ascii="仿宋" w:hAnsi="仿宋" w:cs="仿宋"/>
          <w:szCs w:val="32"/>
        </w:rPr>
        <w:t>，多渠道筹措资金建设，2023年</w:t>
      </w:r>
      <w:r>
        <w:rPr>
          <w:rFonts w:hint="eastAsia" w:ascii="仿宋" w:hAnsi="仿宋" w:cs="仿宋"/>
        </w:rPr>
        <w:t>已发专项债项目19个，发行专项债券资金10.26亿元。争取中省预算内投资项目4个，总投资1.90亿元，争取到中央预算内资金0.95亿元。申报增发国债项目15个，总投资13.17亿元，申报国债资金8.75亿元。</w:t>
      </w:r>
    </w:p>
    <w:p>
      <w:pPr>
        <w:ind w:firstLine="640"/>
        <w:rPr>
          <w:rFonts w:hint="eastAsia" w:ascii="仿宋" w:hAnsi="仿宋" w:cs="仿宋"/>
        </w:rPr>
      </w:pPr>
      <w:r>
        <w:rPr>
          <w:rFonts w:hint="eastAsia" w:ascii="仿宋" w:hAnsi="仿宋" w:cs="仿宋"/>
        </w:rPr>
        <w:t>2023年发改统计局促发展的同时，不忘加强安全监督，实现安全生产，进一步提升对外服务效能，成立遂宁高新区能源行业安全生产迎大运·保安全集中整治专项行动工作专班，2023年开展天然气长输管线排查约15次，督促天然气输气管道安全整改；联合开展天然气汽车改装企业检查，督促问题企业按照《天然气汽车改装企业管理规范》限期整改。提升</w:t>
      </w:r>
      <w:r>
        <w:rPr>
          <w:rFonts w:hint="eastAsia" w:ascii="仿宋" w:hAnsi="仿宋" w:cs="仿宋"/>
          <w:szCs w:val="32"/>
        </w:rPr>
        <w:t>行政审批效率</w:t>
      </w:r>
      <w:r>
        <w:rPr>
          <w:rFonts w:hint="eastAsia" w:ascii="仿宋" w:hAnsi="仿宋" w:cs="仿宋"/>
        </w:rPr>
        <w:t>，开展企业信用信息治理，为解决企业资金需求，助力园区绿色低碳高质量发展，积极协助企业成功申报遂宁市绿色企业，在融资、财政、税收等方面享受相应的支持、奖励、补贴和优惠政策。</w:t>
      </w:r>
    </w:p>
    <w:p>
      <w:pPr>
        <w:pStyle w:val="5"/>
        <w:ind w:firstLine="643"/>
        <w:rPr>
          <w:rFonts w:hint="eastAsia"/>
        </w:rPr>
      </w:pPr>
      <w:r>
        <w:rPr>
          <w:rFonts w:hint="eastAsia"/>
        </w:rPr>
        <w:t>（4）重点工作办理情况</w:t>
      </w:r>
    </w:p>
    <w:p>
      <w:pPr>
        <w:ind w:firstLine="640"/>
        <w:rPr>
          <w:rFonts w:hint="eastAsia" w:ascii="仿宋" w:hAnsi="仿宋" w:cs="仿宋"/>
        </w:rPr>
      </w:pPr>
      <w:r>
        <w:rPr>
          <w:rFonts w:hint="eastAsia" w:ascii="仿宋" w:hAnsi="仿宋" w:cs="仿宋"/>
        </w:rPr>
        <w:t>2023年度发改统计局不存在涉及党委、政府、人大、相关部门交办重点工作。</w:t>
      </w:r>
    </w:p>
    <w:p>
      <w:pPr>
        <w:pStyle w:val="4"/>
        <w:ind w:firstLine="643"/>
        <w:rPr>
          <w:rFonts w:hint="eastAsia" w:cs="楷体"/>
        </w:rPr>
      </w:pPr>
      <w:bookmarkStart w:id="204" w:name="_Toc1751"/>
      <w:r>
        <w:rPr>
          <w:rFonts w:hint="eastAsia" w:cs="楷体"/>
        </w:rPr>
        <w:t>4.效益指标</w:t>
      </w:r>
      <w:bookmarkEnd w:id="204"/>
    </w:p>
    <w:p>
      <w:pPr>
        <w:rPr>
          <w:rFonts w:hint="eastAsia" w:ascii="仿宋" w:hAnsi="仿宋" w:eastAsia="仿宋" w:cs="仿宋"/>
          <w:lang w:val="en-US" w:eastAsia="zh-CN"/>
        </w:rPr>
      </w:pPr>
      <w:r>
        <w:rPr>
          <w:rFonts w:hint="eastAsia" w:ascii="仿宋" w:hAnsi="仿宋" w:eastAsia="仿宋" w:cs="仿宋"/>
          <w:lang w:val="en-US" w:eastAsia="zh-CN"/>
        </w:rPr>
        <w:t>发</w:t>
      </w:r>
      <w:r>
        <w:rPr>
          <w:rFonts w:hint="eastAsia" w:ascii="仿宋" w:hAnsi="仿宋" w:cs="仿宋"/>
          <w:lang w:val="en-US" w:eastAsia="zh-CN"/>
        </w:rPr>
        <w:t>改</w:t>
      </w:r>
      <w:r>
        <w:rPr>
          <w:rFonts w:hint="eastAsia" w:ascii="仿宋" w:hAnsi="仿宋" w:eastAsia="仿宋" w:cs="仿宋"/>
          <w:lang w:val="en-US" w:eastAsia="zh-CN"/>
        </w:rPr>
        <w:t>统计局完成了2023年的工作任务和各项目标，</w:t>
      </w:r>
      <w:r>
        <w:rPr>
          <w:rFonts w:hint="eastAsia" w:ascii="仿宋" w:hAnsi="仿宋" w:eastAsia="仿宋" w:cs="仿宋"/>
          <w:sz w:val="32"/>
          <w:szCs w:val="32"/>
        </w:rPr>
        <w:t>提高统计能力</w:t>
      </w:r>
      <w:r>
        <w:rPr>
          <w:rFonts w:hint="eastAsia" w:ascii="仿宋" w:hAnsi="仿宋" w:eastAsia="仿宋" w:cs="仿宋"/>
          <w:sz w:val="32"/>
          <w:szCs w:val="32"/>
          <w:lang w:eastAsia="zh-CN"/>
        </w:rPr>
        <w:t>，</w:t>
      </w:r>
      <w:r>
        <w:rPr>
          <w:rFonts w:hint="eastAsia" w:ascii="仿宋" w:hAnsi="仿宋" w:eastAsia="仿宋" w:cs="仿宋"/>
          <w:sz w:val="32"/>
          <w:szCs w:val="32"/>
        </w:rPr>
        <w:t>提高单位名录库数据质量</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落实了经济普查基础数据，加速</w:t>
      </w:r>
      <w:r>
        <w:rPr>
          <w:rFonts w:hint="eastAsia" w:ascii="仿宋" w:hAnsi="仿宋" w:eastAsia="仿宋" w:cs="仿宋"/>
          <w:sz w:val="32"/>
          <w:szCs w:val="32"/>
          <w:highlight w:val="none"/>
        </w:rPr>
        <w:t>成渝双圈建设</w:t>
      </w:r>
      <w:r>
        <w:rPr>
          <w:rFonts w:hint="eastAsia" w:ascii="仿宋" w:hAnsi="仿宋" w:eastAsia="仿宋" w:cs="仿宋"/>
          <w:sz w:val="32"/>
          <w:szCs w:val="32"/>
          <w:highlight w:val="none"/>
          <w:lang w:val="en-US" w:eastAsia="zh-CN"/>
        </w:rPr>
        <w:t>和高新技术产业园区经济稳步发展。</w:t>
      </w:r>
    </w:p>
    <w:p>
      <w:pPr>
        <w:ind w:firstLine="640"/>
        <w:rPr>
          <w:rFonts w:hint="eastAsia" w:ascii="仿宋" w:hAnsi="仿宋" w:cs="仿宋"/>
          <w:kern w:val="0"/>
          <w:szCs w:val="32"/>
          <w:lang w:bidi="ar"/>
        </w:rPr>
      </w:pPr>
      <w:r>
        <w:rPr>
          <w:rFonts w:hint="eastAsia" w:ascii="仿宋" w:hAnsi="仿宋" w:cs="仿宋"/>
          <w:kern w:val="0"/>
          <w:szCs w:val="32"/>
          <w:lang w:bidi="ar"/>
        </w:rPr>
        <w:t>本项效益指标分值20.00分，得分20.00分，得分率96.67%。</w:t>
      </w:r>
    </w:p>
    <w:p>
      <w:pPr>
        <w:ind w:firstLine="0" w:firstLineChars="0"/>
        <w:rPr>
          <w:rFonts w:hint="eastAsia" w:ascii="仿宋" w:hAnsi="仿宋" w:cs="仿宋"/>
          <w:kern w:val="0"/>
          <w:szCs w:val="32"/>
          <w:lang w:bidi="ar"/>
        </w:rPr>
      </w:pPr>
    </w:p>
    <w:p>
      <w:pPr>
        <w:widowControl/>
        <w:ind w:firstLine="482"/>
        <w:jc w:val="center"/>
        <w:rPr>
          <w:rFonts w:hint="eastAsia" w:ascii="宋体" w:hAnsi="宋体" w:eastAsia="宋体" w:cs="宋体"/>
          <w:b/>
          <w:bCs/>
          <w:sz w:val="24"/>
        </w:rPr>
      </w:pPr>
      <w:r>
        <w:rPr>
          <w:rFonts w:hint="eastAsia" w:ascii="宋体" w:hAnsi="宋体" w:eastAsia="宋体" w:cs="宋体"/>
          <w:b/>
          <w:bCs/>
          <w:sz w:val="24"/>
        </w:rPr>
        <w:t>效出指标设定及评分情况表</w:t>
      </w:r>
    </w:p>
    <w:tbl>
      <w:tblPr>
        <w:tblStyle w:val="18"/>
        <w:tblW w:w="7885" w:type="dxa"/>
        <w:jc w:val="center"/>
        <w:tblLayout w:type="fixed"/>
        <w:tblCellMar>
          <w:top w:w="0" w:type="dxa"/>
          <w:left w:w="108" w:type="dxa"/>
          <w:bottom w:w="0" w:type="dxa"/>
          <w:right w:w="108" w:type="dxa"/>
        </w:tblCellMar>
      </w:tblPr>
      <w:tblGrid>
        <w:gridCol w:w="670"/>
        <w:gridCol w:w="1038"/>
        <w:gridCol w:w="1816"/>
        <w:gridCol w:w="2811"/>
        <w:gridCol w:w="820"/>
        <w:gridCol w:w="730"/>
      </w:tblGrid>
      <w:tr>
        <w:tblPrEx>
          <w:tblCellMar>
            <w:top w:w="0" w:type="dxa"/>
            <w:left w:w="108" w:type="dxa"/>
            <w:bottom w:w="0" w:type="dxa"/>
            <w:right w:w="108" w:type="dxa"/>
          </w:tblCellMar>
        </w:tblPrEx>
        <w:trPr>
          <w:trHeight w:val="507" w:hRule="atLeast"/>
          <w:jc w:val="center"/>
        </w:trPr>
        <w:tc>
          <w:tcPr>
            <w:tcW w:w="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03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一级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181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二级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281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三级</w:t>
            </w:r>
          </w:p>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分值</w:t>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370" w:hRule="atLeast"/>
          <w:jc w:val="center"/>
        </w:trPr>
        <w:tc>
          <w:tcPr>
            <w:tcW w:w="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03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效益</w:t>
            </w:r>
          </w:p>
          <w:p>
            <w:pPr>
              <w:widowControl/>
              <w:spacing w:line="240" w:lineRule="auto"/>
              <w:ind w:firstLine="0" w:firstLineChars="0"/>
              <w:jc w:val="center"/>
              <w:textAlignment w:val="center"/>
              <w:rPr>
                <w:rFonts w:hint="eastAsia" w:ascii="宋体" w:hAnsi="宋体" w:eastAsia="宋体" w:cs="宋体"/>
                <w:color w:val="000000"/>
                <w:sz w:val="20"/>
                <w:szCs w:val="20"/>
                <w:lang w:eastAsia="zh-CN"/>
              </w:rPr>
            </w:pPr>
            <w:r>
              <w:rPr>
                <w:rFonts w:hint="eastAsia" w:ascii="宋体" w:hAnsi="宋体" w:eastAsia="宋体" w:cs="宋体"/>
                <w:b/>
                <w:bCs/>
                <w:color w:val="000000"/>
                <w:kern w:val="0"/>
                <w:sz w:val="20"/>
                <w:szCs w:val="20"/>
                <w:lang w:eastAsia="zh-CN" w:bidi="ar"/>
              </w:rPr>
              <w:t>（</w:t>
            </w:r>
            <w:r>
              <w:rPr>
                <w:rFonts w:hint="eastAsia" w:ascii="宋体" w:hAnsi="宋体" w:eastAsia="宋体" w:cs="宋体"/>
                <w:b/>
                <w:bCs/>
                <w:color w:val="000000"/>
                <w:kern w:val="0"/>
                <w:sz w:val="20"/>
                <w:szCs w:val="20"/>
                <w:lang w:bidi="ar"/>
              </w:rPr>
              <w:t>20分</w:t>
            </w:r>
            <w:r>
              <w:rPr>
                <w:rFonts w:hint="eastAsia" w:ascii="宋体" w:hAnsi="宋体" w:eastAsia="宋体" w:cs="宋体"/>
                <w:b/>
                <w:bCs/>
                <w:color w:val="000000"/>
                <w:kern w:val="0"/>
                <w:sz w:val="20"/>
                <w:szCs w:val="20"/>
                <w:lang w:eastAsia="zh-CN" w:bidi="ar"/>
              </w:rPr>
              <w:t>）</w:t>
            </w:r>
          </w:p>
        </w:tc>
        <w:tc>
          <w:tcPr>
            <w:tcW w:w="181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经济效益（5分）</w:t>
            </w:r>
          </w:p>
        </w:tc>
        <w:tc>
          <w:tcPr>
            <w:tcW w:w="281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经济效益（5分）</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5.00</w:t>
            </w:r>
          </w:p>
        </w:tc>
      </w:tr>
      <w:tr>
        <w:tblPrEx>
          <w:tblCellMar>
            <w:top w:w="0" w:type="dxa"/>
            <w:left w:w="108" w:type="dxa"/>
            <w:bottom w:w="0" w:type="dxa"/>
            <w:right w:w="108" w:type="dxa"/>
          </w:tblCellMar>
        </w:tblPrEx>
        <w:trPr>
          <w:trHeight w:val="370" w:hRule="atLeast"/>
          <w:jc w:val="center"/>
        </w:trPr>
        <w:tc>
          <w:tcPr>
            <w:tcW w:w="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2</w:t>
            </w:r>
          </w:p>
        </w:tc>
        <w:tc>
          <w:tcPr>
            <w:tcW w:w="103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ascii="宋体" w:hAnsi="宋体" w:eastAsia="宋体" w:cs="宋体"/>
                <w:color w:val="000000"/>
                <w:sz w:val="20"/>
                <w:szCs w:val="20"/>
              </w:rPr>
            </w:pPr>
          </w:p>
        </w:tc>
        <w:tc>
          <w:tcPr>
            <w:tcW w:w="181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社会效益（5分）</w:t>
            </w:r>
          </w:p>
        </w:tc>
        <w:tc>
          <w:tcPr>
            <w:tcW w:w="281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社会效益（5分）</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fldChar w:fldCharType="begin"/>
            </w:r>
            <w:r>
              <w:rPr>
                <w:rFonts w:hint="eastAsia" w:ascii="宋体" w:hAnsi="宋体" w:eastAsia="宋体" w:cs="宋体"/>
                <w:color w:val="000000"/>
                <w:kern w:val="0"/>
                <w:sz w:val="20"/>
                <w:szCs w:val="20"/>
                <w:lang w:bidi="ar"/>
              </w:rPr>
              <w:instrText xml:space="preserve"> =RIGHT \# "0.00" \* MERGEFORMAT </w:instrText>
            </w:r>
            <w:r>
              <w:rPr>
                <w:rFonts w:hint="eastAsia" w:ascii="宋体" w:hAnsi="宋体" w:eastAsia="宋体" w:cs="宋体"/>
                <w:color w:val="000000"/>
                <w:kern w:val="0"/>
                <w:sz w:val="20"/>
                <w:szCs w:val="20"/>
                <w:lang w:bidi="ar"/>
              </w:rPr>
              <w:fldChar w:fldCharType="separate"/>
            </w:r>
            <w:r>
              <w:rPr>
                <w:rFonts w:hint="eastAsia" w:ascii="宋体" w:hAnsi="宋体" w:eastAsia="宋体" w:cs="宋体"/>
                <w:sz w:val="20"/>
                <w:szCs w:val="20"/>
              </w:rPr>
              <w:t>5.00</w:t>
            </w:r>
            <w:r>
              <w:rPr>
                <w:rFonts w:hint="eastAsia" w:ascii="宋体" w:hAnsi="宋体" w:eastAsia="宋体" w:cs="宋体"/>
                <w:color w:val="000000"/>
                <w:kern w:val="0"/>
                <w:sz w:val="20"/>
                <w:szCs w:val="20"/>
                <w:lang w:bidi="ar"/>
              </w:rPr>
              <w:fldChar w:fldCharType="end"/>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370" w:hRule="atLeast"/>
          <w:jc w:val="center"/>
        </w:trPr>
        <w:tc>
          <w:tcPr>
            <w:tcW w:w="67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3</w:t>
            </w:r>
          </w:p>
        </w:tc>
        <w:tc>
          <w:tcPr>
            <w:tcW w:w="103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ascii="宋体" w:hAnsi="宋体" w:eastAsia="宋体" w:cs="宋体"/>
                <w:color w:val="000000"/>
                <w:sz w:val="20"/>
                <w:szCs w:val="20"/>
              </w:rPr>
            </w:pPr>
          </w:p>
        </w:tc>
        <w:tc>
          <w:tcPr>
            <w:tcW w:w="181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可持续影响（5分）</w:t>
            </w:r>
          </w:p>
        </w:tc>
        <w:tc>
          <w:tcPr>
            <w:tcW w:w="281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可持续影响（5分）</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fldChar w:fldCharType="begin"/>
            </w:r>
            <w:r>
              <w:rPr>
                <w:rFonts w:hint="eastAsia" w:ascii="宋体" w:hAnsi="宋体" w:eastAsia="宋体" w:cs="宋体"/>
                <w:color w:val="000000"/>
                <w:kern w:val="0"/>
                <w:sz w:val="20"/>
                <w:szCs w:val="20"/>
                <w:lang w:bidi="ar"/>
              </w:rPr>
              <w:instrText xml:space="preserve"> =RIGHT \# "0.00" \* MERGEFORMAT </w:instrText>
            </w:r>
            <w:r>
              <w:rPr>
                <w:rFonts w:hint="eastAsia" w:ascii="宋体" w:hAnsi="宋体" w:eastAsia="宋体" w:cs="宋体"/>
                <w:color w:val="000000"/>
                <w:kern w:val="0"/>
                <w:sz w:val="20"/>
                <w:szCs w:val="20"/>
                <w:lang w:bidi="ar"/>
              </w:rPr>
              <w:fldChar w:fldCharType="separate"/>
            </w:r>
            <w:r>
              <w:rPr>
                <w:rFonts w:hint="eastAsia" w:ascii="宋体" w:hAnsi="宋体" w:eastAsia="宋体" w:cs="宋体"/>
                <w:sz w:val="20"/>
                <w:szCs w:val="20"/>
              </w:rPr>
              <w:t>5.00</w:t>
            </w:r>
            <w:r>
              <w:rPr>
                <w:rFonts w:hint="eastAsia" w:ascii="宋体" w:hAnsi="宋体" w:eastAsia="宋体" w:cs="宋体"/>
                <w:color w:val="000000"/>
                <w:kern w:val="0"/>
                <w:sz w:val="20"/>
                <w:szCs w:val="20"/>
                <w:lang w:bidi="ar"/>
              </w:rPr>
              <w:fldChar w:fldCharType="end"/>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684" w:hRule="atLeast"/>
          <w:jc w:val="center"/>
        </w:trPr>
        <w:tc>
          <w:tcPr>
            <w:tcW w:w="67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4</w:t>
            </w:r>
          </w:p>
        </w:tc>
        <w:tc>
          <w:tcPr>
            <w:tcW w:w="103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ascii="宋体" w:hAnsi="宋体" w:eastAsia="宋体" w:cs="宋体"/>
                <w:color w:val="000000"/>
                <w:sz w:val="20"/>
                <w:szCs w:val="20"/>
              </w:rPr>
            </w:pPr>
          </w:p>
        </w:tc>
        <w:tc>
          <w:tcPr>
            <w:tcW w:w="181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满意度（5分）</w:t>
            </w:r>
          </w:p>
        </w:tc>
        <w:tc>
          <w:tcPr>
            <w:tcW w:w="281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社会公众或服务对象满意度（3分）</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fldChar w:fldCharType="begin"/>
            </w:r>
            <w:r>
              <w:rPr>
                <w:rFonts w:hint="eastAsia" w:ascii="宋体" w:hAnsi="宋体" w:eastAsia="宋体" w:cs="宋体"/>
                <w:color w:val="000000"/>
                <w:kern w:val="0"/>
                <w:sz w:val="20"/>
                <w:szCs w:val="20"/>
                <w:lang w:bidi="ar"/>
              </w:rPr>
              <w:instrText xml:space="preserve"> =RIGHT \# "0.00" \* MERGEFORMAT </w:instrText>
            </w:r>
            <w:r>
              <w:rPr>
                <w:rFonts w:hint="eastAsia" w:ascii="宋体" w:hAnsi="宋体" w:eastAsia="宋体" w:cs="宋体"/>
                <w:color w:val="000000"/>
                <w:kern w:val="0"/>
                <w:sz w:val="20"/>
                <w:szCs w:val="20"/>
                <w:lang w:bidi="ar"/>
              </w:rPr>
              <w:fldChar w:fldCharType="separate"/>
            </w:r>
            <w:r>
              <w:rPr>
                <w:rFonts w:hint="eastAsia" w:ascii="宋体" w:hAnsi="宋体" w:eastAsia="宋体" w:cs="宋体"/>
                <w:sz w:val="20"/>
                <w:szCs w:val="20"/>
              </w:rPr>
              <w:t>3.00</w:t>
            </w:r>
            <w:r>
              <w:rPr>
                <w:rFonts w:hint="eastAsia" w:ascii="宋体" w:hAnsi="宋体" w:eastAsia="宋体" w:cs="宋体"/>
                <w:color w:val="000000"/>
                <w:kern w:val="0"/>
                <w:sz w:val="20"/>
                <w:szCs w:val="20"/>
                <w:lang w:bidi="ar"/>
              </w:rPr>
              <w:fldChar w:fldCharType="end"/>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3.00</w:t>
            </w:r>
          </w:p>
        </w:tc>
      </w:tr>
      <w:tr>
        <w:tblPrEx>
          <w:tblCellMar>
            <w:top w:w="0" w:type="dxa"/>
            <w:left w:w="108" w:type="dxa"/>
            <w:bottom w:w="0" w:type="dxa"/>
            <w:right w:w="108" w:type="dxa"/>
          </w:tblCellMar>
        </w:tblPrEx>
        <w:trPr>
          <w:trHeight w:val="684" w:hRule="atLeast"/>
          <w:jc w:val="center"/>
        </w:trPr>
        <w:tc>
          <w:tcPr>
            <w:tcW w:w="670"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ascii="宋体" w:hAnsi="宋体" w:eastAsia="宋体" w:cs="宋体"/>
                <w:color w:val="000000"/>
                <w:sz w:val="20"/>
                <w:szCs w:val="20"/>
              </w:rPr>
            </w:pPr>
          </w:p>
        </w:tc>
        <w:tc>
          <w:tcPr>
            <w:tcW w:w="103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ascii="宋体" w:hAnsi="宋体" w:eastAsia="宋体" w:cs="宋体"/>
                <w:color w:val="000000"/>
                <w:sz w:val="20"/>
                <w:szCs w:val="20"/>
              </w:rPr>
            </w:pPr>
          </w:p>
        </w:tc>
        <w:tc>
          <w:tcPr>
            <w:tcW w:w="181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ascii="宋体" w:hAnsi="宋体" w:eastAsia="宋体" w:cs="宋体"/>
                <w:color w:val="000000"/>
                <w:sz w:val="20"/>
                <w:szCs w:val="20"/>
              </w:rPr>
            </w:pPr>
          </w:p>
        </w:tc>
        <w:tc>
          <w:tcPr>
            <w:tcW w:w="281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ascii="宋体" w:hAnsi="宋体" w:eastAsia="宋体" w:cs="宋体"/>
                <w:color w:val="000000"/>
                <w:kern w:val="0"/>
                <w:sz w:val="20"/>
                <w:szCs w:val="20"/>
                <w:lang w:bidi="ar"/>
              </w:rPr>
              <w:t>评价配合情况满意度（2分）</w:t>
            </w:r>
          </w:p>
        </w:tc>
        <w:tc>
          <w:tcPr>
            <w:tcW w:w="8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2.00</w:t>
            </w:r>
          </w:p>
        </w:tc>
        <w:tc>
          <w:tcPr>
            <w:tcW w:w="7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516" w:hRule="atLeast"/>
          <w:jc w:val="center"/>
        </w:trPr>
        <w:tc>
          <w:tcPr>
            <w:tcW w:w="6335"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ascii="宋体" w:hAnsi="宋体" w:eastAsia="宋体" w:cs="宋体"/>
                <w:b/>
                <w:bCs/>
                <w:color w:val="000000"/>
                <w:sz w:val="20"/>
                <w:szCs w:val="20"/>
              </w:rPr>
            </w:pPr>
            <w:r>
              <w:rPr>
                <w:rFonts w:ascii="宋体" w:hAnsi="宋体" w:eastAsia="宋体" w:cs="宋体"/>
                <w:b/>
                <w:bCs/>
                <w:color w:val="000000"/>
                <w:kern w:val="0"/>
                <w:sz w:val="20"/>
                <w:szCs w:val="20"/>
                <w:lang w:bidi="ar"/>
              </w:rPr>
              <w:t>本项合计</w:t>
            </w:r>
          </w:p>
        </w:tc>
        <w:tc>
          <w:tcPr>
            <w:tcW w:w="8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20.00</w:t>
            </w:r>
          </w:p>
        </w:tc>
        <w:tc>
          <w:tcPr>
            <w:tcW w:w="73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20.00</w:t>
            </w:r>
          </w:p>
        </w:tc>
      </w:tr>
    </w:tbl>
    <w:p>
      <w:pPr>
        <w:pStyle w:val="5"/>
        <w:ind w:firstLine="643"/>
        <w:rPr>
          <w:rFonts w:hint="eastAsia"/>
        </w:rPr>
      </w:pPr>
      <w:r>
        <w:rPr>
          <w:rFonts w:hint="eastAsia"/>
        </w:rPr>
        <w:t>（1）经济效益</w:t>
      </w:r>
    </w:p>
    <w:p>
      <w:pPr>
        <w:ind w:firstLine="640"/>
        <w:rPr>
          <w:rFonts w:hint="eastAsia"/>
        </w:rPr>
      </w:pPr>
      <w:r>
        <w:rPr>
          <w:rFonts w:hint="eastAsia"/>
        </w:rPr>
        <w:t>发改统计局收集、整理和分析大量的经济社会数据，准确反映经济运行的状况、趋势和问题，为高新区政府制定经济政策、规划战略提供科学依据。比如：主动研究国家产业政策和投资导向，积极捕捉投资信息，主动出击，加强衔接汇报，积极为双圈重点项目争取用地、资金等要素保障，大宗物资集散分拨中心项目通过国家发改委审核，并转报自然资源部纳入中央加大建设用地保障力度国家重大项目。</w:t>
      </w:r>
    </w:p>
    <w:p>
      <w:pPr>
        <w:ind w:firstLine="640"/>
      </w:pPr>
      <w:r>
        <w:t>为企业提供行业数据和市场信息，帮助企业了解市场规模、需求趋势、竞争格局等，使其能更精准地制定生产计划、营销策略和投资决策，提高生产效率和市场竞争力，进而增加企业经济效益。</w:t>
      </w:r>
    </w:p>
    <w:p>
      <w:pPr>
        <w:ind w:firstLine="640"/>
      </w:pPr>
      <w:r>
        <w:t>基于统计数据对各</w:t>
      </w:r>
      <w:r>
        <w:rPr>
          <w:rFonts w:hint="eastAsia"/>
        </w:rPr>
        <w:t>单位</w:t>
      </w:r>
      <w:r>
        <w:t>、各行业的资源利用和产出效率进行评估，引导资金、劳动力、技术等生产要素向效率高、潜力大的领域和</w:t>
      </w:r>
      <w:r>
        <w:rPr>
          <w:rFonts w:hint="eastAsia"/>
        </w:rPr>
        <w:t>单位</w:t>
      </w:r>
      <w:r>
        <w:t>流动，提高资源配置效率，实现经济效益最大化。</w:t>
      </w:r>
    </w:p>
    <w:p>
      <w:pPr>
        <w:pStyle w:val="5"/>
        <w:ind w:firstLine="643"/>
        <w:rPr>
          <w:rFonts w:hint="eastAsia"/>
        </w:rPr>
      </w:pPr>
      <w:r>
        <w:rPr>
          <w:rFonts w:hint="eastAsia"/>
        </w:rPr>
        <w:t>（2）社会效益</w:t>
      </w:r>
    </w:p>
    <w:p>
      <w:pPr>
        <w:ind w:firstLine="640"/>
        <w:rPr>
          <w:rFonts w:hint="eastAsia"/>
        </w:rPr>
      </w:pPr>
      <w:r>
        <w:rPr>
          <w:rFonts w:hint="eastAsia"/>
        </w:rPr>
        <w:t>发改统计局</w:t>
      </w:r>
      <w:r>
        <w:t>提供的人口、就业、治安等数据有助于合理安排警力、优化</w:t>
      </w:r>
      <w:r>
        <w:rPr>
          <w:rFonts w:hint="eastAsia"/>
        </w:rPr>
        <w:t>园区</w:t>
      </w:r>
      <w:r>
        <w:t>管理、提高公共安全水平。在公共服务方面，教育、卫生、文化等领域的统计数据可以帮助</w:t>
      </w:r>
      <w:r>
        <w:rPr>
          <w:rFonts w:hint="eastAsia"/>
        </w:rPr>
        <w:t>园区</w:t>
      </w:r>
      <w:r>
        <w:t>评估服务质量和需求，优化资源配置，提高公共服务的供给效率和质量，更好地满足人民群众对美好生活的向往</w:t>
      </w:r>
      <w:r>
        <w:rPr>
          <w:rFonts w:hint="eastAsia"/>
        </w:rPr>
        <w:t>。</w:t>
      </w:r>
    </w:p>
    <w:p>
      <w:pPr>
        <w:ind w:firstLine="640"/>
        <w:rPr>
          <w:rFonts w:hint="eastAsia"/>
        </w:rPr>
      </w:pPr>
      <w:r>
        <w:rPr>
          <w:rFonts w:hint="eastAsia"/>
        </w:rPr>
        <w:t>发改统计局定期发布的统计信息和数据，如国民经济和社会发展统计公报、人口普查数据等，能够让社会公众了解国家和地区的发展情况、趋势以及与自身生活息息相关的信息。这不仅提高了公众对社会经济事务的认知度，还能增强公众对政府工作的监督和参与意识。公众可以基于这些信息，参与公共事务的讨论和决策，促进社会民主的发展。</w:t>
      </w:r>
    </w:p>
    <w:p>
      <w:pPr>
        <w:ind w:firstLine="640"/>
        <w:rPr>
          <w:rFonts w:hint="eastAsia"/>
        </w:rPr>
      </w:pPr>
      <w:r>
        <w:rPr>
          <w:rFonts w:hint="eastAsia"/>
        </w:rPr>
        <w:t>通过对经济数据的统计和分析，发改统计局可以及时发现经济运行中的问题和风险，如经济过热、通货膨胀、产能过剩等，并为政府和企业提供预警和建议。政府可以据此采取相应的调控措施，避免经济出现大的波动；企业也可以根据市场信息调整生产经营策略，提高经济效益。此外，统计局还可以对新兴产业、科技创新等方面进行统计和研究，为推动经济转型升级和创新发展提供支持。</w:t>
      </w:r>
    </w:p>
    <w:p>
      <w:pPr>
        <w:pStyle w:val="5"/>
        <w:ind w:firstLine="643"/>
        <w:rPr>
          <w:rFonts w:hint="eastAsia"/>
        </w:rPr>
      </w:pPr>
      <w:r>
        <w:rPr>
          <w:rFonts w:hint="eastAsia"/>
        </w:rPr>
        <w:t>（3）可持续影响</w:t>
      </w:r>
    </w:p>
    <w:p>
      <w:pPr>
        <w:ind w:firstLine="640"/>
        <w:rPr>
          <w:rFonts w:hint="eastAsia" w:ascii="仿宋" w:hAnsi="仿宋" w:cs="仿宋"/>
          <w:szCs w:val="32"/>
          <w:shd w:val="clear" w:color="auto" w:fill="FFFFFF"/>
        </w:rPr>
      </w:pPr>
      <w:r>
        <w:rPr>
          <w:rFonts w:hint="eastAsia" w:ascii="仿宋" w:hAnsi="仿宋" w:cs="仿宋"/>
          <w:szCs w:val="32"/>
        </w:rPr>
        <w:t>发改统计局长期对各产业的数据监测有助于发现产业发展的趋势和问题，</w:t>
      </w:r>
      <w:r>
        <w:rPr>
          <w:rFonts w:hint="eastAsia" w:ascii="仿宋" w:hAnsi="仿宋" w:cs="仿宋"/>
          <w:szCs w:val="32"/>
          <w:shd w:val="clear" w:color="auto" w:fill="FFFFFF"/>
        </w:rPr>
        <w:t>对园区产业发展进行科学规划和精准引导，为未来产业的持续升级和拓展奠定了基础，通过明确产业定位和发展方向，吸引更多优质企业入驻，形成产业集聚效应，促进经济的持续增长。</w:t>
      </w:r>
    </w:p>
    <w:p>
      <w:pPr>
        <w:ind w:firstLine="640"/>
        <w:rPr>
          <w:rFonts w:hint="eastAsia" w:ascii="仿宋" w:hAnsi="仿宋" w:cs="仿宋"/>
          <w:szCs w:val="32"/>
        </w:rPr>
      </w:pPr>
      <w:r>
        <w:rPr>
          <w:rFonts w:hint="eastAsia" w:ascii="仿宋" w:hAnsi="仿宋" w:cs="仿宋"/>
          <w:szCs w:val="32"/>
          <w:shd w:val="clear" w:color="auto" w:fill="FFFFFF"/>
        </w:rPr>
        <w:t>积极推进重大项目建设，确保项目按时完工并投产达效。这些项目将为园区带来持续的经济收益和就业机会，推动经济的稳定增长。</w:t>
      </w:r>
    </w:p>
    <w:p>
      <w:pPr>
        <w:pStyle w:val="5"/>
        <w:ind w:firstLine="643"/>
        <w:rPr>
          <w:rFonts w:hint="eastAsia"/>
        </w:rPr>
      </w:pPr>
      <w:r>
        <w:rPr>
          <w:rFonts w:hint="eastAsia"/>
        </w:rPr>
        <w:t>（4）满意度指标</w:t>
      </w:r>
    </w:p>
    <w:p>
      <w:pPr>
        <w:widowControl/>
        <w:ind w:firstLine="640"/>
        <w:rPr>
          <w:rFonts w:hint="eastAsia" w:ascii="仿宋" w:hAnsi="仿宋" w:cs="仿宋"/>
          <w:szCs w:val="32"/>
        </w:rPr>
      </w:pPr>
      <w:r>
        <w:rPr>
          <w:rFonts w:hint="eastAsia" w:ascii="仿宋" w:hAnsi="仿宋" w:cs="仿宋"/>
          <w:color w:val="000000"/>
          <w:kern w:val="0"/>
          <w:szCs w:val="32"/>
          <w:lang w:bidi="ar"/>
        </w:rPr>
        <w:t>1）服务对象满意度</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针对发改统计局的职能和工作内容，结合发改统计局发展服务政策，设计了本次绩效评价满意度指标调查的问卷。调查问卷采用无记名的形式，共计设计10个问题，问题内容涵盖了宣传本地投资政策、产业优势</w:t>
      </w:r>
      <w:r>
        <w:rPr>
          <w:rFonts w:hint="eastAsia" w:ascii="仿宋" w:hAnsi="仿宋" w:cs="仿宋"/>
          <w:kern w:val="0"/>
          <w:szCs w:val="32"/>
          <w:lang w:bidi="ar"/>
        </w:rPr>
        <w:t>、政务公开工作、扩大影响力和改善营商环境，对招商引资的政策支持、资金支持和服务机制、在解决服务对象反映强烈的热点、难点、焦点问题、经济区位现状、发展政策和前景展望等方面。为方便被调查人填写问卷，调查问卷最大程度上</w:t>
      </w:r>
      <w:r>
        <w:rPr>
          <w:rFonts w:hint="eastAsia" w:ascii="仿宋" w:hAnsi="仿宋" w:cs="仿宋"/>
          <w:color w:val="000000"/>
          <w:kern w:val="0"/>
          <w:szCs w:val="32"/>
          <w:lang w:bidi="ar"/>
        </w:rPr>
        <w:t>减少文字填写内容，每个问题增加预设答案选项供直接选择，选项统一设置为积极印象由高到低5个等级，评价量化分的设定为从左至右依次递减：10分、8分、6分、2分和0分。问卷最后设计“意见和建议”项，供被调查者反馈其他想法、意见和建议。</w:t>
      </w:r>
    </w:p>
    <w:p>
      <w:pPr>
        <w:widowControl/>
        <w:ind w:firstLine="640"/>
        <w:rPr>
          <w:rFonts w:hint="eastAsia" w:ascii="仿宋" w:hAnsi="仿宋" w:cs="仿宋"/>
          <w:szCs w:val="32"/>
        </w:rPr>
      </w:pPr>
      <w:r>
        <w:rPr>
          <w:rFonts w:hint="eastAsia" w:ascii="仿宋" w:hAnsi="仿宋" w:cs="仿宋"/>
          <w:color w:val="000000"/>
          <w:kern w:val="0"/>
          <w:szCs w:val="32"/>
          <w:lang w:bidi="ar"/>
        </w:rPr>
        <w:t>本次调查主要针对受益对象、社会群众和发改统计局工作人员三类群体，为保障调查的全面性和客观性，受益对象和群众占比65</w:t>
      </w:r>
      <w:r>
        <w:rPr>
          <w:rFonts w:hint="eastAsia" w:ascii="仿宋" w:hAnsi="仿宋" w:cs="仿宋"/>
          <w:color w:val="000000"/>
          <w:kern w:val="0"/>
          <w:szCs w:val="32"/>
          <w:lang w:val="en-US" w:eastAsia="zh-CN" w:bidi="ar"/>
        </w:rPr>
        <w:t>.00</w:t>
      </w:r>
      <w:r>
        <w:rPr>
          <w:rFonts w:hint="eastAsia" w:ascii="仿宋" w:hAnsi="仿宋" w:cs="仿宋"/>
          <w:color w:val="000000"/>
          <w:kern w:val="0"/>
          <w:szCs w:val="32"/>
          <w:lang w:bidi="ar"/>
        </w:rPr>
        <w:t>%，发改统计局工作人员占比35</w:t>
      </w:r>
      <w:r>
        <w:rPr>
          <w:rFonts w:hint="eastAsia" w:ascii="仿宋" w:hAnsi="仿宋" w:cs="仿宋"/>
          <w:color w:val="000000"/>
          <w:kern w:val="0"/>
          <w:szCs w:val="32"/>
          <w:lang w:val="en-US" w:eastAsia="zh-CN" w:bidi="ar"/>
        </w:rPr>
        <w:t>.00</w:t>
      </w:r>
      <w:r>
        <w:rPr>
          <w:rFonts w:hint="eastAsia" w:ascii="仿宋" w:hAnsi="仿宋" w:cs="仿宋"/>
          <w:color w:val="000000"/>
          <w:kern w:val="0"/>
          <w:szCs w:val="32"/>
          <w:lang w:bidi="ar"/>
        </w:rPr>
        <w:t>%。共进行了3次满意度调查，调查地方分别为：商场、发改统计局、园区周边农贸市场。共计发放调查问卷30份，回收30份。经过对回收问卷统计，确定有效问卷为30份。经统计，最高分100分，最低分88分，平均分数95.50分，本次满意度指标综合得分为95.50分（满分100分）。</w:t>
      </w:r>
    </w:p>
    <w:p>
      <w:pPr>
        <w:widowControl/>
        <w:ind w:firstLine="640"/>
        <w:rPr>
          <w:rFonts w:hint="eastAsia" w:ascii="仿宋" w:hAnsi="仿宋" w:cs="仿宋"/>
          <w:szCs w:val="32"/>
        </w:rPr>
      </w:pPr>
      <w:r>
        <w:rPr>
          <w:rFonts w:hint="eastAsia" w:ascii="仿宋" w:hAnsi="仿宋" w:cs="仿宋"/>
          <w:color w:val="000000"/>
          <w:kern w:val="0"/>
          <w:szCs w:val="32"/>
          <w:lang w:bidi="ar"/>
        </w:rPr>
        <w:t>2）评价配合情况满意度</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次绩效评价工作得到发改统计局全力支持，部门领导统一部署，组织人员布置了工作场地，选派了专门的人员负责协调工作。特别指示财务部门和业务部门积极配合，做到安排专人负责联系协调；各组室和下属单位人员积极准备并提供了资料，资料相对较为齐全，少部分资料提供有困难的也能克服难通过其他方式搜寻后提供；资料报送及时，准备充分，资料的及时有效提供，保证评价小组的绩效评价工作顺利</w:t>
      </w:r>
      <w:r>
        <w:rPr>
          <w:rFonts w:hint="eastAsia"/>
        </w:rPr>
        <w:t>开展</w:t>
      </w:r>
      <w:r>
        <w:rPr>
          <w:rFonts w:hint="eastAsia" w:ascii="仿宋" w:hAnsi="仿宋" w:cs="仿宋"/>
          <w:color w:val="000000"/>
          <w:kern w:val="0"/>
          <w:szCs w:val="32"/>
          <w:lang w:bidi="ar"/>
        </w:rPr>
        <w:t>。</w:t>
      </w:r>
    </w:p>
    <w:p>
      <w:pPr>
        <w:pStyle w:val="2"/>
        <w:ind w:firstLine="640"/>
        <w:rPr>
          <w:rFonts w:hint="eastAsia"/>
        </w:rPr>
      </w:pPr>
      <w:bookmarkStart w:id="205" w:name="_Toc14861"/>
      <w:r>
        <w:rPr>
          <w:rFonts w:hint="eastAsia"/>
        </w:rPr>
        <w:t>六、主要经验及做法和存在问题及建议</w:t>
      </w:r>
      <w:bookmarkEnd w:id="205"/>
    </w:p>
    <w:p>
      <w:pPr>
        <w:pStyle w:val="3"/>
        <w:ind w:firstLine="643"/>
        <w:rPr>
          <w:rFonts w:hint="eastAsia"/>
        </w:rPr>
      </w:pPr>
      <w:bookmarkStart w:id="206" w:name="_Toc14563"/>
      <w:bookmarkStart w:id="207" w:name="_Toc28832"/>
      <w:bookmarkStart w:id="208" w:name="_Toc9238"/>
      <w:bookmarkStart w:id="209" w:name="_Toc10012"/>
      <w:bookmarkStart w:id="210" w:name="_Toc23880"/>
      <w:r>
        <w:rPr>
          <w:rFonts w:hint="eastAsia"/>
        </w:rPr>
        <w:t>（一）存在的</w:t>
      </w:r>
      <w:bookmarkStart w:id="211" w:name="_Hlt456005850"/>
      <w:r>
        <w:rPr>
          <w:rFonts w:hint="eastAsia"/>
        </w:rPr>
        <w:t>问</w:t>
      </w:r>
      <w:bookmarkEnd w:id="211"/>
      <w:r>
        <w:rPr>
          <w:rFonts w:hint="eastAsia"/>
        </w:rPr>
        <w:t>题</w:t>
      </w:r>
      <w:bookmarkEnd w:id="206"/>
      <w:bookmarkEnd w:id="207"/>
      <w:bookmarkEnd w:id="208"/>
      <w:bookmarkEnd w:id="209"/>
      <w:bookmarkEnd w:id="210"/>
    </w:p>
    <w:p>
      <w:pPr>
        <w:pStyle w:val="4"/>
        <w:ind w:firstLine="643"/>
        <w:rPr>
          <w:rFonts w:hint="eastAsia"/>
        </w:rPr>
      </w:pPr>
      <w:bookmarkStart w:id="212" w:name="_Toc22848"/>
      <w:r>
        <w:rPr>
          <w:rFonts w:hint="eastAsia"/>
        </w:rPr>
        <w:t>1.</w:t>
      </w:r>
      <w:bookmarkEnd w:id="212"/>
      <w:r>
        <w:rPr>
          <w:rFonts w:hint="eastAsia"/>
        </w:rPr>
        <w:t>预算编制不科学</w:t>
      </w:r>
    </w:p>
    <w:p>
      <w:pPr>
        <w:ind w:firstLine="640"/>
        <w:rPr>
          <w:rFonts w:hint="eastAsia" w:ascii="仿宋" w:hAnsi="仿宋" w:cs="仿宋"/>
        </w:rPr>
      </w:pPr>
      <w:r>
        <w:rPr>
          <w:rFonts w:hint="eastAsia" w:ascii="仿宋" w:hAnsi="仿宋" w:cs="仿宋"/>
        </w:rPr>
        <w:t>年初预算数和调整预算数及实际执行数额部分项存在偏差较大，预算调整额较大，如：年初人员经费预算142.87万元，调整为42.78万元，调整率70.00%，项目工作经费及搭建粮食应急供应系统费用，年初预算100.00万元，经调整为33.12万元，调整率66.88%。反映年初预算编制不够科学准确，不能准确预判预估年度支出事项。</w:t>
      </w:r>
    </w:p>
    <w:p>
      <w:pPr>
        <w:pStyle w:val="4"/>
        <w:ind w:firstLine="643"/>
        <w:rPr>
          <w:rFonts w:hint="eastAsia"/>
        </w:rPr>
      </w:pPr>
      <w:r>
        <w:rPr>
          <w:rFonts w:hint="eastAsia"/>
        </w:rPr>
        <w:t>2.绩效目标管理不足</w:t>
      </w:r>
    </w:p>
    <w:p>
      <w:pPr>
        <w:ind w:firstLine="640"/>
        <w:rPr>
          <w:rFonts w:ascii="仿宋" w:hAnsi="仿宋" w:cs="仿宋"/>
          <w:szCs w:val="32"/>
        </w:rPr>
      </w:pPr>
      <w:r>
        <w:rPr>
          <w:rFonts w:hint="eastAsia" w:ascii="仿宋" w:hAnsi="仿宋" w:cs="仿宋"/>
          <w:szCs w:val="32"/>
        </w:rPr>
        <w:t>部门绩效目标设置不够完备。部门整体支出绩效目标表中：“搭建粮食应急供应体系”，“年底之前”是时效指标，不是数量指标；对于项目支出，虽然设立了项目绩效目标，但部分指标设置不够明确或未设置。如2023年第五次经济普查相关费用项目，未设置绩效目标；招商引资政策质量指标为：招引客商所属行业定性指标：工业、服务业、建筑业，不能确定是否有这三个行业就是优，判断标准不够具体、不明确。</w:t>
      </w:r>
    </w:p>
    <w:p>
      <w:pPr>
        <w:pStyle w:val="4"/>
        <w:ind w:firstLine="643"/>
        <w:rPr>
          <w:rFonts w:hint="eastAsia"/>
        </w:rPr>
      </w:pPr>
      <w:bookmarkStart w:id="213" w:name="_Toc31746"/>
      <w:r>
        <w:rPr>
          <w:rFonts w:hint="eastAsia"/>
        </w:rPr>
        <w:t>3.固定资产及物料管理</w:t>
      </w:r>
      <w:bookmarkEnd w:id="213"/>
    </w:p>
    <w:p>
      <w:pPr>
        <w:ind w:firstLine="640"/>
      </w:pPr>
      <w:r>
        <w:rPr>
          <w:rFonts w:hint="eastAsia"/>
        </w:rPr>
        <w:t>无固定资产管理制度。相关管理制度不健全，未对固定资产进行定期盘点工作。</w:t>
      </w:r>
    </w:p>
    <w:p>
      <w:pPr>
        <w:ind w:firstLine="640"/>
        <w:rPr>
          <w:rFonts w:hint="eastAsia"/>
        </w:rPr>
      </w:pPr>
      <w:r>
        <w:rPr>
          <w:rFonts w:hint="eastAsia"/>
        </w:rPr>
        <w:t>未做到账实相符，固定资产账目不准确，未能全面客观如实反映单位资产信息情况。评价组发现单位存在部分资产未入账，未纳入财务账，不明确价值，存在资产监管漏洞。部门决算报告，财务报表均未显示出这些资产的价值。</w:t>
      </w:r>
    </w:p>
    <w:p>
      <w:pPr>
        <w:ind w:firstLine="640"/>
        <w:rPr>
          <w:rFonts w:hint="eastAsia"/>
        </w:rPr>
      </w:pPr>
      <w:r>
        <w:rPr>
          <w:rFonts w:hint="eastAsia"/>
        </w:rPr>
        <w:t>物料领用未建立领购台账。</w:t>
      </w:r>
      <w:r>
        <w:rPr>
          <w:rFonts w:hint="eastAsia" w:ascii="仿宋" w:hAnsi="仿宋" w:cs="仿宋"/>
        </w:rPr>
        <w:t>3月13日记账30</w:t>
      </w:r>
      <w:r>
        <w:rPr>
          <w:rFonts w:hint="eastAsia"/>
        </w:rPr>
        <w:t>号凭证，办公用品购买无入库、领用、发出规范。</w:t>
      </w:r>
    </w:p>
    <w:p>
      <w:pPr>
        <w:pStyle w:val="4"/>
        <w:ind w:firstLine="643"/>
        <w:rPr>
          <w:rFonts w:hint="eastAsia"/>
        </w:rPr>
      </w:pPr>
      <w:bookmarkStart w:id="214" w:name="_Toc21035"/>
      <w:r>
        <w:rPr>
          <w:rFonts w:hint="eastAsia"/>
        </w:rPr>
        <w:t>4.财务报销管理</w:t>
      </w:r>
      <w:bookmarkEnd w:id="214"/>
    </w:p>
    <w:p>
      <w:pPr>
        <w:ind w:firstLine="640"/>
        <w:rPr>
          <w:rFonts w:hint="eastAsia" w:ascii="仿宋" w:hAnsi="仿宋" w:cs="仿宋"/>
          <w:kern w:val="0"/>
          <w:szCs w:val="32"/>
          <w:lang w:bidi="ar"/>
        </w:rPr>
      </w:pPr>
      <w:r>
        <w:rPr>
          <w:rFonts w:hint="eastAsia" w:ascii="仿宋" w:hAnsi="仿宋" w:cs="仿宋"/>
          <w:kern w:val="0"/>
          <w:szCs w:val="32"/>
          <w:lang w:bidi="ar"/>
        </w:rPr>
        <w:t>入账凭据不合规，报账资料审核不够严格，存在报账票据缺失的情况。如劳务派遣支出无发票，与个体工商户业务交易资金未转入供应商单位账户，如购酒的支出很多次但都是转个人账户。如：7月12日记账2号凭证，招商引资餐费转入私人个人账户，7月记账9号凭证私人餐费个人账户收款。</w:t>
      </w:r>
      <w:r>
        <w:rPr>
          <w:rFonts w:hint="eastAsia" w:ascii="仿宋" w:hAnsi="仿宋" w:cs="仿宋"/>
          <w:szCs w:val="32"/>
        </w:rPr>
        <w:t>3月记账18号凭证，广告制作，比价单位公章不是上网印章；</w:t>
      </w:r>
      <w:r>
        <w:rPr>
          <w:rFonts w:hint="eastAsia" w:ascii="仿宋" w:hAnsi="仿宋" w:cs="仿宋"/>
          <w:kern w:val="0"/>
          <w:szCs w:val="32"/>
          <w:lang w:bidi="ar"/>
        </w:rPr>
        <w:t>所有记账凭证下方信息如会计主管、审核、记账、制单、出纳等未落款具体操作人员，影响了会计信息质量的真实性。会计信息质量不能如实可靠反映记账事实。</w:t>
      </w:r>
      <w:bookmarkStart w:id="215" w:name="_Toc17613"/>
    </w:p>
    <w:bookmarkEnd w:id="215"/>
    <w:p>
      <w:pPr>
        <w:pStyle w:val="3"/>
        <w:ind w:firstLine="643"/>
        <w:rPr>
          <w:rFonts w:hint="eastAsia"/>
        </w:rPr>
      </w:pPr>
      <w:bookmarkStart w:id="216" w:name="_Toc13528"/>
      <w:bookmarkStart w:id="217" w:name="_Toc3274"/>
      <w:bookmarkStart w:id="218" w:name="_Toc17599"/>
      <w:bookmarkStart w:id="219" w:name="_Toc15429"/>
      <w:bookmarkStart w:id="220" w:name="_Toc10885"/>
      <w:r>
        <w:rPr>
          <w:rFonts w:hint="eastAsia"/>
        </w:rPr>
        <w:t>（二）建议和改进举措</w:t>
      </w:r>
      <w:bookmarkEnd w:id="216"/>
      <w:bookmarkEnd w:id="217"/>
      <w:bookmarkEnd w:id="218"/>
      <w:bookmarkEnd w:id="219"/>
      <w:bookmarkEnd w:id="220"/>
      <w:bookmarkStart w:id="221" w:name="_Toc7095"/>
    </w:p>
    <w:p>
      <w:pPr>
        <w:pStyle w:val="4"/>
        <w:ind w:firstLine="643"/>
        <w:rPr>
          <w:rFonts w:hint="eastAsia"/>
        </w:rPr>
      </w:pPr>
      <w:r>
        <w:rPr>
          <w:rFonts w:hint="eastAsia"/>
        </w:rPr>
        <w:t>1.</w:t>
      </w:r>
      <w:bookmarkEnd w:id="221"/>
      <w:r>
        <w:rPr>
          <w:rFonts w:hint="eastAsia"/>
        </w:rPr>
        <w:t>加强预算绩效管理</w:t>
      </w:r>
    </w:p>
    <w:p>
      <w:pPr>
        <w:pStyle w:val="5"/>
        <w:ind w:firstLine="643"/>
        <w:rPr>
          <w:rFonts w:hint="eastAsia"/>
        </w:rPr>
      </w:pPr>
      <w:r>
        <w:rPr>
          <w:rFonts w:hint="eastAsia"/>
        </w:rPr>
        <w:t>（1）加大预算执行管理力度</w:t>
      </w:r>
    </w:p>
    <w:p>
      <w:pPr>
        <w:ind w:firstLine="640"/>
        <w:rPr>
          <w:rFonts w:hint="eastAsia" w:ascii="仿宋" w:hAnsi="仿宋" w:cs="仿宋"/>
          <w:szCs w:val="32"/>
        </w:rPr>
      </w:pPr>
      <w:r>
        <w:rPr>
          <w:rFonts w:hint="eastAsia" w:ascii="仿宋" w:hAnsi="仿宋" w:cs="仿宋"/>
          <w:szCs w:val="32"/>
        </w:rPr>
        <w:t>一是提升预算管理科学性，精细化编制项目经费预算，项目申报前组织业务专家进行研讨，充分论证项目的科学性和可行性，提升预算编制的合理性，杜绝违反政策法规的项目通过审批；</w:t>
      </w:r>
    </w:p>
    <w:p>
      <w:pPr>
        <w:ind w:firstLine="640"/>
        <w:rPr>
          <w:rFonts w:hint="eastAsia" w:ascii="仿宋" w:hAnsi="仿宋" w:cs="仿宋"/>
          <w:szCs w:val="32"/>
        </w:rPr>
      </w:pPr>
      <w:r>
        <w:rPr>
          <w:rFonts w:hint="eastAsia" w:ascii="仿宋" w:hAnsi="仿宋" w:cs="仿宋"/>
          <w:szCs w:val="32"/>
        </w:rPr>
        <w:t>二是严格按照项目计划进行，加强项目执行进度情况报告，及时进行项目成果总结；</w:t>
      </w:r>
    </w:p>
    <w:p>
      <w:pPr>
        <w:pStyle w:val="9"/>
        <w:ind w:firstLine="640"/>
        <w:rPr>
          <w:rFonts w:hint="eastAsia" w:ascii="仿宋" w:hAnsi="仿宋" w:eastAsia="仿宋" w:cs="仿宋"/>
          <w:sz w:val="32"/>
          <w:szCs w:val="32"/>
        </w:rPr>
      </w:pPr>
      <w:r>
        <w:rPr>
          <w:rFonts w:hint="eastAsia" w:ascii="仿宋" w:hAnsi="仿宋" w:eastAsia="仿宋" w:cs="仿宋"/>
          <w:sz w:val="32"/>
          <w:szCs w:val="32"/>
        </w:rPr>
        <w:t>三是加强对项目的监督指导工作，对于当年确实无法支付的项目要及时调整预算用途，提高预算执行管理能力；</w:t>
      </w:r>
    </w:p>
    <w:p>
      <w:pPr>
        <w:pStyle w:val="9"/>
        <w:ind w:firstLine="640"/>
        <w:rPr>
          <w:rFonts w:hint="eastAsia" w:ascii="仿宋" w:hAnsi="仿宋" w:eastAsia="仿宋" w:cs="仿宋"/>
          <w:sz w:val="32"/>
          <w:szCs w:val="32"/>
        </w:rPr>
      </w:pPr>
      <w:r>
        <w:rPr>
          <w:rFonts w:hint="eastAsia" w:ascii="仿宋" w:hAnsi="仿宋" w:eastAsia="仿宋" w:cs="仿宋"/>
          <w:sz w:val="32"/>
          <w:szCs w:val="32"/>
        </w:rPr>
        <w:t>四是提升预算管理意识，落实绩效评价责任，严格按照预算编制的相关制度和要求，进一步提高预算编制的科学性、合理性、严谨性和可控性。</w:t>
      </w:r>
    </w:p>
    <w:p>
      <w:pPr>
        <w:pStyle w:val="5"/>
        <w:ind w:firstLine="643"/>
        <w:rPr>
          <w:rFonts w:hint="eastAsia"/>
        </w:rPr>
      </w:pPr>
      <w:r>
        <w:rPr>
          <w:rFonts w:hint="eastAsia"/>
        </w:rPr>
        <w:t>（2）提升预算绩效管理能力</w:t>
      </w:r>
    </w:p>
    <w:p>
      <w:pPr>
        <w:ind w:firstLine="640"/>
        <w:rPr>
          <w:rFonts w:hint="eastAsia" w:ascii="仿宋" w:hAnsi="仿宋" w:cs="仿宋"/>
          <w:szCs w:val="32"/>
        </w:rPr>
      </w:pPr>
      <w:r>
        <w:rPr>
          <w:rFonts w:hint="eastAsia" w:ascii="仿宋" w:hAnsi="仿宋" w:cs="仿宋"/>
          <w:szCs w:val="32"/>
        </w:rPr>
        <w:t>建立科学合理的绩效指标框架。健全绩效指标和规范体系，采用科学合理的评价指标和评价规范。</w:t>
      </w:r>
    </w:p>
    <w:p>
      <w:pPr>
        <w:ind w:firstLine="640"/>
        <w:rPr>
          <w:rFonts w:hint="eastAsia" w:ascii="仿宋" w:hAnsi="仿宋" w:cs="仿宋"/>
          <w:szCs w:val="32"/>
        </w:rPr>
      </w:pPr>
      <w:r>
        <w:rPr>
          <w:rFonts w:hint="eastAsia" w:ascii="仿宋" w:hAnsi="仿宋" w:cs="仿宋"/>
          <w:szCs w:val="32"/>
        </w:rPr>
        <w:t>加强绩效目标管理，对业务部门进行项目绩效目标申报、绩效目标实施与检查、绩效目标自评等全过程的业务培训，包括指标值的选取与设置、过程的监控和事后的绩效目标评价等内容，增强预算单位绩效目标管理意识和能力。</w:t>
      </w:r>
    </w:p>
    <w:p>
      <w:pPr>
        <w:pStyle w:val="4"/>
        <w:ind w:firstLine="643"/>
        <w:rPr>
          <w:rFonts w:hint="eastAsia"/>
        </w:rPr>
      </w:pPr>
      <w:bookmarkStart w:id="222" w:name="_Toc20478"/>
      <w:r>
        <w:rPr>
          <w:rFonts w:hint="eastAsia"/>
        </w:rPr>
        <w:t>2.加强固定资产管理工作</w:t>
      </w:r>
      <w:bookmarkEnd w:id="222"/>
    </w:p>
    <w:p>
      <w:pPr>
        <w:widowControl/>
        <w:ind w:firstLine="640"/>
        <w:rPr>
          <w:rFonts w:hint="eastAsia" w:ascii="仿宋" w:hAnsi="仿宋" w:cs="仿宋"/>
          <w:kern w:val="0"/>
          <w:szCs w:val="32"/>
          <w:lang w:bidi="ar"/>
        </w:rPr>
      </w:pPr>
      <w:r>
        <w:rPr>
          <w:rFonts w:hint="eastAsia" w:ascii="仿宋" w:hAnsi="仿宋" w:cs="仿宋"/>
          <w:kern w:val="0"/>
          <w:szCs w:val="32"/>
          <w:lang w:bidi="ar"/>
        </w:rPr>
        <w:t>建议完善单位国有资产管理办法，强化和落实资产管理责任；建议单位每季度、半年和年末组织开展资产清查，摸清行政事业单位国有资产家底，清点账外资产，及时调整账目，保障资产账账、账实相符，盘活闲置资产，提高资产利用率。</w:t>
      </w:r>
    </w:p>
    <w:p>
      <w:pPr>
        <w:pStyle w:val="4"/>
        <w:ind w:firstLine="643"/>
        <w:rPr>
          <w:rFonts w:hint="eastAsia"/>
        </w:rPr>
      </w:pPr>
      <w:bookmarkStart w:id="223" w:name="_Toc3776"/>
      <w:r>
        <w:rPr>
          <w:rFonts w:hint="eastAsia"/>
        </w:rPr>
        <w:t>3.提高制度执行力</w:t>
      </w:r>
      <w:bookmarkEnd w:id="223"/>
    </w:p>
    <w:p>
      <w:pPr>
        <w:pStyle w:val="11"/>
        <w:ind w:firstLine="640"/>
        <w:rPr>
          <w:rFonts w:hint="eastAsia" w:ascii="仿宋" w:hAnsi="仿宋" w:cs="仿宋"/>
          <w:sz w:val="32"/>
          <w:szCs w:val="32"/>
        </w:rPr>
      </w:pPr>
      <w:r>
        <w:rPr>
          <w:rFonts w:hint="eastAsia" w:ascii="仿宋" w:hAnsi="仿宋" w:cs="仿宋"/>
          <w:kern w:val="0"/>
          <w:sz w:val="32"/>
          <w:szCs w:val="32"/>
          <w:lang w:bidi="ar"/>
        </w:rPr>
        <w:t>部门制度还不够完善，部分制度执行不到位。建议建立健全制度，加强执行机制，使制度落地生根；加强财务规范，增加督查力度，对制度执行中的重要节点和关键环节进行督查，保证制度能够顺利执行；加强宣传和教育，让部门员工认识到制度执行的重要性和必要性；给予制度执行者充分的激励和考核机制。</w:t>
      </w:r>
    </w:p>
    <w:p>
      <w:pPr>
        <w:pStyle w:val="2"/>
        <w:ind w:firstLine="640"/>
        <w:rPr>
          <w:rFonts w:hint="eastAsia" w:ascii="黑体" w:hAnsi="黑体" w:cs="黑体"/>
        </w:rPr>
      </w:pPr>
      <w:bookmarkStart w:id="224" w:name="_Toc12148"/>
      <w:bookmarkStart w:id="225" w:name="_Toc2700"/>
      <w:bookmarkStart w:id="226" w:name="_Toc7041"/>
      <w:bookmarkStart w:id="227" w:name="_Toc13069"/>
      <w:bookmarkStart w:id="228" w:name="_Toc1386"/>
      <w:r>
        <w:rPr>
          <w:rFonts w:hint="eastAsia" w:ascii="黑体" w:hAnsi="黑体" w:cs="黑体"/>
        </w:rPr>
        <w:fldChar w:fldCharType="begin"/>
      </w:r>
      <w:r>
        <w:rPr>
          <w:rFonts w:hint="eastAsia" w:ascii="黑体" w:hAnsi="黑体" w:cs="黑体"/>
        </w:rPr>
        <w:instrText xml:space="preserve"> HYPERLINK \l "_Toc455996735" </w:instrText>
      </w:r>
      <w:r>
        <w:rPr>
          <w:rFonts w:hint="eastAsia" w:ascii="黑体" w:hAnsi="黑体" w:cs="黑体"/>
        </w:rPr>
        <w:fldChar w:fldCharType="separate"/>
      </w:r>
      <w:r>
        <w:rPr>
          <w:rFonts w:hint="eastAsia" w:ascii="黑体" w:hAnsi="黑体" w:cs="黑体"/>
        </w:rPr>
        <w:t>七、相关附件</w:t>
      </w:r>
      <w:r>
        <w:rPr>
          <w:rFonts w:hint="eastAsia" w:ascii="黑体" w:hAnsi="黑体" w:cs="黑体"/>
        </w:rPr>
        <w:fldChar w:fldCharType="end"/>
      </w:r>
      <w:bookmarkEnd w:id="224"/>
      <w:bookmarkEnd w:id="225"/>
      <w:bookmarkEnd w:id="226"/>
      <w:bookmarkEnd w:id="227"/>
      <w:bookmarkEnd w:id="228"/>
    </w:p>
    <w:p>
      <w:pPr>
        <w:ind w:firstLine="640"/>
        <w:rPr>
          <w:rFonts w:hint="eastAsia"/>
        </w:rPr>
      </w:pPr>
      <w:r>
        <w:rPr>
          <w:rFonts w:hint="eastAsia" w:ascii="仿宋" w:hAnsi="仿宋" w:cs="仿宋"/>
          <w:kern w:val="0"/>
          <w:szCs w:val="32"/>
          <w:lang w:bidi="ar"/>
        </w:rPr>
        <w:t>附件：</w:t>
      </w:r>
      <w:r>
        <w:rPr>
          <w:rFonts w:hint="eastAsia"/>
        </w:rPr>
        <w:t>四川遂宁高新技术产业园区发展改革与统计局</w:t>
      </w:r>
      <w:r>
        <w:rPr>
          <w:rFonts w:hint="eastAsia" w:ascii="仿宋" w:hAnsi="仿宋" w:cs="仿宋"/>
        </w:rPr>
        <w:t>2023年</w:t>
      </w:r>
      <w:r>
        <w:rPr>
          <w:rFonts w:hint="eastAsia"/>
        </w:rPr>
        <w:t>度部门整体支出绩效评价指标评分表</w:t>
      </w: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25"/>
      </w:pPr>
    </w:p>
    <w:p>
      <w:pPr>
        <w:pStyle w:val="4"/>
        <w:ind w:firstLine="643"/>
        <w:rPr>
          <w:rFonts w:ascii="宋体" w:hAnsi="宋体"/>
        </w:rPr>
      </w:pPr>
    </w:p>
    <w:p>
      <w:pPr>
        <w:adjustRightInd w:val="0"/>
        <w:snapToGrid w:val="0"/>
        <w:spacing w:line="580" w:lineRule="exact"/>
        <w:ind w:firstLine="640"/>
        <w:jc w:val="left"/>
        <w:rPr>
          <w:rFonts w:hint="eastAsia" w:ascii="宋体" w:hAnsi="宋体"/>
          <w:szCs w:val="32"/>
        </w:rPr>
      </w:pPr>
    </w:p>
    <w:p>
      <w:pPr>
        <w:pStyle w:val="17"/>
        <w:spacing w:before="240" w:after="240"/>
        <w:outlineLvl w:val="9"/>
        <w:rPr>
          <w:rFonts w:hint="eastAsia" w:ascii="宋体" w:hAnsi="宋体"/>
          <w:b/>
          <w:bCs/>
          <w:szCs w:val="44"/>
        </w:rPr>
      </w:pPr>
      <w:bookmarkStart w:id="229" w:name="_Toc8381"/>
      <w:bookmarkStart w:id="230" w:name="_Toc13530"/>
      <w:bookmarkStart w:id="231" w:name="_Toc6278"/>
      <w:bookmarkStart w:id="232" w:name="_Toc18690"/>
      <w:bookmarkStart w:id="233" w:name="_Toc14837"/>
      <w:bookmarkStart w:id="234" w:name="_Toc11506"/>
      <w:bookmarkStart w:id="235" w:name="_Toc12065"/>
      <w:bookmarkStart w:id="236" w:name="_Toc2717"/>
      <w:bookmarkStart w:id="237" w:name="_Toc8962"/>
      <w:bookmarkStart w:id="238" w:name="_Toc25414"/>
      <w:bookmarkStart w:id="239" w:name="_Toc20291"/>
      <w:bookmarkStart w:id="240" w:name="_Toc14952"/>
      <w:r>
        <w:rPr>
          <w:rFonts w:hint="eastAsia" w:ascii="仿宋" w:hAnsi="仿宋" w:cs="仿宋"/>
          <w:b/>
          <w:bCs/>
          <w:szCs w:val="44"/>
        </w:rPr>
        <w:t>遂宁高新区企业发展服务中心</w:t>
      </w:r>
      <w:r>
        <w:rPr>
          <w:rFonts w:hint="eastAsia" w:ascii="宋体" w:hAnsi="宋体"/>
          <w:b/>
          <w:bCs/>
          <w:szCs w:val="44"/>
        </w:rPr>
        <w:t>202</w:t>
      </w:r>
      <w:r>
        <w:rPr>
          <w:rFonts w:hint="eastAsia" w:ascii="宋体" w:hAnsi="宋体"/>
          <w:b/>
          <w:bCs/>
          <w:szCs w:val="44"/>
          <w:lang w:val="en-US" w:eastAsia="zh-CN"/>
        </w:rPr>
        <w:t>3</w:t>
      </w:r>
      <w:r>
        <w:rPr>
          <w:rFonts w:hint="eastAsia" w:ascii="宋体" w:hAnsi="宋体"/>
          <w:b/>
          <w:bCs/>
          <w:szCs w:val="44"/>
        </w:rPr>
        <w:t>年度</w:t>
      </w:r>
      <w:bookmarkEnd w:id="229"/>
      <w:bookmarkEnd w:id="230"/>
      <w:bookmarkEnd w:id="231"/>
      <w:bookmarkEnd w:id="232"/>
      <w:bookmarkEnd w:id="233"/>
      <w:bookmarkEnd w:id="234"/>
      <w:bookmarkEnd w:id="235"/>
      <w:bookmarkEnd w:id="236"/>
      <w:bookmarkEnd w:id="237"/>
      <w:bookmarkEnd w:id="238"/>
    </w:p>
    <w:p>
      <w:pPr>
        <w:pStyle w:val="17"/>
        <w:spacing w:before="240" w:after="240"/>
        <w:outlineLvl w:val="9"/>
        <w:rPr>
          <w:rFonts w:hint="eastAsia" w:ascii="宋体" w:hAnsi="宋体"/>
          <w:b/>
          <w:bCs/>
          <w:szCs w:val="44"/>
        </w:rPr>
      </w:pPr>
      <w:bookmarkStart w:id="241" w:name="_Toc14773"/>
      <w:bookmarkStart w:id="242" w:name="_Toc26000"/>
      <w:bookmarkStart w:id="243" w:name="_Toc8792"/>
      <w:bookmarkStart w:id="244" w:name="_Toc1880"/>
      <w:bookmarkStart w:id="245" w:name="_Toc11864"/>
      <w:bookmarkStart w:id="246" w:name="_Toc24531"/>
      <w:bookmarkStart w:id="247" w:name="_Toc16132"/>
      <w:bookmarkStart w:id="248" w:name="_Toc31092"/>
      <w:bookmarkStart w:id="249" w:name="_Toc15901"/>
      <w:bookmarkStart w:id="250" w:name="_Toc16359"/>
      <w:r>
        <w:rPr>
          <w:rFonts w:hint="eastAsia" w:ascii="宋体" w:hAnsi="宋体"/>
          <w:b/>
          <w:bCs/>
          <w:szCs w:val="44"/>
        </w:rPr>
        <w:t>部门整体支出</w:t>
      </w:r>
      <w:bookmarkEnd w:id="239"/>
      <w:bookmarkEnd w:id="240"/>
      <w:bookmarkStart w:id="251" w:name="_Toc14713"/>
      <w:bookmarkStart w:id="252" w:name="_Toc15871"/>
      <w:r>
        <w:rPr>
          <w:rFonts w:hint="eastAsia" w:ascii="宋体" w:hAnsi="宋体"/>
          <w:b/>
          <w:bCs/>
          <w:szCs w:val="44"/>
        </w:rPr>
        <w:t>绩效评价报告</w:t>
      </w:r>
      <w:bookmarkEnd w:id="241"/>
      <w:bookmarkEnd w:id="242"/>
      <w:bookmarkEnd w:id="243"/>
      <w:bookmarkEnd w:id="244"/>
      <w:bookmarkEnd w:id="245"/>
      <w:bookmarkEnd w:id="246"/>
      <w:bookmarkEnd w:id="247"/>
      <w:bookmarkEnd w:id="248"/>
      <w:bookmarkEnd w:id="249"/>
      <w:bookmarkEnd w:id="250"/>
      <w:bookmarkEnd w:id="251"/>
      <w:bookmarkEnd w:id="252"/>
    </w:p>
    <w:p>
      <w:pPr>
        <w:pStyle w:val="2"/>
        <w:spacing w:beforeLines="100" w:after="240" w:afterLines="100"/>
        <w:ind w:left="0" w:leftChars="0" w:firstLine="0" w:firstLineChars="0"/>
        <w:jc w:val="center"/>
        <w:rPr>
          <w:rFonts w:hint="eastAsia" w:ascii="黑体" w:hAnsi="黑体" w:cs="黑体"/>
          <w:bCs w:val="0"/>
          <w:sz w:val="44"/>
        </w:rPr>
      </w:pPr>
      <w:bookmarkStart w:id="253" w:name="_Toc17732"/>
      <w:bookmarkStart w:id="254" w:name="_Toc23625"/>
      <w:bookmarkStart w:id="255" w:name="_Toc19587"/>
      <w:bookmarkStart w:id="256" w:name="_Toc7351"/>
      <w:bookmarkStart w:id="257" w:name="_Toc30407"/>
      <w:bookmarkStart w:id="258" w:name="_Toc4965"/>
      <w:bookmarkStart w:id="259" w:name="_Toc27304"/>
      <w:r>
        <w:rPr>
          <w:rFonts w:hint="eastAsia" w:ascii="黑体" w:hAnsi="黑体" w:cs="黑体"/>
          <w:bCs w:val="0"/>
          <w:sz w:val="44"/>
        </w:rPr>
        <w:t>摘 要</w:t>
      </w:r>
      <w:bookmarkEnd w:id="253"/>
      <w:bookmarkEnd w:id="254"/>
      <w:bookmarkEnd w:id="255"/>
      <w:bookmarkEnd w:id="256"/>
      <w:bookmarkEnd w:id="257"/>
      <w:bookmarkEnd w:id="258"/>
      <w:bookmarkEnd w:id="259"/>
    </w:p>
    <w:p>
      <w:pPr>
        <w:widowControl/>
        <w:ind w:firstLine="640"/>
        <w:jc w:val="left"/>
        <w:rPr>
          <w:rFonts w:hint="eastAsia" w:ascii="黑体" w:hAnsi="黑体" w:eastAsia="黑体" w:cs="黑体"/>
          <w:szCs w:val="32"/>
        </w:rPr>
      </w:pPr>
      <w:r>
        <w:rPr>
          <w:rFonts w:hint="eastAsia" w:ascii="黑体" w:hAnsi="黑体" w:eastAsia="黑体" w:cs="黑体"/>
          <w:color w:val="000000"/>
          <w:kern w:val="0"/>
          <w:szCs w:val="32"/>
          <w:lang w:bidi="ar"/>
        </w:rPr>
        <w:t>部门概述</w:t>
      </w:r>
    </w:p>
    <w:p>
      <w:pPr>
        <w:ind w:firstLine="640"/>
        <w:rPr>
          <w:rFonts w:hint="eastAsia" w:ascii="仿宋" w:hAnsi="仿宋" w:cs="仿宋"/>
          <w:szCs w:val="32"/>
        </w:rPr>
      </w:pPr>
      <w:r>
        <w:rPr>
          <w:rFonts w:hint="eastAsia" w:ascii="仿宋" w:hAnsi="仿宋" w:cs="仿宋"/>
          <w:color w:val="000000"/>
          <w:kern w:val="0"/>
          <w:szCs w:val="32"/>
          <w:lang w:bidi="ar"/>
        </w:rPr>
        <w:t>遂宁高新区企业发展服务中心为遂宁高新区所属正科级公益一类事业单位。内设综</w:t>
      </w:r>
      <w:r>
        <w:rPr>
          <w:rFonts w:hint="eastAsia" w:ascii="仿宋" w:hAnsi="仿宋" w:cs="仿宋"/>
          <w:szCs w:val="32"/>
          <w:lang w:val="zh-CN"/>
        </w:rPr>
        <w:t>合</w:t>
      </w:r>
      <w:r>
        <w:rPr>
          <w:rFonts w:hint="eastAsia" w:ascii="仿宋" w:hAnsi="仿宋" w:cs="仿宋"/>
          <w:szCs w:val="32"/>
        </w:rPr>
        <w:t>组</w:t>
      </w:r>
      <w:r>
        <w:rPr>
          <w:rFonts w:hint="eastAsia" w:ascii="仿宋" w:hAnsi="仿宋" w:cs="仿宋"/>
          <w:szCs w:val="32"/>
          <w:lang w:val="zh-CN"/>
        </w:rPr>
        <w:t>、</w:t>
      </w:r>
      <w:r>
        <w:rPr>
          <w:rFonts w:hint="eastAsia" w:ascii="仿宋" w:hAnsi="仿宋" w:cs="仿宋"/>
          <w:szCs w:val="32"/>
        </w:rPr>
        <w:t>项目服务组、履约监管组3</w:t>
      </w:r>
      <w:r>
        <w:rPr>
          <w:rFonts w:hint="eastAsia" w:ascii="仿宋" w:hAnsi="仿宋" w:cs="仿宋"/>
          <w:szCs w:val="32"/>
          <w:lang w:val="zh-CN"/>
        </w:rPr>
        <w:t>个职能</w:t>
      </w:r>
      <w:r>
        <w:rPr>
          <w:rFonts w:hint="eastAsia" w:ascii="仿宋" w:hAnsi="仿宋" w:cs="仿宋"/>
          <w:szCs w:val="32"/>
        </w:rPr>
        <w:t>组</w:t>
      </w:r>
      <w:r>
        <w:rPr>
          <w:rFonts w:hint="eastAsia" w:ascii="仿宋" w:hAnsi="仿宋" w:cs="仿宋"/>
          <w:szCs w:val="32"/>
          <w:lang w:val="zh-CN"/>
        </w:rPr>
        <w:t>室</w:t>
      </w:r>
      <w:r>
        <w:rPr>
          <w:rFonts w:hint="eastAsia" w:ascii="仿宋" w:hAnsi="仿宋" w:cs="仿宋"/>
          <w:color w:val="000000"/>
          <w:kern w:val="0"/>
          <w:szCs w:val="32"/>
          <w:lang w:bidi="ar"/>
        </w:rPr>
        <w:t>。</w:t>
      </w:r>
    </w:p>
    <w:p>
      <w:pPr>
        <w:widowControl/>
        <w:ind w:firstLine="640"/>
        <w:jc w:val="left"/>
        <w:rPr>
          <w:rFonts w:hint="eastAsia" w:ascii="黑体" w:hAnsi="黑体" w:eastAsia="黑体" w:cs="黑体"/>
          <w:color w:val="000000"/>
          <w:kern w:val="0"/>
          <w:szCs w:val="32"/>
          <w:lang w:bidi="ar"/>
        </w:rPr>
      </w:pPr>
      <w:r>
        <w:rPr>
          <w:rFonts w:hint="eastAsia" w:ascii="黑体" w:hAnsi="黑体" w:eastAsia="黑体" w:cs="黑体"/>
          <w:color w:val="000000"/>
          <w:kern w:val="0"/>
          <w:szCs w:val="32"/>
          <w:lang w:bidi="ar"/>
        </w:rPr>
        <w:t>评价结论</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2023年度遂宁高新区企业发展服务中心按规定编报了部门绩效目标，目标设立较为科学合理，绩效目标相关工作任务和内容符合国家法律法规和上级规则，与单位三定方案确定的职责相契合。该部门制定了</w:t>
      </w:r>
      <w:r>
        <w:rPr>
          <w:rFonts w:hint="eastAsia" w:ascii="仿宋" w:hAnsi="仿宋" w:cs="仿宋"/>
          <w:color w:val="000000"/>
          <w:kern w:val="0"/>
          <w:szCs w:val="32"/>
          <w:lang w:val="en-US" w:eastAsia="zh-CN" w:bidi="ar"/>
        </w:rPr>
        <w:t>中长</w:t>
      </w:r>
      <w:r>
        <w:rPr>
          <w:rFonts w:hint="eastAsia" w:ascii="仿宋" w:hAnsi="仿宋" w:eastAsia="仿宋" w:cs="仿宋"/>
          <w:color w:val="000000"/>
          <w:kern w:val="0"/>
          <w:szCs w:val="32"/>
          <w:lang w:bidi="ar"/>
        </w:rPr>
        <w:t>期发展规划，完成了本年度各项工作任务，基本达到了部门绩效总体目标和各项指标要求或指标值。遂宁高新区企业发展服务中心紧抓预算管理和执行，完成了2023年度预算支出，</w:t>
      </w:r>
      <w:r>
        <w:rPr>
          <w:rFonts w:hint="eastAsia" w:ascii="仿宋" w:hAnsi="仿宋" w:eastAsia="仿宋" w:cs="仿宋"/>
        </w:rPr>
        <w:t>预算执行率</w:t>
      </w:r>
      <w:r>
        <w:rPr>
          <w:rFonts w:hint="eastAsia" w:ascii="仿宋" w:hAnsi="仿宋" w:eastAsia="仿宋" w:cs="仿宋"/>
          <w:lang w:val="en-US" w:eastAsia="zh-CN"/>
        </w:rPr>
        <w:t>为100.00</w:t>
      </w:r>
      <w:r>
        <w:rPr>
          <w:rFonts w:hint="eastAsia" w:ascii="仿宋" w:hAnsi="仿宋" w:eastAsia="仿宋" w:cs="仿宋"/>
        </w:rPr>
        <w:t>%</w:t>
      </w:r>
      <w:r>
        <w:rPr>
          <w:rFonts w:hint="eastAsia" w:ascii="仿宋" w:hAnsi="仿宋" w:eastAsia="仿宋" w:cs="仿宋"/>
          <w:lang w:eastAsia="zh-CN"/>
        </w:rPr>
        <w:t>，</w:t>
      </w:r>
      <w:r>
        <w:rPr>
          <w:rFonts w:hint="eastAsia"/>
        </w:rPr>
        <w:t>年度内未发生三公经费支出</w:t>
      </w:r>
      <w:r>
        <w:rPr>
          <w:rFonts w:hint="eastAsia" w:ascii="仿宋" w:hAnsi="仿宋" w:eastAsia="仿宋" w:cs="仿宋"/>
          <w:color w:val="000000"/>
          <w:kern w:val="0"/>
          <w:szCs w:val="32"/>
          <w:lang w:bidi="ar"/>
        </w:rPr>
        <w:t>。2023年遂宁高新区企业发展服务中心在岗人数</w:t>
      </w:r>
      <w:r>
        <w:rPr>
          <w:rFonts w:hint="eastAsia" w:ascii="仿宋" w:hAnsi="仿宋" w:cs="仿宋"/>
          <w:color w:val="000000"/>
          <w:kern w:val="0"/>
          <w:szCs w:val="32"/>
          <w:lang w:val="en-US" w:eastAsia="zh-CN" w:bidi="ar"/>
        </w:rPr>
        <w:t>与</w:t>
      </w:r>
      <w:r>
        <w:rPr>
          <w:rFonts w:hint="eastAsia" w:ascii="仿宋" w:hAnsi="仿宋" w:eastAsia="仿宋" w:cs="仿宋"/>
          <w:color w:val="000000"/>
          <w:kern w:val="0"/>
          <w:szCs w:val="32"/>
          <w:lang w:bidi="ar"/>
        </w:rPr>
        <w:t>三定方案确定的人员编制</w:t>
      </w:r>
      <w:r>
        <w:rPr>
          <w:rFonts w:hint="eastAsia" w:ascii="仿宋" w:hAnsi="仿宋" w:cs="仿宋"/>
          <w:color w:val="000000"/>
          <w:kern w:val="0"/>
          <w:szCs w:val="32"/>
          <w:lang w:val="en-US" w:eastAsia="zh-CN" w:bidi="ar"/>
        </w:rPr>
        <w:t>数量一致</w:t>
      </w:r>
      <w:r>
        <w:rPr>
          <w:rFonts w:hint="eastAsia" w:ascii="仿宋" w:hAnsi="仿宋" w:eastAsia="仿宋" w:cs="仿宋"/>
          <w:color w:val="000000"/>
          <w:kern w:val="0"/>
          <w:szCs w:val="32"/>
          <w:lang w:bidi="ar"/>
        </w:rPr>
        <w:t>，</w:t>
      </w:r>
      <w:r>
        <w:rPr>
          <w:rFonts w:hint="eastAsia" w:ascii="仿宋" w:hAnsi="仿宋" w:cs="仿宋"/>
          <w:color w:val="000000"/>
          <w:kern w:val="0"/>
          <w:szCs w:val="32"/>
          <w:lang w:val="en-US" w:eastAsia="zh-CN" w:bidi="ar"/>
        </w:rPr>
        <w:t>在职控制率为100.00%。</w:t>
      </w:r>
      <w:r>
        <w:rPr>
          <w:rFonts w:hint="eastAsia" w:ascii="仿宋" w:hAnsi="仿宋" w:eastAsia="仿宋" w:cs="仿宋"/>
          <w:color w:val="000000"/>
          <w:kern w:val="0"/>
          <w:szCs w:val="32"/>
          <w:lang w:bidi="ar"/>
        </w:rPr>
        <w:t>部门制定了部分内部管理制度，但不够健全，资产管理</w:t>
      </w:r>
      <w:r>
        <w:rPr>
          <w:rFonts w:hint="eastAsia" w:ascii="仿宋" w:hAnsi="仿宋" w:cs="仿宋"/>
          <w:color w:val="000000"/>
          <w:kern w:val="0"/>
          <w:szCs w:val="32"/>
          <w:lang w:val="en-US" w:eastAsia="zh-CN" w:bidi="ar"/>
        </w:rPr>
        <w:t>相关</w:t>
      </w:r>
      <w:r>
        <w:rPr>
          <w:rFonts w:hint="eastAsia" w:ascii="仿宋" w:hAnsi="仿宋" w:eastAsia="仿宋" w:cs="仿宋"/>
          <w:color w:val="000000"/>
          <w:kern w:val="0"/>
          <w:szCs w:val="32"/>
          <w:lang w:bidi="ar"/>
        </w:rPr>
        <w:t>工作</w:t>
      </w:r>
      <w:r>
        <w:rPr>
          <w:rFonts w:hint="eastAsia" w:ascii="仿宋" w:hAnsi="仿宋" w:cs="仿宋"/>
          <w:color w:val="000000"/>
          <w:kern w:val="0"/>
          <w:szCs w:val="32"/>
          <w:lang w:val="en-US" w:eastAsia="zh-CN" w:bidi="ar"/>
        </w:rPr>
        <w:t>执行</w:t>
      </w:r>
      <w:r>
        <w:rPr>
          <w:rFonts w:hint="eastAsia" w:ascii="仿宋" w:hAnsi="仿宋" w:eastAsia="仿宋" w:cs="仿宋"/>
          <w:color w:val="000000"/>
          <w:kern w:val="0"/>
          <w:szCs w:val="32"/>
          <w:lang w:bidi="ar"/>
        </w:rPr>
        <w:t>不够</w:t>
      </w:r>
      <w:r>
        <w:rPr>
          <w:rFonts w:hint="eastAsia" w:ascii="仿宋" w:hAnsi="仿宋" w:cs="仿宋"/>
          <w:color w:val="000000"/>
          <w:kern w:val="0"/>
          <w:szCs w:val="32"/>
          <w:lang w:val="en-US" w:eastAsia="zh-CN" w:bidi="ar"/>
        </w:rPr>
        <w:t>到位</w:t>
      </w:r>
      <w:r>
        <w:rPr>
          <w:rFonts w:hint="eastAsia" w:ascii="仿宋" w:hAnsi="仿宋" w:eastAsia="仿宋" w:cs="仿宋"/>
          <w:color w:val="000000"/>
          <w:kern w:val="0"/>
          <w:szCs w:val="32"/>
          <w:lang w:bidi="ar"/>
        </w:rPr>
        <w:t>。遂宁高新区企业发展服务中心</w:t>
      </w:r>
      <w:r>
        <w:rPr>
          <w:rFonts w:hint="eastAsia" w:ascii="仿宋" w:hAnsi="仿宋" w:eastAsia="仿宋" w:cs="仿宋"/>
          <w:szCs w:val="32"/>
        </w:rPr>
        <w:t>各项工作任务均已顺利完成，较好地履行了部门工作职责。部门</w:t>
      </w:r>
      <w:r>
        <w:rPr>
          <w:rFonts w:hint="eastAsia" w:ascii="仿宋" w:hAnsi="仿宋" w:eastAsia="仿宋" w:cs="仿宋"/>
          <w:color w:val="000000"/>
          <w:kern w:val="0"/>
          <w:szCs w:val="32"/>
          <w:lang w:bidi="ar"/>
        </w:rPr>
        <w:t>工作的完成取得了相应的社会效益和一定的经济效益。群众满意度总体较高。经综合评议，遂宁高新区企业发展服务中心2023年度部门整体支出绩效评价综合得分</w:t>
      </w:r>
      <w:r>
        <w:rPr>
          <w:rFonts w:hint="eastAsia" w:ascii="仿宋" w:hAnsi="仿宋" w:cs="仿宋"/>
          <w:color w:val="000000"/>
          <w:kern w:val="0"/>
          <w:szCs w:val="32"/>
          <w:lang w:val="en-US" w:eastAsia="zh-CN" w:bidi="ar"/>
        </w:rPr>
        <w:t>92.00</w:t>
      </w:r>
      <w:r>
        <w:rPr>
          <w:rFonts w:hint="eastAsia" w:ascii="仿宋" w:hAnsi="仿宋" w:eastAsia="仿宋" w:cs="仿宋"/>
          <w:color w:val="000000"/>
          <w:kern w:val="0"/>
          <w:szCs w:val="32"/>
          <w:lang w:bidi="ar"/>
        </w:rPr>
        <w:t>分，综合绩效评定结论为“</w:t>
      </w:r>
      <w:r>
        <w:rPr>
          <w:rFonts w:hint="eastAsia" w:ascii="仿宋" w:hAnsi="仿宋" w:cs="仿宋"/>
          <w:color w:val="000000"/>
          <w:kern w:val="0"/>
          <w:szCs w:val="32"/>
          <w:lang w:val="en-US" w:eastAsia="zh-CN" w:bidi="ar"/>
        </w:rPr>
        <w:t>优</w:t>
      </w:r>
      <w:r>
        <w:rPr>
          <w:rFonts w:hint="eastAsia" w:ascii="仿宋" w:hAnsi="仿宋" w:eastAsia="仿宋" w:cs="仿宋"/>
          <w:color w:val="000000"/>
          <w:kern w:val="0"/>
          <w:szCs w:val="32"/>
          <w:lang w:bidi="ar"/>
        </w:rPr>
        <w:t>”。</w:t>
      </w:r>
    </w:p>
    <w:p>
      <w:pPr>
        <w:widowControl/>
        <w:ind w:firstLine="640"/>
        <w:jc w:val="left"/>
        <w:rPr>
          <w:rFonts w:hint="eastAsia" w:ascii="黑体" w:hAnsi="黑体" w:eastAsia="黑体" w:cs="黑体"/>
          <w:color w:val="000000"/>
          <w:kern w:val="0"/>
          <w:szCs w:val="32"/>
          <w:lang w:bidi="ar"/>
        </w:rPr>
      </w:pPr>
      <w:r>
        <w:rPr>
          <w:rFonts w:hint="eastAsia" w:ascii="黑体" w:hAnsi="黑体" w:eastAsia="黑体" w:cs="黑体"/>
          <w:color w:val="000000"/>
          <w:kern w:val="0"/>
          <w:szCs w:val="32"/>
          <w:lang w:bidi="ar"/>
        </w:rPr>
        <w:t>绩效分析</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遂宁高新区企业发展服务中心2023年度整体支出绩效评价，投入指标</w:t>
      </w:r>
      <w:r>
        <w:rPr>
          <w:rFonts w:hint="eastAsia"/>
        </w:rPr>
        <w:t>预算编制程序合规，能够按照管理要求申报，预算配置科学合理，能够较好完成全年预算，预算执行情况良好</w:t>
      </w:r>
      <w:r>
        <w:rPr>
          <w:rFonts w:hint="eastAsia"/>
          <w:lang w:eastAsia="zh-CN"/>
        </w:rPr>
        <w:t>，</w:t>
      </w:r>
      <w:r>
        <w:rPr>
          <w:rFonts w:hint="eastAsia"/>
          <w:lang w:val="en-US" w:eastAsia="zh-CN"/>
        </w:rPr>
        <w:t>但</w:t>
      </w:r>
      <w:r>
        <w:rPr>
          <w:rFonts w:hint="eastAsia"/>
        </w:rPr>
        <w:t>指标设置不够细化量化可衡量</w:t>
      </w:r>
      <w:r>
        <w:rPr>
          <w:rFonts w:hint="eastAsia"/>
          <w:lang w:eastAsia="zh-CN"/>
        </w:rPr>
        <w:t>。</w:t>
      </w:r>
      <w:r>
        <w:rPr>
          <w:rFonts w:hint="eastAsia"/>
          <w:lang w:val="en-US" w:eastAsia="zh-CN"/>
        </w:rPr>
        <w:t>在职人员数量与编制数量一致。</w:t>
      </w:r>
      <w:r>
        <w:rPr>
          <w:rFonts w:hint="eastAsia" w:ascii="仿宋" w:hAnsi="仿宋" w:cs="仿宋"/>
          <w:color w:val="000000"/>
          <w:kern w:val="0"/>
          <w:szCs w:val="32"/>
          <w:lang w:bidi="ar"/>
        </w:rPr>
        <w:t>投入指标总分20</w:t>
      </w:r>
      <w:r>
        <w:rPr>
          <w:rFonts w:hint="eastAsia" w:ascii="仿宋" w:hAnsi="仿宋" w:cs="仿宋"/>
          <w:szCs w:val="32"/>
        </w:rPr>
        <w:t>.00</w:t>
      </w:r>
      <w:r>
        <w:rPr>
          <w:rFonts w:hint="eastAsia" w:ascii="仿宋" w:hAnsi="仿宋" w:cs="仿宋"/>
          <w:color w:val="000000"/>
          <w:kern w:val="0"/>
          <w:szCs w:val="32"/>
          <w:lang w:bidi="ar"/>
        </w:rPr>
        <w:t>分，得分为1</w:t>
      </w:r>
      <w:r>
        <w:rPr>
          <w:rFonts w:hint="eastAsia" w:ascii="仿宋" w:hAnsi="仿宋" w:cs="仿宋"/>
          <w:color w:val="000000"/>
          <w:kern w:val="0"/>
          <w:szCs w:val="32"/>
          <w:lang w:val="en-US" w:eastAsia="zh-CN" w:bidi="ar"/>
        </w:rPr>
        <w:t>9</w:t>
      </w:r>
      <w:r>
        <w:rPr>
          <w:rFonts w:hint="eastAsia" w:ascii="仿宋" w:hAnsi="仿宋" w:cs="仿宋"/>
          <w:color w:val="000000"/>
          <w:kern w:val="0"/>
          <w:szCs w:val="32"/>
          <w:lang w:bidi="ar"/>
        </w:rPr>
        <w:t>.00分，得分率</w:t>
      </w:r>
      <w:r>
        <w:rPr>
          <w:rFonts w:hint="eastAsia" w:ascii="仿宋" w:hAnsi="仿宋" w:cs="仿宋"/>
          <w:color w:val="000000"/>
          <w:kern w:val="0"/>
          <w:szCs w:val="32"/>
          <w:lang w:val="en-US" w:eastAsia="zh-CN" w:bidi="ar"/>
        </w:rPr>
        <w:t>95</w:t>
      </w:r>
      <w:r>
        <w:rPr>
          <w:rFonts w:hint="eastAsia" w:ascii="仿宋" w:hAnsi="仿宋" w:cs="仿宋"/>
          <w:color w:val="000000"/>
          <w:kern w:val="0"/>
          <w:szCs w:val="32"/>
          <w:lang w:bidi="ar"/>
        </w:rPr>
        <w:t>.00%。过程指标预算执行总体可控，</w:t>
      </w:r>
      <w:r>
        <w:rPr>
          <w:rFonts w:hint="eastAsia"/>
        </w:rPr>
        <w:t>预算管理工作能够做到管理有效控制到位。</w:t>
      </w:r>
      <w:r>
        <w:rPr>
          <w:rFonts w:hint="eastAsia" w:ascii="仿宋" w:hAnsi="仿宋" w:cs="仿宋"/>
          <w:color w:val="000000"/>
          <w:kern w:val="0"/>
          <w:szCs w:val="32"/>
          <w:lang w:bidi="ar"/>
        </w:rPr>
        <w:t>经费管理有需要加强的地方，会计信息质量控制较好，能够达到客观真实核算和监督单位实际收支，资产管理</w:t>
      </w:r>
      <w:r>
        <w:rPr>
          <w:rFonts w:hint="eastAsia"/>
        </w:rPr>
        <w:t>工作存在不足</w:t>
      </w:r>
      <w:r>
        <w:rPr>
          <w:rFonts w:hint="eastAsia" w:ascii="仿宋" w:hAnsi="仿宋" w:cs="仿宋"/>
          <w:color w:val="000000"/>
          <w:kern w:val="0"/>
          <w:szCs w:val="32"/>
          <w:lang w:bidi="ar"/>
        </w:rPr>
        <w:t>。过程指标总分30.00分，得分为2</w:t>
      </w:r>
      <w:r>
        <w:rPr>
          <w:rFonts w:hint="eastAsia" w:ascii="仿宋" w:hAnsi="仿宋" w:cs="仿宋"/>
          <w:color w:val="000000"/>
          <w:kern w:val="0"/>
          <w:szCs w:val="32"/>
          <w:lang w:val="en-US" w:eastAsia="zh-CN" w:bidi="ar"/>
        </w:rPr>
        <w:t>4</w:t>
      </w:r>
      <w:r>
        <w:rPr>
          <w:rFonts w:hint="eastAsia" w:ascii="仿宋" w:hAnsi="仿宋" w:cs="仿宋"/>
          <w:color w:val="000000"/>
          <w:kern w:val="0"/>
          <w:szCs w:val="32"/>
          <w:lang w:bidi="ar"/>
        </w:rPr>
        <w:t>.50分，得分率</w:t>
      </w:r>
      <w:r>
        <w:rPr>
          <w:rFonts w:hint="eastAsia" w:ascii="仿宋" w:hAnsi="仿宋" w:cs="仿宋"/>
          <w:color w:val="000000"/>
          <w:kern w:val="0"/>
          <w:szCs w:val="32"/>
          <w:lang w:val="en-US" w:eastAsia="zh-CN" w:bidi="ar"/>
        </w:rPr>
        <w:t>81.67</w:t>
      </w:r>
      <w:r>
        <w:rPr>
          <w:rFonts w:hint="eastAsia" w:ascii="仿宋" w:hAnsi="仿宋" w:cs="仿宋"/>
          <w:color w:val="000000"/>
          <w:kern w:val="0"/>
          <w:szCs w:val="32"/>
          <w:lang w:bidi="ar"/>
        </w:rPr>
        <w:t>%。预算管理和执行及资产管理工作都有待加强。产出指标完成情况良好，遂宁高新区企业发展服务中心2023年度圆满地完成了当年工作任务，相关成果数量和质量都达到绩效目标值。单位履职管理工作成绩稳中有进，但是还不能做到行业前列。本项产出指标分值30.00分，得分为29.00分，得分率96.67%。效益指标实现情况较好，2023年度遂宁高新区企业发展服务中心的工作开展和政策施行产生了一定的经济效益，招商引资引进新企业、项目扶持基金的兑现发放重要工作安排，具有很好的社会效益。调查对象总体满意度较高。效益指标分值20.00分，得分1</w:t>
      </w:r>
      <w:r>
        <w:rPr>
          <w:rFonts w:hint="eastAsia" w:ascii="仿宋" w:hAnsi="仿宋" w:cs="仿宋"/>
          <w:color w:val="000000"/>
          <w:kern w:val="0"/>
          <w:szCs w:val="32"/>
          <w:lang w:val="en-US" w:eastAsia="zh-CN" w:bidi="ar"/>
        </w:rPr>
        <w:t>9.50</w:t>
      </w:r>
      <w:r>
        <w:rPr>
          <w:rFonts w:hint="eastAsia" w:ascii="仿宋" w:hAnsi="仿宋" w:cs="仿宋"/>
          <w:color w:val="000000"/>
          <w:kern w:val="0"/>
          <w:szCs w:val="32"/>
          <w:lang w:bidi="ar"/>
        </w:rPr>
        <w:t>分，得分率9</w:t>
      </w:r>
      <w:r>
        <w:rPr>
          <w:rFonts w:hint="eastAsia" w:ascii="仿宋" w:hAnsi="仿宋" w:cs="仿宋"/>
          <w:color w:val="000000"/>
          <w:kern w:val="0"/>
          <w:szCs w:val="32"/>
          <w:lang w:val="en-US" w:eastAsia="zh-CN" w:bidi="ar"/>
        </w:rPr>
        <w:t>7.5</w:t>
      </w:r>
      <w:r>
        <w:rPr>
          <w:rFonts w:hint="eastAsia" w:ascii="仿宋" w:hAnsi="仿宋" w:cs="仿宋"/>
          <w:color w:val="000000"/>
          <w:kern w:val="0"/>
          <w:szCs w:val="32"/>
          <w:lang w:bidi="ar"/>
        </w:rPr>
        <w:t>0%。</w:t>
      </w:r>
    </w:p>
    <w:p>
      <w:pPr>
        <w:widowControl/>
        <w:ind w:firstLine="640"/>
        <w:rPr>
          <w:rFonts w:hint="eastAsia" w:ascii="黑体" w:hAnsi="黑体" w:eastAsia="黑体" w:cs="黑体"/>
          <w:color w:val="000000"/>
          <w:kern w:val="0"/>
          <w:szCs w:val="32"/>
          <w:lang w:val="en-US" w:eastAsia="zh-CN" w:bidi="ar"/>
        </w:rPr>
      </w:pPr>
      <w:r>
        <w:rPr>
          <w:rFonts w:hint="eastAsia" w:ascii="黑体" w:hAnsi="黑体" w:eastAsia="黑体" w:cs="黑体"/>
          <w:color w:val="000000"/>
          <w:kern w:val="0"/>
          <w:szCs w:val="32"/>
          <w:lang w:val="en-US" w:eastAsia="zh-CN" w:bidi="ar"/>
        </w:rPr>
        <w:t>问题及建议</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本次绩效评价发现了单位预算编制不科学、预算绩效指标值设置不合理、固定资产管理混乱等问题。</w:t>
      </w:r>
    </w:p>
    <w:p>
      <w:pPr>
        <w:widowControl/>
        <w:ind w:firstLine="640"/>
        <w:rPr>
          <w:rFonts w:hint="eastAsia" w:ascii="仿宋" w:hAnsi="仿宋" w:cs="仿宋"/>
          <w:szCs w:val="32"/>
        </w:rPr>
        <w:sectPr>
          <w:headerReference r:id="rId9" w:type="default"/>
          <w:footerReference r:id="rId10" w:type="default"/>
          <w:pgSz w:w="11907" w:h="16840"/>
          <w:pgMar w:top="1440" w:right="1803" w:bottom="1440" w:left="1803" w:header="851" w:footer="992" w:gutter="0"/>
          <w:paperSrc w:first="4" w:other="4"/>
          <w:pgNumType w:fmt="decimal"/>
          <w:cols w:space="720" w:num="1"/>
          <w:rtlGutter w:val="0"/>
          <w:docGrid w:linePitch="312" w:charSpace="0"/>
        </w:sectPr>
      </w:pPr>
      <w:r>
        <w:rPr>
          <w:rFonts w:hint="eastAsia" w:ascii="仿宋" w:hAnsi="仿宋" w:cs="仿宋"/>
          <w:color w:val="000000"/>
          <w:kern w:val="0"/>
          <w:szCs w:val="32"/>
          <w:lang w:bidi="ar"/>
        </w:rPr>
        <w:t>建议加强单位预算资金管理，提升预算绩效管理能力，加强单位固定资产管理工作。</w:t>
      </w:r>
    </w:p>
    <w:p>
      <w:pPr>
        <w:pStyle w:val="17"/>
        <w:spacing w:before="240" w:after="240"/>
        <w:outlineLvl w:val="9"/>
        <w:rPr>
          <w:rFonts w:hint="eastAsia" w:ascii="宋体" w:hAnsi="宋体"/>
          <w:szCs w:val="44"/>
        </w:rPr>
      </w:pPr>
      <w:bookmarkStart w:id="260" w:name="_Toc11084"/>
      <w:bookmarkStart w:id="261" w:name="_Toc29831"/>
      <w:bookmarkStart w:id="262" w:name="_Toc4318"/>
      <w:bookmarkStart w:id="263" w:name="_Toc10284"/>
      <w:bookmarkStart w:id="264" w:name="_Toc12440"/>
      <w:bookmarkStart w:id="265" w:name="_Toc10792"/>
      <w:bookmarkStart w:id="266" w:name="_Toc28691"/>
      <w:r>
        <w:rPr>
          <w:rFonts w:hint="eastAsia" w:ascii="仿宋" w:hAnsi="仿宋" w:cs="仿宋"/>
          <w:szCs w:val="44"/>
        </w:rPr>
        <w:t>遂宁高新区企业发展服务中心</w:t>
      </w:r>
      <w:r>
        <w:rPr>
          <w:rFonts w:hint="eastAsia" w:ascii="宋体" w:hAnsi="宋体"/>
          <w:szCs w:val="44"/>
        </w:rPr>
        <w:t>2023年度</w:t>
      </w:r>
    </w:p>
    <w:p>
      <w:pPr>
        <w:pStyle w:val="17"/>
        <w:spacing w:before="240" w:after="240"/>
        <w:outlineLvl w:val="9"/>
        <w:rPr>
          <w:rFonts w:hint="eastAsia" w:ascii="宋体" w:hAnsi="宋体"/>
          <w:szCs w:val="44"/>
        </w:rPr>
      </w:pPr>
      <w:r>
        <w:rPr>
          <w:rFonts w:hint="eastAsia" w:ascii="宋体" w:hAnsi="宋体"/>
          <w:szCs w:val="44"/>
        </w:rPr>
        <w:t>部门整体支出绩效评价报告</w:t>
      </w:r>
    </w:p>
    <w:p>
      <w:pPr>
        <w:pStyle w:val="2"/>
        <w:bidi w:val="0"/>
        <w:rPr>
          <w:rFonts w:hint="eastAsia"/>
        </w:rPr>
      </w:pPr>
      <w:r>
        <w:rPr>
          <w:rFonts w:hint="eastAsia"/>
        </w:rPr>
        <w:t>一、部门（单位）基本情况</w:t>
      </w:r>
      <w:bookmarkEnd w:id="260"/>
      <w:bookmarkEnd w:id="261"/>
      <w:bookmarkEnd w:id="262"/>
      <w:bookmarkEnd w:id="263"/>
      <w:bookmarkEnd w:id="264"/>
      <w:bookmarkEnd w:id="265"/>
      <w:bookmarkEnd w:id="266"/>
    </w:p>
    <w:p>
      <w:pPr>
        <w:pStyle w:val="3"/>
        <w:spacing w:before="120"/>
        <w:ind w:firstLine="643"/>
        <w:rPr>
          <w:rFonts w:hint="eastAsia"/>
        </w:rPr>
      </w:pPr>
      <w:bookmarkStart w:id="267" w:name="_Toc2836"/>
      <w:bookmarkStart w:id="268" w:name="_Toc10223"/>
      <w:bookmarkStart w:id="269" w:name="_Toc26616"/>
      <w:bookmarkStart w:id="270" w:name="_Toc17987"/>
      <w:r>
        <w:rPr>
          <w:rFonts w:hint="eastAsia"/>
        </w:rPr>
        <w:t>（一）部门（单位）概况</w:t>
      </w:r>
      <w:bookmarkEnd w:id="267"/>
      <w:bookmarkEnd w:id="268"/>
      <w:bookmarkEnd w:id="269"/>
      <w:bookmarkEnd w:id="270"/>
    </w:p>
    <w:p>
      <w:pPr>
        <w:pStyle w:val="4"/>
        <w:bidi w:val="0"/>
        <w:rPr>
          <w:rFonts w:hint="eastAsia"/>
        </w:rPr>
      </w:pPr>
      <w:bookmarkStart w:id="271" w:name="_Toc9012"/>
      <w:bookmarkStart w:id="272" w:name="_Toc14338"/>
      <w:r>
        <w:rPr>
          <w:rFonts w:hint="eastAsia"/>
        </w:rPr>
        <w:t>1.单位概况</w:t>
      </w:r>
      <w:bookmarkEnd w:id="271"/>
      <w:bookmarkEnd w:id="272"/>
    </w:p>
    <w:p>
      <w:pPr>
        <w:ind w:firstLine="640"/>
        <w:rPr>
          <w:rFonts w:hint="eastAsia" w:ascii="仿宋" w:hAnsi="仿宋" w:cs="仿宋"/>
          <w:szCs w:val="32"/>
        </w:rPr>
      </w:pPr>
      <w:r>
        <w:rPr>
          <w:rFonts w:hint="eastAsia" w:ascii="仿宋" w:hAnsi="仿宋" w:cs="仿宋"/>
          <w:szCs w:val="32"/>
        </w:rPr>
        <w:t>遂宁高新区企业发展服务中心（以下简称“</w:t>
      </w:r>
      <w:r>
        <w:rPr>
          <w:rFonts w:hint="eastAsia" w:ascii="仿宋" w:hAnsi="仿宋" w:cs="仿宋"/>
          <w:color w:val="000000"/>
          <w:kern w:val="0"/>
          <w:szCs w:val="32"/>
          <w:shd w:val="clear" w:color="auto" w:fill="FFFFFF"/>
        </w:rPr>
        <w:t>高新区企服中心”</w:t>
      </w:r>
      <w:r>
        <w:rPr>
          <w:rFonts w:hint="eastAsia" w:ascii="仿宋" w:hAnsi="仿宋" w:cs="仿宋"/>
          <w:szCs w:val="32"/>
        </w:rPr>
        <w:t>），为遂宁高新区所属正科级公益一类事业单位。主要承担园区入驻企业服务工作，协助企业办理项目落地、项目建设，以及为企业运营提供</w:t>
      </w:r>
      <w:r>
        <w:rPr>
          <w:rFonts w:hint="eastAsia" w:ascii="仿宋" w:hAnsi="仿宋" w:cs="仿宋"/>
          <w:color w:val="000000"/>
          <w:kern w:val="0"/>
          <w:szCs w:val="32"/>
        </w:rPr>
        <w:t>全方位的服务支持，涵盖人力资源、财务管理、法律咨询等多个方面，帮助企业提高效率、降低成本，提升竞争力。</w:t>
      </w:r>
      <w:r>
        <w:rPr>
          <w:rFonts w:hint="eastAsia" w:ascii="仿宋" w:hAnsi="仿宋" w:cs="仿宋"/>
          <w:szCs w:val="32"/>
        </w:rPr>
        <w:t>单位办公地址为遂宁物流港威斯腾西部铁路物流园B3-3</w:t>
      </w:r>
      <w:r>
        <w:rPr>
          <w:rFonts w:hint="eastAsia" w:ascii="仿宋" w:hAnsi="仿宋" w:cs="仿宋"/>
          <w:szCs w:val="32"/>
          <w:lang w:eastAsia="zh-CN"/>
        </w:rPr>
        <w:t>（</w:t>
      </w:r>
      <w:r>
        <w:rPr>
          <w:rFonts w:hint="eastAsia" w:ascii="仿宋" w:hAnsi="仿宋" w:cs="仿宋"/>
          <w:szCs w:val="32"/>
          <w:lang w:val="en-US" w:eastAsia="zh-CN"/>
        </w:rPr>
        <w:t>1</w:t>
      </w:r>
      <w:r>
        <w:rPr>
          <w:rFonts w:hint="eastAsia" w:ascii="仿宋" w:hAnsi="仿宋" w:cs="仿宋"/>
          <w:szCs w:val="32"/>
          <w:lang w:eastAsia="zh-CN"/>
        </w:rPr>
        <w:t>）</w:t>
      </w:r>
      <w:r>
        <w:rPr>
          <w:rFonts w:hint="eastAsia" w:ascii="仿宋" w:hAnsi="仿宋" w:cs="仿宋"/>
          <w:szCs w:val="32"/>
        </w:rPr>
        <w:t>区2层。</w:t>
      </w:r>
    </w:p>
    <w:p>
      <w:pPr>
        <w:pStyle w:val="4"/>
        <w:ind w:firstLine="643"/>
        <w:rPr>
          <w:rFonts w:hint="eastAsia"/>
        </w:rPr>
      </w:pPr>
      <w:bookmarkStart w:id="273" w:name="_Toc17970"/>
      <w:bookmarkStart w:id="274" w:name="_Toc27541"/>
      <w:r>
        <w:rPr>
          <w:rFonts w:hint="eastAsia"/>
        </w:rPr>
        <w:t>2.</w:t>
      </w:r>
      <w:bookmarkEnd w:id="273"/>
      <w:bookmarkEnd w:id="274"/>
      <w:r>
        <w:rPr>
          <w:rFonts w:hint="eastAsia"/>
        </w:rPr>
        <w:t>单位机构设置</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shd w:val="clear" w:color="auto" w:fill="FFFFFF"/>
        </w:rPr>
        <w:t>高新区企服中心</w:t>
      </w:r>
      <w:r>
        <w:rPr>
          <w:rFonts w:hint="eastAsia" w:ascii="仿宋" w:hAnsi="仿宋" w:cs="仿宋"/>
          <w:szCs w:val="32"/>
        </w:rPr>
        <w:t>内设3</w:t>
      </w:r>
      <w:r>
        <w:rPr>
          <w:rFonts w:hint="eastAsia" w:ascii="仿宋" w:hAnsi="仿宋" w:cs="仿宋"/>
          <w:szCs w:val="32"/>
          <w:lang w:val="zh-CN"/>
        </w:rPr>
        <w:t>个职能</w:t>
      </w:r>
      <w:r>
        <w:rPr>
          <w:rFonts w:hint="eastAsia" w:ascii="仿宋" w:hAnsi="仿宋" w:cs="仿宋"/>
          <w:szCs w:val="32"/>
        </w:rPr>
        <w:t>组</w:t>
      </w:r>
      <w:r>
        <w:rPr>
          <w:rFonts w:hint="eastAsia" w:ascii="仿宋" w:hAnsi="仿宋" w:cs="仿宋"/>
          <w:szCs w:val="32"/>
          <w:lang w:val="zh-CN"/>
        </w:rPr>
        <w:t>室，</w:t>
      </w:r>
      <w:r>
        <w:rPr>
          <w:rFonts w:hint="eastAsia" w:ascii="仿宋" w:hAnsi="仿宋" w:cs="仿宋"/>
          <w:szCs w:val="32"/>
        </w:rPr>
        <w:t>分别为：综合组、项目服务组、履约监管组，无其他下属单位。</w:t>
      </w:r>
      <w:r>
        <w:rPr>
          <w:rFonts w:hint="eastAsia" w:ascii="仿宋" w:hAnsi="仿宋" w:cs="仿宋"/>
          <w:color w:val="000000"/>
          <w:kern w:val="0"/>
          <w:szCs w:val="32"/>
          <w:lang w:bidi="ar"/>
        </w:rPr>
        <w:t>各职能组室职责分工如下：</w:t>
      </w:r>
    </w:p>
    <w:p>
      <w:pPr>
        <w:pStyle w:val="9"/>
        <w:ind w:firstLine="640"/>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综合组：</w:t>
      </w:r>
      <w:r>
        <w:rPr>
          <w:rFonts w:hint="eastAsia" w:ascii="仿宋" w:hAnsi="仿宋" w:eastAsia="仿宋" w:cs="仿宋"/>
          <w:color w:val="000000"/>
          <w:kern w:val="0"/>
          <w:sz w:val="32"/>
          <w:szCs w:val="32"/>
        </w:rPr>
        <w:t>贯彻执行企业发展的法律法规和方针政策，制定并组织实施中长期规划和年度计划；承担园区入驻企业服务工作；负责协助企业办理项目落地、项目建设；负责为企业运营提供相关服务和办公场所租用等工作；完成党工委、管委会和上级有关部门交办的其他工作。</w:t>
      </w:r>
    </w:p>
    <w:p>
      <w:pPr>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项目服务组：</w:t>
      </w:r>
      <w:r>
        <w:rPr>
          <w:rFonts w:hint="eastAsia" w:ascii="仿宋" w:hAnsi="仿宋" w:cs="仿宋"/>
          <w:color w:val="000000"/>
          <w:szCs w:val="32"/>
        </w:rPr>
        <w:t>严格按“12345”服务机制开展项目服务工作，专职项目秘书联合选派项目秘书，在项目挂联县级领导的调度下，为每个招商引资项目全方位提供帮办代办、要素保障和后勤保障工作。</w:t>
      </w:r>
    </w:p>
    <w:p>
      <w:pPr>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履约监管组：</w:t>
      </w:r>
      <w:r>
        <w:rPr>
          <w:rFonts w:hint="eastAsia" w:ascii="仿宋" w:hAnsi="仿宋" w:cs="仿宋"/>
          <w:color w:val="000000"/>
          <w:szCs w:val="32"/>
        </w:rPr>
        <w:t>针对正常履约的项目，及时兑现产业扶持资金。针对履约滞后的项目，进行约谈或发放督促函，适时督促跟进项目建设进度和履约力度；针对履约不力或不能履约的项目，提前进行研判并暂缓拨付过审的扶持资金或停止兑现相关扶持资金，直至启动退出机制。</w:t>
      </w:r>
    </w:p>
    <w:p>
      <w:pPr>
        <w:pStyle w:val="4"/>
        <w:ind w:firstLine="643"/>
        <w:rPr>
          <w:rFonts w:hint="eastAsia"/>
        </w:rPr>
      </w:pPr>
      <w:bookmarkStart w:id="275" w:name="_Toc15287"/>
      <w:bookmarkStart w:id="276" w:name="_Toc4216"/>
      <w:r>
        <w:rPr>
          <w:rFonts w:hint="eastAsia"/>
        </w:rPr>
        <w:t>3.人员编制</w:t>
      </w:r>
      <w:bookmarkEnd w:id="275"/>
      <w:bookmarkEnd w:id="276"/>
    </w:p>
    <w:p>
      <w:pPr>
        <w:ind w:firstLine="640"/>
        <w:rPr>
          <w:rFonts w:hint="eastAsia" w:ascii="仿宋" w:hAnsi="仿宋" w:cs="仿宋"/>
        </w:rPr>
      </w:pPr>
      <w:bookmarkStart w:id="277" w:name="_Toc17046"/>
      <w:bookmarkStart w:id="278" w:name="_Toc15791"/>
      <w:r>
        <w:rPr>
          <w:rFonts w:hint="eastAsia" w:ascii="仿宋" w:hAnsi="仿宋" w:cs="仿宋"/>
          <w:color w:val="000000"/>
          <w:kern w:val="0"/>
          <w:szCs w:val="32"/>
          <w:shd w:val="clear" w:color="auto" w:fill="FFFFFF"/>
        </w:rPr>
        <w:t>高新区企服中心</w:t>
      </w:r>
      <w:r>
        <w:rPr>
          <w:rFonts w:hint="eastAsia"/>
        </w:rPr>
        <w:t>事</w:t>
      </w:r>
      <w:r>
        <w:rPr>
          <w:rFonts w:hint="eastAsia" w:ascii="仿宋" w:hAnsi="仿宋" w:cs="仿宋"/>
        </w:rPr>
        <w:t>业编制11名。其中，主任1名（正科级），副主任2名（副科级）。</w:t>
      </w:r>
      <w:bookmarkEnd w:id="277"/>
      <w:bookmarkEnd w:id="278"/>
    </w:p>
    <w:p>
      <w:pPr>
        <w:pStyle w:val="3"/>
        <w:spacing w:before="120"/>
        <w:ind w:firstLine="643"/>
        <w:rPr>
          <w:rFonts w:hint="eastAsia"/>
        </w:rPr>
      </w:pPr>
      <w:bookmarkStart w:id="279" w:name="_Toc23645"/>
      <w:bookmarkStart w:id="280" w:name="_Toc32515"/>
      <w:bookmarkStart w:id="281" w:name="_Toc13564"/>
      <w:bookmarkStart w:id="282" w:name="_Toc3789"/>
      <w:r>
        <w:rPr>
          <w:rFonts w:hint="eastAsia"/>
        </w:rPr>
        <w:t>（二）部门（单位）管理制度</w:t>
      </w:r>
      <w:bookmarkEnd w:id="279"/>
      <w:bookmarkEnd w:id="280"/>
      <w:bookmarkEnd w:id="281"/>
      <w:bookmarkEnd w:id="282"/>
    </w:p>
    <w:p>
      <w:pPr>
        <w:widowControl/>
        <w:ind w:firstLine="640"/>
        <w:rPr>
          <w:rFonts w:hint="eastAsia" w:ascii="仿宋" w:hAnsi="仿宋" w:cs="仿宋"/>
          <w:szCs w:val="32"/>
        </w:rPr>
      </w:pPr>
      <w:r>
        <w:rPr>
          <w:rFonts w:hint="eastAsia" w:ascii="仿宋" w:hAnsi="仿宋" w:cs="仿宋"/>
          <w:color w:val="000000"/>
          <w:kern w:val="0"/>
          <w:szCs w:val="32"/>
        </w:rPr>
        <w:t>根据国家及区有关规定和文件精神，结合日常工作具体情况，</w:t>
      </w:r>
      <w:r>
        <w:rPr>
          <w:rFonts w:hint="eastAsia" w:ascii="仿宋" w:hAnsi="仿宋" w:cs="仿宋"/>
          <w:color w:val="000000"/>
          <w:kern w:val="0"/>
          <w:szCs w:val="32"/>
          <w:shd w:val="clear" w:color="auto" w:fill="FFFFFF"/>
        </w:rPr>
        <w:t>高新区企服中心</w:t>
      </w:r>
      <w:r>
        <w:rPr>
          <w:rFonts w:hint="eastAsia" w:ascii="仿宋" w:hAnsi="仿宋" w:cs="仿宋"/>
          <w:color w:val="000000"/>
          <w:kern w:val="0"/>
          <w:szCs w:val="32"/>
        </w:rPr>
        <w:t>制定了相关制度文件保证日常业务有序开展，内部管理和业务管理制度建设详细情况如下：</w:t>
      </w:r>
    </w:p>
    <w:p>
      <w:pPr>
        <w:pStyle w:val="4"/>
        <w:ind w:firstLine="643"/>
        <w:rPr>
          <w:rFonts w:hint="eastAsia"/>
        </w:rPr>
      </w:pPr>
      <w:r>
        <w:rPr>
          <w:rFonts w:hint="eastAsia"/>
        </w:rPr>
        <w:t>1.内部管理</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为进一步</w:t>
      </w:r>
      <w:r>
        <w:rPr>
          <w:rFonts w:hint="eastAsia" w:ascii="仿宋" w:hAnsi="仿宋" w:cs="仿宋"/>
          <w:szCs w:val="32"/>
        </w:rPr>
        <w:t>提升</w:t>
      </w:r>
      <w:r>
        <w:rPr>
          <w:rFonts w:hint="eastAsia" w:ascii="仿宋" w:hAnsi="仿宋" w:cs="仿宋"/>
          <w:color w:val="000000"/>
          <w:kern w:val="0"/>
          <w:szCs w:val="32"/>
          <w:shd w:val="clear" w:color="auto" w:fill="FFFFFF"/>
        </w:rPr>
        <w:t>高新区企服中心</w:t>
      </w:r>
      <w:r>
        <w:rPr>
          <w:rFonts w:hint="eastAsia" w:ascii="仿宋" w:hAnsi="仿宋" w:cs="仿宋"/>
          <w:szCs w:val="32"/>
        </w:rPr>
        <w:t>议事决策的科学性和规范性，增强工作的透明度，加强对决策重大事项的风险防控和监督管理，以及</w:t>
      </w:r>
      <w:r>
        <w:rPr>
          <w:rFonts w:hint="eastAsia" w:ascii="仿宋" w:hAnsi="仿宋" w:cs="仿宋"/>
          <w:color w:val="000000"/>
          <w:kern w:val="0"/>
          <w:szCs w:val="32"/>
          <w:lang w:bidi="ar"/>
        </w:rPr>
        <w:t>规范各个业务环节的管理，</w:t>
      </w:r>
      <w:r>
        <w:rPr>
          <w:rFonts w:hint="eastAsia" w:ascii="仿宋" w:hAnsi="仿宋" w:cs="仿宋"/>
          <w:color w:val="000000"/>
          <w:kern w:val="0"/>
          <w:szCs w:val="32"/>
          <w:shd w:val="clear" w:color="auto" w:fill="FFFFFF"/>
        </w:rPr>
        <w:t>高新区企服中心</w:t>
      </w:r>
      <w:r>
        <w:rPr>
          <w:rFonts w:hint="eastAsia" w:ascii="仿宋" w:hAnsi="仿宋" w:cs="仿宋"/>
          <w:szCs w:val="32"/>
        </w:rPr>
        <w:t>制定了《遂宁高新区企业发展服务中心公文管理制度》《遂宁高新区企业发展服务中心考勤管理制度》《遂宁高新区企业发展服务中心印章管理制度》《遂宁高新区企业发展服务中心财务内部控制制度》（遂高企服〔2022〕1号）</w:t>
      </w:r>
      <w:r>
        <w:rPr>
          <w:rFonts w:hint="eastAsia" w:ascii="仿宋" w:hAnsi="仿宋" w:cs="仿宋"/>
          <w:szCs w:val="32"/>
          <w:lang w:eastAsia="zh-CN"/>
        </w:rPr>
        <w:t>、</w:t>
      </w:r>
      <w:r>
        <w:rPr>
          <w:rFonts w:hint="eastAsia" w:ascii="仿宋" w:hAnsi="仿宋" w:cs="仿宋"/>
          <w:szCs w:val="32"/>
        </w:rPr>
        <w:t>《遂宁高新区企业发展服务中心“三重一大”事项决策制度》（遂高企服〔2023〕1号）等管理制度。</w:t>
      </w:r>
      <w:r>
        <w:rPr>
          <w:rFonts w:hint="eastAsia" w:ascii="仿宋" w:hAnsi="仿宋" w:cs="仿宋"/>
          <w:color w:val="000000"/>
          <w:kern w:val="0"/>
          <w:szCs w:val="32"/>
          <w:lang w:bidi="ar"/>
        </w:rPr>
        <w:t>其他各项管理参照的是遂宁高新区党政办公室关于印发《机关财务管理制度（试行）》的通知（遂高办〔202〕69号）</w:t>
      </w:r>
      <w:r>
        <w:rPr>
          <w:rFonts w:hint="eastAsia" w:ascii="仿宋" w:hAnsi="仿宋" w:cs="仿宋"/>
          <w:color w:val="000000"/>
          <w:kern w:val="0"/>
          <w:szCs w:val="32"/>
          <w:lang w:eastAsia="zh-CN" w:bidi="ar"/>
        </w:rPr>
        <w:t>、</w:t>
      </w:r>
      <w:r>
        <w:rPr>
          <w:rFonts w:hint="eastAsia" w:ascii="仿宋" w:hAnsi="仿宋" w:cs="仿宋"/>
          <w:szCs w:val="32"/>
        </w:rPr>
        <w:t>遂宁高新区党政办公室关于印发《遂宁高新区财政性资金使用管理暂行办法（试行）》的通知（遂高办〔2021〕270号）</w:t>
      </w:r>
      <w:r>
        <w:rPr>
          <w:rFonts w:hint="eastAsia" w:ascii="仿宋" w:hAnsi="仿宋" w:cs="仿宋"/>
          <w:szCs w:val="32"/>
          <w:lang w:eastAsia="zh-CN"/>
        </w:rPr>
        <w:t>、</w:t>
      </w:r>
      <w:r>
        <w:rPr>
          <w:rFonts w:hint="eastAsia" w:ascii="仿宋" w:hAnsi="仿宋" w:cs="仿宋"/>
          <w:color w:val="000000"/>
          <w:kern w:val="0"/>
          <w:szCs w:val="32"/>
          <w:lang w:bidi="ar"/>
        </w:rPr>
        <w:t>《遂宁市党政机关国内公务接待管理实施办法的通知》（遂委办发</w:t>
      </w:r>
      <w:r>
        <w:rPr>
          <w:rFonts w:hint="eastAsia" w:ascii="仿宋" w:hAnsi="仿宋" w:cs="仿宋"/>
          <w:szCs w:val="32"/>
        </w:rPr>
        <w:t>〔</w:t>
      </w:r>
      <w:r>
        <w:rPr>
          <w:rFonts w:hint="eastAsia" w:ascii="仿宋" w:hAnsi="仿宋" w:cs="仿宋"/>
          <w:color w:val="000000"/>
          <w:kern w:val="0"/>
          <w:szCs w:val="32"/>
          <w:lang w:bidi="ar"/>
        </w:rPr>
        <w:t>2014</w:t>
      </w:r>
      <w:r>
        <w:rPr>
          <w:rFonts w:hint="eastAsia" w:ascii="仿宋" w:hAnsi="仿宋" w:cs="仿宋"/>
          <w:szCs w:val="32"/>
        </w:rPr>
        <w:t>〕</w:t>
      </w:r>
      <w:r>
        <w:rPr>
          <w:rFonts w:hint="eastAsia" w:ascii="仿宋" w:hAnsi="仿宋" w:cs="仿宋"/>
          <w:color w:val="000000"/>
          <w:kern w:val="0"/>
          <w:szCs w:val="32"/>
          <w:lang w:bidi="ar"/>
        </w:rPr>
        <w:t>18号）</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《遂宁高新区财政性资金使用管理暂行办法（试行）》等文件规定。</w:t>
      </w:r>
    </w:p>
    <w:p>
      <w:pPr>
        <w:pStyle w:val="4"/>
        <w:ind w:firstLine="643"/>
        <w:rPr>
          <w:rFonts w:hint="eastAsia"/>
        </w:rPr>
      </w:pPr>
      <w:r>
        <w:rPr>
          <w:rFonts w:hint="eastAsia"/>
        </w:rPr>
        <w:t>2.业务管理</w:t>
      </w:r>
    </w:p>
    <w:p>
      <w:pPr>
        <w:keepNext/>
        <w:keepLines/>
        <w:ind w:firstLine="640"/>
        <w:rPr>
          <w:rFonts w:hint="eastAsia" w:ascii="仿宋" w:hAnsi="仿宋" w:cs="仿宋"/>
          <w:szCs w:val="32"/>
          <w:shd w:val="clear" w:color="auto" w:fill="FDFDFE"/>
        </w:rPr>
      </w:pPr>
      <w:bookmarkStart w:id="283" w:name="_Toc10372"/>
      <w:bookmarkStart w:id="284" w:name="_Toc24734"/>
      <w:bookmarkStart w:id="285" w:name="_Toc83"/>
      <w:r>
        <w:rPr>
          <w:rFonts w:hint="eastAsia" w:ascii="仿宋" w:hAnsi="仿宋" w:cs="仿宋"/>
          <w:szCs w:val="32"/>
          <w:shd w:val="clear" w:color="auto" w:fill="FDFDFE"/>
        </w:rPr>
        <w:t>为确保</w:t>
      </w:r>
      <w:r>
        <w:rPr>
          <w:rFonts w:hint="eastAsia" w:ascii="仿宋" w:hAnsi="仿宋" w:cs="仿宋"/>
          <w:color w:val="000000"/>
          <w:kern w:val="0"/>
          <w:szCs w:val="32"/>
          <w:shd w:val="clear" w:color="auto" w:fill="FFFFFF"/>
        </w:rPr>
        <w:t>高新区企服中心</w:t>
      </w:r>
      <w:r>
        <w:rPr>
          <w:rFonts w:hint="eastAsia" w:ascii="仿宋" w:hAnsi="仿宋" w:cs="仿宋"/>
          <w:szCs w:val="32"/>
          <w:shd w:val="clear" w:color="auto" w:fill="FDFDFE"/>
        </w:rPr>
        <w:t>的运营有序、高效，并能够满足其设定的目标和服务要求，</w:t>
      </w:r>
      <w:r>
        <w:rPr>
          <w:rFonts w:hint="eastAsia"/>
        </w:rPr>
        <w:t>本单位业务管理上参照</w:t>
      </w:r>
      <w:r>
        <w:rPr>
          <w:rFonts w:hint="eastAsia" w:ascii="仿宋" w:hAnsi="仿宋" w:cs="仿宋"/>
          <w:kern w:val="0"/>
          <w:szCs w:val="32"/>
          <w:lang w:bidi="ar"/>
        </w:rPr>
        <w:t>《遂宁市财政局遂宁市监察局遂宁市审计局遂宁市市机关事务管理局关于严格执行国内公务接待管理和接待费使用管理有关规定的通知》（遂财行</w:t>
      </w:r>
      <w:r>
        <w:rPr>
          <w:rFonts w:hint="eastAsia" w:ascii="仿宋" w:hAnsi="仿宋" w:cs="仿宋"/>
          <w:szCs w:val="32"/>
        </w:rPr>
        <w:t>〔</w:t>
      </w:r>
      <w:r>
        <w:rPr>
          <w:rFonts w:hint="eastAsia" w:ascii="仿宋" w:hAnsi="仿宋" w:cs="仿宋"/>
          <w:kern w:val="0"/>
          <w:szCs w:val="32"/>
          <w:lang w:bidi="ar"/>
        </w:rPr>
        <w:t>2015</w:t>
      </w:r>
      <w:r>
        <w:rPr>
          <w:rFonts w:hint="eastAsia" w:ascii="仿宋" w:hAnsi="仿宋" w:cs="仿宋"/>
          <w:szCs w:val="32"/>
        </w:rPr>
        <w:t>〕</w:t>
      </w:r>
      <w:r>
        <w:rPr>
          <w:rFonts w:hint="eastAsia" w:ascii="仿宋" w:hAnsi="仿宋" w:cs="仿宋"/>
          <w:kern w:val="0"/>
          <w:szCs w:val="32"/>
          <w:lang w:bidi="ar"/>
        </w:rPr>
        <w:t>2号）</w:t>
      </w:r>
      <w:r>
        <w:rPr>
          <w:rFonts w:hint="eastAsia" w:ascii="仿宋" w:hAnsi="仿宋" w:cs="仿宋"/>
          <w:kern w:val="0"/>
          <w:szCs w:val="32"/>
          <w:lang w:eastAsia="zh-CN" w:bidi="ar"/>
        </w:rPr>
        <w:t>、</w:t>
      </w:r>
      <w:r>
        <w:rPr>
          <w:rFonts w:hint="eastAsia" w:ascii="仿宋" w:hAnsi="仿宋" w:cs="仿宋"/>
          <w:kern w:val="0"/>
          <w:szCs w:val="32"/>
          <w:lang w:bidi="ar"/>
        </w:rPr>
        <w:t>《遂宁市市直机关会议费管理办法》（遂委办发</w:t>
      </w:r>
      <w:r>
        <w:rPr>
          <w:rFonts w:hint="eastAsia" w:ascii="仿宋" w:hAnsi="仿宋" w:cs="仿宋"/>
          <w:szCs w:val="32"/>
        </w:rPr>
        <w:t>〔</w:t>
      </w:r>
      <w:r>
        <w:rPr>
          <w:rFonts w:hint="eastAsia" w:ascii="仿宋" w:hAnsi="仿宋" w:cs="仿宋"/>
          <w:kern w:val="0"/>
          <w:szCs w:val="32"/>
          <w:lang w:bidi="ar"/>
        </w:rPr>
        <w:t>2014</w:t>
      </w:r>
      <w:r>
        <w:rPr>
          <w:rFonts w:hint="eastAsia" w:ascii="仿宋" w:hAnsi="仿宋" w:cs="仿宋"/>
          <w:szCs w:val="32"/>
        </w:rPr>
        <w:t>〕</w:t>
      </w:r>
      <w:r>
        <w:rPr>
          <w:rFonts w:hint="eastAsia" w:ascii="仿宋" w:hAnsi="仿宋" w:cs="仿宋"/>
          <w:kern w:val="0"/>
          <w:szCs w:val="32"/>
          <w:lang w:bidi="ar"/>
        </w:rPr>
        <w:t>18号）等文件规定执行。</w:t>
      </w:r>
    </w:p>
    <w:p>
      <w:pPr>
        <w:pStyle w:val="3"/>
        <w:spacing w:before="120"/>
        <w:ind w:firstLine="643"/>
        <w:rPr>
          <w:rFonts w:hint="eastAsia"/>
        </w:rPr>
      </w:pPr>
      <w:bookmarkStart w:id="286" w:name="_Toc1900"/>
      <w:r>
        <w:rPr>
          <w:rFonts w:hint="eastAsia"/>
        </w:rPr>
        <w:t>（三）部门（单位）预算资金</w:t>
      </w:r>
      <w:bookmarkEnd w:id="283"/>
      <w:bookmarkEnd w:id="284"/>
      <w:bookmarkEnd w:id="285"/>
      <w:bookmarkEnd w:id="286"/>
    </w:p>
    <w:p>
      <w:pPr>
        <w:pStyle w:val="4"/>
        <w:ind w:firstLine="643"/>
        <w:rPr>
          <w:rFonts w:hint="eastAsia"/>
        </w:rPr>
      </w:pPr>
      <w:bookmarkStart w:id="287" w:name="_Toc3763"/>
      <w:bookmarkStart w:id="288" w:name="_Toc6224"/>
      <w:bookmarkStart w:id="289" w:name="_Toc24568"/>
      <w:r>
        <w:rPr>
          <w:rFonts w:hint="eastAsia"/>
        </w:rPr>
        <w:t>1.预算安排和执行情况</w:t>
      </w:r>
    </w:p>
    <w:p>
      <w:pPr>
        <w:widowControl/>
        <w:ind w:firstLine="640"/>
        <w:rPr>
          <w:rFonts w:hint="eastAsia" w:ascii="仿宋" w:hAnsi="仿宋" w:cs="仿宋"/>
          <w:color w:val="000000"/>
          <w:kern w:val="0"/>
          <w:szCs w:val="32"/>
        </w:rPr>
      </w:pPr>
      <w:r>
        <w:rPr>
          <w:rFonts w:hint="eastAsia" w:ascii="仿宋" w:hAnsi="仿宋" w:cs="仿宋"/>
          <w:color w:val="000000"/>
          <w:kern w:val="0"/>
          <w:szCs w:val="32"/>
        </w:rPr>
        <w:t>2023年</w:t>
      </w:r>
      <w:r>
        <w:rPr>
          <w:rFonts w:hint="eastAsia" w:ascii="仿宋" w:hAnsi="仿宋" w:cs="仿宋"/>
          <w:color w:val="000000"/>
          <w:kern w:val="0"/>
          <w:szCs w:val="32"/>
          <w:shd w:val="clear" w:color="auto" w:fill="FFFFFF"/>
        </w:rPr>
        <w:t>高新区企服中心</w:t>
      </w:r>
      <w:r>
        <w:rPr>
          <w:rFonts w:hint="eastAsia" w:ascii="仿宋" w:hAnsi="仿宋" w:cs="仿宋"/>
          <w:color w:val="000000"/>
          <w:kern w:val="0"/>
          <w:szCs w:val="32"/>
        </w:rPr>
        <w:t>年初预算总额100.09万元，其中资金来源于一般公共预算100.09万元，其他收入0.00万元。后经预算调整，预算总额为22,656.81万元，其中基本支出30.31万元（人员经费16.78万元、公用经费13.53万元），项目支出22,626.50万元。</w:t>
      </w:r>
    </w:p>
    <w:p>
      <w:pPr>
        <w:widowControl/>
        <w:ind w:firstLine="640"/>
        <w:rPr>
          <w:rFonts w:hint="eastAsia" w:ascii="仿宋" w:hAnsi="仿宋" w:cs="仿宋"/>
          <w:color w:val="000000"/>
          <w:kern w:val="0"/>
          <w:szCs w:val="32"/>
        </w:rPr>
      </w:pPr>
      <w:r>
        <w:rPr>
          <w:rFonts w:hint="eastAsia" w:ascii="仿宋" w:hAnsi="仿宋" w:cs="仿宋"/>
          <w:color w:val="000000"/>
          <w:kern w:val="0"/>
          <w:szCs w:val="32"/>
        </w:rPr>
        <w:t>2023年</w:t>
      </w:r>
      <w:r>
        <w:rPr>
          <w:rFonts w:hint="eastAsia" w:ascii="仿宋" w:hAnsi="仿宋" w:cs="仿宋"/>
          <w:color w:val="000000"/>
          <w:kern w:val="0"/>
          <w:szCs w:val="32"/>
          <w:shd w:val="clear" w:color="auto" w:fill="FFFFFF"/>
        </w:rPr>
        <w:t>高新区企服中心</w:t>
      </w:r>
      <w:r>
        <w:rPr>
          <w:rFonts w:hint="eastAsia" w:ascii="仿宋" w:hAnsi="仿宋" w:cs="仿宋"/>
          <w:color w:val="000000"/>
          <w:kern w:val="0"/>
          <w:szCs w:val="32"/>
        </w:rPr>
        <w:t>全年共支出22,656.81万元，其中人员经费支出16.78万元，占总支出的0.07%；公用经费支出13.53万元，占总支出的0.06%；项目支出22,626.50万元，占总支出的99.87%。</w:t>
      </w:r>
    </w:p>
    <w:p>
      <w:pPr>
        <w:widowControl/>
        <w:ind w:left="0" w:leftChars="0" w:firstLine="0" w:firstLineChars="0"/>
        <w:jc w:val="center"/>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预算安排与执行情况表</w:t>
      </w:r>
    </w:p>
    <w:p>
      <w:pPr>
        <w:widowControl/>
        <w:ind w:left="0" w:leftChars="0" w:firstLine="0" w:firstLineChars="0"/>
        <w:jc w:val="righ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单位：万元</w:t>
      </w:r>
    </w:p>
    <w:tbl>
      <w:tblPr>
        <w:tblStyle w:val="18"/>
        <w:tblW w:w="8197" w:type="dxa"/>
        <w:jc w:val="center"/>
        <w:tblLayout w:type="fixed"/>
        <w:tblCellMar>
          <w:top w:w="0" w:type="dxa"/>
          <w:left w:w="108" w:type="dxa"/>
          <w:bottom w:w="0" w:type="dxa"/>
          <w:right w:w="108" w:type="dxa"/>
        </w:tblCellMar>
      </w:tblPr>
      <w:tblGrid>
        <w:gridCol w:w="704"/>
        <w:gridCol w:w="582"/>
        <w:gridCol w:w="1258"/>
        <w:gridCol w:w="1040"/>
        <w:gridCol w:w="1390"/>
        <w:gridCol w:w="1230"/>
        <w:gridCol w:w="1040"/>
        <w:gridCol w:w="953"/>
      </w:tblGrid>
      <w:tr>
        <w:tblPrEx>
          <w:tblCellMar>
            <w:top w:w="0" w:type="dxa"/>
            <w:left w:w="108" w:type="dxa"/>
            <w:bottom w:w="0" w:type="dxa"/>
            <w:right w:w="108" w:type="dxa"/>
          </w:tblCellMar>
        </w:tblPrEx>
        <w:trPr>
          <w:trHeight w:val="702" w:hRule="exact"/>
          <w:tblHeader/>
          <w:jc w:val="center"/>
        </w:trPr>
        <w:tc>
          <w:tcPr>
            <w:tcW w:w="70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支出类别</w:t>
            </w:r>
          </w:p>
        </w:tc>
        <w:tc>
          <w:tcPr>
            <w:tcW w:w="184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项目名称</w:t>
            </w:r>
          </w:p>
        </w:tc>
        <w:tc>
          <w:tcPr>
            <w:tcW w:w="10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年初预算</w:t>
            </w:r>
          </w:p>
        </w:tc>
        <w:tc>
          <w:tcPr>
            <w:tcW w:w="139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预算调整率</w:t>
            </w:r>
          </w:p>
        </w:tc>
        <w:tc>
          <w:tcPr>
            <w:tcW w:w="123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执行金额</w:t>
            </w:r>
          </w:p>
        </w:tc>
        <w:tc>
          <w:tcPr>
            <w:tcW w:w="10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结余金额</w:t>
            </w:r>
          </w:p>
        </w:tc>
        <w:tc>
          <w:tcPr>
            <w:tcW w:w="95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执行率</w:t>
            </w:r>
          </w:p>
        </w:tc>
      </w:tr>
      <w:tr>
        <w:tblPrEx>
          <w:tblCellMar>
            <w:top w:w="0" w:type="dxa"/>
            <w:left w:w="108" w:type="dxa"/>
            <w:bottom w:w="0" w:type="dxa"/>
            <w:right w:w="108" w:type="dxa"/>
          </w:tblCellMar>
        </w:tblPrEx>
        <w:trPr>
          <w:trHeight w:val="702" w:hRule="exact"/>
          <w:tblHeader/>
          <w:jc w:val="center"/>
        </w:trPr>
        <w:tc>
          <w:tcPr>
            <w:tcW w:w="70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84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0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390"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2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0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95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r>
      <w:tr>
        <w:tblPrEx>
          <w:tblCellMar>
            <w:top w:w="0" w:type="dxa"/>
            <w:left w:w="108" w:type="dxa"/>
            <w:bottom w:w="0" w:type="dxa"/>
            <w:right w:w="108" w:type="dxa"/>
          </w:tblCellMar>
        </w:tblPrEx>
        <w:trPr>
          <w:trHeight w:val="601" w:hRule="exact"/>
          <w:jc w:val="center"/>
        </w:trPr>
        <w:tc>
          <w:tcPr>
            <w:tcW w:w="70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基本支出</w:t>
            </w:r>
          </w:p>
        </w:tc>
        <w:tc>
          <w:tcPr>
            <w:tcW w:w="184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人员经费</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47.04</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64.34%</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16.78</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953"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r>
      <w:tr>
        <w:tblPrEx>
          <w:tblCellMar>
            <w:top w:w="0" w:type="dxa"/>
            <w:left w:w="108" w:type="dxa"/>
            <w:bottom w:w="0" w:type="dxa"/>
            <w:right w:w="108" w:type="dxa"/>
          </w:tblCellMar>
        </w:tblPrEx>
        <w:trPr>
          <w:trHeight w:val="601" w:hRule="exac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84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公用经费</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18.05</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25.07%</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13.53</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953"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r>
      <w:tr>
        <w:tblPrEx>
          <w:tblCellMar>
            <w:top w:w="0" w:type="dxa"/>
            <w:left w:w="108" w:type="dxa"/>
            <w:bottom w:w="0" w:type="dxa"/>
            <w:right w:w="108" w:type="dxa"/>
          </w:tblCellMar>
        </w:tblPrEx>
        <w:trPr>
          <w:trHeight w:val="661" w:hRule="exact"/>
          <w:jc w:val="center"/>
        </w:trPr>
        <w:tc>
          <w:tcPr>
            <w:tcW w:w="70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840"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小计</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65.09</w:t>
            </w:r>
          </w:p>
        </w:tc>
        <w:tc>
          <w:tcPr>
            <w:tcW w:w="139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highlight w:val="yellow"/>
              </w:rPr>
            </w:pP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53.45%</w:t>
            </w:r>
          </w:p>
        </w:tc>
        <w:tc>
          <w:tcPr>
            <w:tcW w:w="123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sz w:val="20"/>
                <w:szCs w:val="20"/>
              </w:rPr>
              <w:t>30.31</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0.00</w:t>
            </w:r>
          </w:p>
        </w:tc>
        <w:tc>
          <w:tcPr>
            <w:tcW w:w="953"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100.00%</w:t>
            </w:r>
          </w:p>
        </w:tc>
      </w:tr>
      <w:tr>
        <w:tblPrEx>
          <w:tblCellMar>
            <w:top w:w="0" w:type="dxa"/>
            <w:left w:w="108" w:type="dxa"/>
            <w:bottom w:w="0" w:type="dxa"/>
            <w:right w:w="108" w:type="dxa"/>
          </w:tblCellMar>
        </w:tblPrEx>
        <w:trPr>
          <w:trHeight w:val="601" w:hRule="exact"/>
          <w:jc w:val="center"/>
        </w:trPr>
        <w:tc>
          <w:tcPr>
            <w:tcW w:w="70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项目支出</w:t>
            </w:r>
          </w:p>
        </w:tc>
        <w:tc>
          <w:tcPr>
            <w:tcW w:w="58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258"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bidi="ar"/>
              </w:rPr>
              <w:t>招商引资</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20.00</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870.83%</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17,436.50</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953"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r>
      <w:tr>
        <w:tblPrEx>
          <w:tblCellMar>
            <w:top w:w="0" w:type="dxa"/>
            <w:left w:w="108" w:type="dxa"/>
            <w:bottom w:w="0" w:type="dxa"/>
            <w:right w:w="108" w:type="dxa"/>
          </w:tblCellMar>
        </w:tblPrEx>
        <w:trPr>
          <w:trHeight w:val="1143" w:hRule="exact"/>
          <w:jc w:val="center"/>
        </w:trPr>
        <w:tc>
          <w:tcPr>
            <w:tcW w:w="70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58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258" w:type="dxa"/>
            <w:tcBorders>
              <w:top w:val="nil"/>
              <w:left w:val="nil"/>
              <w:bottom w:val="single" w:color="auto" w:sz="4" w:space="0"/>
              <w:right w:val="single" w:color="auto" w:sz="4" w:space="0"/>
            </w:tcBorders>
            <w:noWrap w:val="0"/>
            <w:vAlign w:val="center"/>
          </w:tcPr>
          <w:p>
            <w:pPr>
              <w:pStyle w:val="29"/>
              <w:spacing w:line="240" w:lineRule="auto"/>
              <w:ind w:firstLine="0" w:firstLineChars="0"/>
              <w:jc w:val="center"/>
              <w:rPr>
                <w:rFonts w:hint="eastAsia" w:ascii="宋体" w:hAnsi="宋体" w:eastAsia="宋体" w:cs="宋体"/>
                <w:sz w:val="20"/>
                <w:szCs w:val="20"/>
              </w:rPr>
            </w:pPr>
            <w:r>
              <w:rPr>
                <w:rFonts w:hint="eastAsia" w:ascii="宋体" w:hAnsi="宋体" w:eastAsia="宋体" w:cs="宋体"/>
                <w:color w:val="000000"/>
                <w:kern w:val="0"/>
                <w:sz w:val="20"/>
                <w:szCs w:val="20"/>
                <w:lang w:bidi="ar"/>
              </w:rPr>
              <w:t>办公场地租用及运行维护项目专项工作经费</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15.00</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953"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601" w:hRule="exact"/>
          <w:jc w:val="center"/>
        </w:trPr>
        <w:tc>
          <w:tcPr>
            <w:tcW w:w="70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58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258"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bidi="ar"/>
              </w:rPr>
              <w:t>教育支出</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5,190.00</w:t>
            </w:r>
          </w:p>
        </w:tc>
        <w:tc>
          <w:tcPr>
            <w:tcW w:w="104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953"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r>
      <w:tr>
        <w:tblPrEx>
          <w:tblCellMar>
            <w:top w:w="0" w:type="dxa"/>
            <w:left w:w="108" w:type="dxa"/>
            <w:bottom w:w="0" w:type="dxa"/>
            <w:right w:w="108" w:type="dxa"/>
          </w:tblCellMar>
        </w:tblPrEx>
        <w:trPr>
          <w:trHeight w:val="661" w:hRule="exact"/>
          <w:jc w:val="center"/>
        </w:trPr>
        <w:tc>
          <w:tcPr>
            <w:tcW w:w="70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p>
        </w:tc>
        <w:tc>
          <w:tcPr>
            <w:tcW w:w="1840" w:type="dxa"/>
            <w:gridSpan w:val="2"/>
            <w:tcBorders>
              <w:top w:val="single" w:color="auto" w:sz="4" w:space="0"/>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小计</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35.00</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64547.15%</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22，626.50</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0.00</w:t>
            </w:r>
          </w:p>
        </w:tc>
        <w:tc>
          <w:tcPr>
            <w:tcW w:w="953"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100.00%</w:t>
            </w:r>
          </w:p>
        </w:tc>
      </w:tr>
      <w:tr>
        <w:tblPrEx>
          <w:tblCellMar>
            <w:top w:w="0" w:type="dxa"/>
            <w:left w:w="108" w:type="dxa"/>
            <w:bottom w:w="0" w:type="dxa"/>
            <w:right w:w="108" w:type="dxa"/>
          </w:tblCellMar>
        </w:tblPrEx>
        <w:trPr>
          <w:trHeight w:val="671" w:hRule="exact"/>
          <w:jc w:val="center"/>
        </w:trPr>
        <w:tc>
          <w:tcPr>
            <w:tcW w:w="2544"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合计</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100.09</w:t>
            </w:r>
          </w:p>
        </w:tc>
        <w:tc>
          <w:tcPr>
            <w:tcW w:w="139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22535.50%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22，656.81</w:t>
            </w:r>
          </w:p>
        </w:tc>
        <w:tc>
          <w:tcPr>
            <w:tcW w:w="104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0.00</w:t>
            </w:r>
          </w:p>
        </w:tc>
        <w:tc>
          <w:tcPr>
            <w:tcW w:w="953"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100.00%</w:t>
            </w:r>
          </w:p>
        </w:tc>
      </w:tr>
    </w:tbl>
    <w:p>
      <w:pPr>
        <w:pStyle w:val="4"/>
        <w:ind w:firstLine="643"/>
        <w:rPr>
          <w:rFonts w:hint="eastAsia"/>
        </w:rPr>
      </w:pPr>
      <w:bookmarkStart w:id="290" w:name="_Toc1295"/>
      <w:bookmarkStart w:id="291" w:name="_Toc10113"/>
      <w:bookmarkStart w:id="292" w:name="_Toc10486"/>
      <w:r>
        <w:rPr>
          <w:rFonts w:hint="eastAsia"/>
        </w:rPr>
        <w:t>2.预算调整情况</w:t>
      </w:r>
    </w:p>
    <w:p>
      <w:pPr>
        <w:ind w:firstLine="640"/>
        <w:rPr>
          <w:rFonts w:hint="eastAsia" w:ascii="仿宋" w:hAnsi="仿宋" w:cs="仿宋"/>
          <w:color w:val="000000"/>
          <w:kern w:val="0"/>
          <w:szCs w:val="32"/>
        </w:rPr>
      </w:pPr>
      <w:r>
        <w:rPr>
          <w:rFonts w:hint="eastAsia" w:ascii="仿宋" w:hAnsi="仿宋" w:cs="仿宋"/>
          <w:color w:val="000000"/>
          <w:kern w:val="0"/>
          <w:szCs w:val="32"/>
        </w:rPr>
        <w:t>2023年</w:t>
      </w:r>
      <w:r>
        <w:rPr>
          <w:rFonts w:hint="eastAsia" w:ascii="仿宋" w:hAnsi="仿宋" w:cs="仿宋"/>
          <w:color w:val="000000"/>
          <w:kern w:val="0"/>
          <w:szCs w:val="32"/>
          <w:shd w:val="clear" w:color="auto" w:fill="FFFFFF"/>
        </w:rPr>
        <w:t>高新区企服中心</w:t>
      </w:r>
      <w:r>
        <w:rPr>
          <w:rFonts w:hint="eastAsia" w:ascii="仿宋" w:hAnsi="仿宋" w:cs="仿宋"/>
          <w:color w:val="000000"/>
          <w:kern w:val="0"/>
          <w:szCs w:val="32"/>
        </w:rPr>
        <w:t>年初预算总额100.09万元，</w:t>
      </w:r>
      <w:r>
        <w:rPr>
          <w:rFonts w:hint="eastAsia" w:ascii="仿宋" w:hAnsi="仿宋" w:cs="仿宋"/>
        </w:rPr>
        <w:t>调整后预算总额</w:t>
      </w:r>
      <w:r>
        <w:rPr>
          <w:rFonts w:hint="eastAsia" w:ascii="仿宋" w:hAnsi="仿宋" w:cs="仿宋"/>
          <w:color w:val="000000"/>
          <w:kern w:val="0"/>
          <w:szCs w:val="32"/>
        </w:rPr>
        <w:t>22,656.81万元</w:t>
      </w:r>
      <w:r>
        <w:rPr>
          <w:rFonts w:hint="eastAsia" w:ascii="仿宋" w:hAnsi="仿宋" w:cs="仿宋"/>
        </w:rPr>
        <w:t>，调整率为22535.50%</w:t>
      </w:r>
      <w:r>
        <w:rPr>
          <w:rFonts w:hint="eastAsia" w:ascii="仿宋" w:hAnsi="仿宋" w:cs="仿宋"/>
          <w:lang w:eastAsia="zh-CN"/>
        </w:rPr>
        <w:t>。</w:t>
      </w:r>
      <w:r>
        <w:rPr>
          <w:rFonts w:hint="eastAsia" w:ascii="仿宋" w:hAnsi="仿宋" w:cs="仿宋"/>
        </w:rPr>
        <w:t>其中主要调整项为：</w:t>
      </w:r>
      <w:r>
        <w:rPr>
          <w:rFonts w:hint="eastAsia" w:ascii="仿宋" w:hAnsi="仿宋" w:cs="仿宋"/>
          <w:color w:val="000000"/>
          <w:kern w:val="0"/>
          <w:szCs w:val="32"/>
        </w:rPr>
        <w:t>公用经费预算</w:t>
      </w:r>
      <w:r>
        <w:rPr>
          <w:rFonts w:hint="eastAsia" w:ascii="仿宋" w:hAnsi="仿宋" w:cs="仿宋"/>
          <w:color w:val="000000"/>
          <w:kern w:val="0"/>
          <w:szCs w:val="32"/>
          <w:lang w:val="en-US" w:eastAsia="zh-CN"/>
        </w:rPr>
        <w:t>调减</w:t>
      </w:r>
      <w:r>
        <w:rPr>
          <w:rFonts w:hint="eastAsia" w:ascii="仿宋" w:hAnsi="仿宋" w:cs="仿宋"/>
          <w:color w:val="000000"/>
          <w:kern w:val="0"/>
          <w:szCs w:val="32"/>
        </w:rPr>
        <w:t>4.52万元，预算调整率为25.07%；三公经费预算</w:t>
      </w:r>
      <w:r>
        <w:rPr>
          <w:rFonts w:hint="eastAsia" w:ascii="仿宋" w:hAnsi="仿宋" w:cs="仿宋"/>
          <w:color w:val="000000"/>
          <w:kern w:val="0"/>
          <w:szCs w:val="32"/>
          <w:lang w:val="en-US" w:eastAsia="zh-CN"/>
        </w:rPr>
        <w:t>调减</w:t>
      </w:r>
      <w:r>
        <w:rPr>
          <w:rFonts w:hint="eastAsia" w:ascii="仿宋" w:hAnsi="仿宋" w:cs="仿宋"/>
          <w:color w:val="000000"/>
          <w:kern w:val="0"/>
          <w:szCs w:val="32"/>
        </w:rPr>
        <w:t>0.24万元，预算调整率为100.00%；招商引资项目预算</w:t>
      </w:r>
      <w:r>
        <w:rPr>
          <w:rFonts w:hint="eastAsia" w:ascii="仿宋" w:hAnsi="仿宋" w:cs="仿宋"/>
          <w:color w:val="000000"/>
          <w:kern w:val="0"/>
          <w:szCs w:val="32"/>
          <w:lang w:val="en-US" w:eastAsia="zh-CN"/>
        </w:rPr>
        <w:t>调增</w:t>
      </w:r>
      <w:r>
        <w:rPr>
          <w:rFonts w:hint="eastAsia" w:ascii="仿宋" w:hAnsi="仿宋" w:cs="仿宋"/>
          <w:color w:val="000000"/>
          <w:kern w:val="0"/>
          <w:szCs w:val="32"/>
        </w:rPr>
        <w:t>17,416.50万元，预算调整率为870.83%；教育支出项目预算</w:t>
      </w:r>
      <w:r>
        <w:rPr>
          <w:rFonts w:hint="eastAsia" w:ascii="仿宋" w:hAnsi="仿宋" w:cs="仿宋"/>
          <w:color w:val="000000"/>
          <w:kern w:val="0"/>
          <w:szCs w:val="32"/>
          <w:lang w:val="en-US" w:eastAsia="zh-CN"/>
        </w:rPr>
        <w:t>调增</w:t>
      </w:r>
      <w:r>
        <w:rPr>
          <w:rFonts w:hint="eastAsia" w:ascii="仿宋" w:hAnsi="仿宋" w:cs="仿宋"/>
          <w:color w:val="000000"/>
          <w:kern w:val="0"/>
          <w:szCs w:val="32"/>
        </w:rPr>
        <w:t>5,190.00万元，预算调整率为100.00%。</w:t>
      </w:r>
    </w:p>
    <w:p>
      <w:pPr>
        <w:pStyle w:val="4"/>
        <w:ind w:firstLine="643"/>
        <w:rPr>
          <w:rFonts w:hint="eastAsia"/>
        </w:rPr>
      </w:pPr>
      <w:r>
        <w:rPr>
          <w:rFonts w:hint="eastAsia"/>
        </w:rPr>
        <w:t>3.预算结余情况</w:t>
      </w:r>
    </w:p>
    <w:p>
      <w:pPr>
        <w:widowControl/>
        <w:adjustRightInd w:val="0"/>
        <w:snapToGrid w:val="0"/>
        <w:ind w:firstLine="640"/>
        <w:contextualSpacing/>
        <w:rPr>
          <w:rFonts w:hint="eastAsia" w:ascii="仿宋" w:hAnsi="仿宋" w:eastAsia="仿宋" w:cs="仿宋"/>
          <w:szCs w:val="32"/>
        </w:rPr>
      </w:pPr>
      <w:r>
        <w:rPr>
          <w:rFonts w:hint="eastAsia" w:ascii="仿宋" w:hAnsi="仿宋" w:eastAsia="仿宋" w:cs="仿宋"/>
          <w:szCs w:val="32"/>
          <w:lang w:val="zh-CN"/>
        </w:rPr>
        <w:t>20</w:t>
      </w:r>
      <w:r>
        <w:rPr>
          <w:rFonts w:hint="eastAsia" w:ascii="仿宋" w:hAnsi="仿宋" w:eastAsia="仿宋" w:cs="仿宋"/>
          <w:szCs w:val="32"/>
        </w:rPr>
        <w:t>23</w:t>
      </w:r>
      <w:r>
        <w:rPr>
          <w:rFonts w:hint="eastAsia" w:ascii="仿宋" w:hAnsi="仿宋" w:eastAsia="仿宋" w:cs="仿宋"/>
          <w:szCs w:val="32"/>
          <w:lang w:val="zh-CN"/>
        </w:rPr>
        <w:t>年</w:t>
      </w:r>
      <w:r>
        <w:rPr>
          <w:rFonts w:hint="eastAsia" w:ascii="仿宋" w:hAnsi="仿宋" w:eastAsia="仿宋" w:cs="仿宋"/>
          <w:szCs w:val="32"/>
        </w:rPr>
        <w:t>年初</w:t>
      </w:r>
      <w:r>
        <w:rPr>
          <w:rFonts w:hint="eastAsia" w:ascii="仿宋" w:hAnsi="仿宋" w:eastAsia="仿宋" w:cs="仿宋"/>
          <w:szCs w:val="32"/>
          <w:lang w:val="zh-CN"/>
        </w:rPr>
        <w:t>收入预算</w:t>
      </w:r>
      <w:r>
        <w:rPr>
          <w:rFonts w:hint="eastAsia" w:ascii="仿宋" w:hAnsi="仿宋" w:eastAsia="仿宋" w:cs="仿宋"/>
          <w:color w:val="000000"/>
          <w:kern w:val="0"/>
          <w:szCs w:val="32"/>
        </w:rPr>
        <w:t>100.09万</w:t>
      </w:r>
      <w:r>
        <w:rPr>
          <w:rFonts w:hint="eastAsia" w:ascii="仿宋" w:hAnsi="仿宋" w:eastAsia="仿宋" w:cs="仿宋"/>
          <w:szCs w:val="32"/>
          <w:lang w:val="zh-CN"/>
        </w:rPr>
        <w:t>元，</w:t>
      </w:r>
      <w:r>
        <w:rPr>
          <w:rFonts w:hint="eastAsia" w:ascii="仿宋" w:hAnsi="仿宋" w:eastAsia="仿宋" w:cs="仿宋"/>
          <w:szCs w:val="32"/>
        </w:rPr>
        <w:t>调整后预算为</w:t>
      </w:r>
      <w:r>
        <w:rPr>
          <w:rFonts w:hint="eastAsia" w:ascii="仿宋" w:hAnsi="仿宋" w:eastAsia="仿宋" w:cs="仿宋"/>
          <w:color w:val="000000"/>
          <w:kern w:val="0"/>
          <w:szCs w:val="32"/>
        </w:rPr>
        <w:t>22,656.81万</w:t>
      </w:r>
      <w:r>
        <w:rPr>
          <w:rFonts w:hint="eastAsia" w:ascii="仿宋" w:hAnsi="仿宋" w:eastAsia="仿宋" w:cs="仿宋"/>
          <w:szCs w:val="32"/>
          <w:lang w:val="zh-CN"/>
        </w:rPr>
        <w:t>元。</w:t>
      </w:r>
      <w:r>
        <w:rPr>
          <w:rFonts w:hint="eastAsia" w:ascii="仿宋" w:hAnsi="仿宋" w:eastAsia="仿宋" w:cs="仿宋"/>
          <w:szCs w:val="32"/>
        </w:rPr>
        <w:t>本年度</w:t>
      </w:r>
      <w:r>
        <w:rPr>
          <w:rFonts w:hint="eastAsia" w:ascii="仿宋" w:hAnsi="仿宋" w:eastAsia="仿宋" w:cs="仿宋"/>
          <w:color w:val="000000"/>
          <w:kern w:val="0"/>
          <w:szCs w:val="32"/>
          <w:shd w:val="clear" w:color="auto" w:fill="FFFFFF"/>
        </w:rPr>
        <w:t>实际支出</w:t>
      </w:r>
      <w:r>
        <w:rPr>
          <w:rFonts w:hint="eastAsia" w:ascii="仿宋" w:hAnsi="仿宋" w:eastAsia="仿宋" w:cs="仿宋"/>
          <w:color w:val="000000"/>
          <w:kern w:val="0"/>
          <w:szCs w:val="32"/>
        </w:rPr>
        <w:t>22,656.81万</w:t>
      </w:r>
      <w:r>
        <w:rPr>
          <w:rFonts w:hint="eastAsia" w:ascii="仿宋" w:hAnsi="仿宋" w:eastAsia="仿宋" w:cs="仿宋"/>
          <w:color w:val="000000"/>
          <w:kern w:val="0"/>
          <w:szCs w:val="32"/>
          <w:shd w:val="clear" w:color="auto" w:fill="FFFFFF"/>
        </w:rPr>
        <w:t>元，无结余。</w:t>
      </w:r>
    </w:p>
    <w:p>
      <w:pPr>
        <w:pStyle w:val="3"/>
        <w:spacing w:before="120"/>
        <w:ind w:firstLine="643"/>
        <w:rPr>
          <w:rFonts w:hint="eastAsia"/>
        </w:rPr>
      </w:pPr>
      <w:bookmarkStart w:id="293" w:name="_Toc9144"/>
      <w:bookmarkStart w:id="294" w:name="_Toc31447"/>
      <w:bookmarkStart w:id="295" w:name="_Toc21249"/>
      <w:bookmarkStart w:id="296" w:name="_Toc17594"/>
      <w:r>
        <w:rPr>
          <w:rFonts w:hint="eastAsia"/>
        </w:rPr>
        <w:t>（四）部门（单位）资产情况</w:t>
      </w:r>
      <w:bookmarkEnd w:id="290"/>
      <w:bookmarkEnd w:id="291"/>
      <w:bookmarkEnd w:id="292"/>
      <w:bookmarkEnd w:id="293"/>
      <w:bookmarkEnd w:id="294"/>
      <w:bookmarkEnd w:id="295"/>
      <w:bookmarkEnd w:id="296"/>
    </w:p>
    <w:p>
      <w:pPr>
        <w:pStyle w:val="4"/>
        <w:ind w:firstLine="643"/>
        <w:rPr>
          <w:rFonts w:hint="eastAsia"/>
        </w:rPr>
      </w:pPr>
      <w:r>
        <w:rPr>
          <w:rFonts w:hint="eastAsia"/>
        </w:rPr>
        <w:t>1.流动资产</w:t>
      </w:r>
    </w:p>
    <w:p>
      <w:pPr>
        <w:ind w:firstLine="640"/>
        <w:rPr>
          <w:rFonts w:hint="eastAsia" w:ascii="仿宋" w:hAnsi="仿宋" w:cs="仿宋"/>
          <w:szCs w:val="32"/>
        </w:rPr>
      </w:pPr>
      <w:r>
        <w:rPr>
          <w:rFonts w:hint="eastAsia" w:ascii="仿宋" w:hAnsi="仿宋" w:cs="仿宋"/>
          <w:szCs w:val="32"/>
        </w:rPr>
        <w:t>经查看</w:t>
      </w:r>
      <w:r>
        <w:rPr>
          <w:rFonts w:hint="eastAsia" w:ascii="仿宋" w:hAnsi="仿宋" w:cs="仿宋"/>
          <w:color w:val="000000"/>
          <w:kern w:val="0"/>
          <w:szCs w:val="32"/>
          <w:shd w:val="clear" w:color="auto" w:fill="FFFFFF"/>
        </w:rPr>
        <w:t>高新区企服中心</w:t>
      </w:r>
      <w:r>
        <w:rPr>
          <w:rFonts w:hint="eastAsia" w:ascii="仿宋" w:hAnsi="仿宋" w:cs="仿宋"/>
          <w:szCs w:val="32"/>
        </w:rPr>
        <w:t>2023年度日记账、科目余额表、往来账和财务报表，截至2023年底，流动资产无余额。</w:t>
      </w:r>
    </w:p>
    <w:p>
      <w:pPr>
        <w:pStyle w:val="4"/>
        <w:ind w:firstLine="643"/>
        <w:rPr>
          <w:rFonts w:hint="eastAsia"/>
        </w:rPr>
      </w:pPr>
      <w:r>
        <w:rPr>
          <w:rFonts w:hint="eastAsia"/>
        </w:rPr>
        <w:t>2.固定资产</w:t>
      </w:r>
    </w:p>
    <w:p>
      <w:pPr>
        <w:ind w:firstLine="640"/>
        <w:rPr>
          <w:rFonts w:hint="eastAsia" w:ascii="仿宋" w:hAnsi="仿宋" w:cs="仿宋"/>
          <w:szCs w:val="32"/>
        </w:rPr>
      </w:pPr>
      <w:r>
        <w:rPr>
          <w:rFonts w:hint="eastAsia" w:ascii="仿宋" w:hAnsi="仿宋" w:cs="仿宋"/>
          <w:szCs w:val="32"/>
        </w:rPr>
        <w:t>截至2023年12月31日，</w:t>
      </w:r>
      <w:r>
        <w:rPr>
          <w:rFonts w:hint="eastAsia" w:ascii="仿宋" w:hAnsi="仿宋" w:cs="仿宋"/>
          <w:color w:val="000000"/>
          <w:kern w:val="0"/>
          <w:szCs w:val="32"/>
          <w:shd w:val="clear" w:color="auto" w:fill="FFFFFF"/>
        </w:rPr>
        <w:t>高新区企服中心</w:t>
      </w:r>
      <w:r>
        <w:rPr>
          <w:rFonts w:hint="eastAsia" w:ascii="仿宋" w:hAnsi="仿宋" w:cs="仿宋"/>
          <w:szCs w:val="32"/>
        </w:rPr>
        <w:t>固定资产账面原值</w:t>
      </w:r>
      <w:r>
        <w:rPr>
          <w:rFonts w:hint="eastAsia" w:ascii="仿宋" w:hAnsi="仿宋" w:cs="仿宋"/>
          <w:color w:val="000000"/>
          <w:kern w:val="0"/>
          <w:szCs w:val="32"/>
          <w:lang w:bidi="ar"/>
        </w:rPr>
        <w:t>0.11万</w:t>
      </w:r>
      <w:r>
        <w:rPr>
          <w:rFonts w:hint="eastAsia" w:ascii="仿宋" w:hAnsi="仿宋" w:cs="仿宋"/>
          <w:szCs w:val="32"/>
        </w:rPr>
        <w:t>元</w:t>
      </w:r>
      <w:r>
        <w:rPr>
          <w:rFonts w:hint="eastAsia" w:ascii="仿宋" w:hAnsi="仿宋" w:cs="仿宋"/>
          <w:szCs w:val="32"/>
          <w:lang w:eastAsia="zh-CN"/>
        </w:rPr>
        <w:t>，是2023年6月15购买的两把办公椅。</w:t>
      </w:r>
      <w:r>
        <w:rPr>
          <w:rFonts w:hint="eastAsia" w:ascii="仿宋" w:hAnsi="仿宋" w:cs="仿宋"/>
          <w:szCs w:val="32"/>
        </w:rPr>
        <w:t>经实际盘点和查看，无闲置固定资产，资产利用率为100</w:t>
      </w:r>
      <w:r>
        <w:rPr>
          <w:rFonts w:hint="eastAsia" w:ascii="仿宋" w:hAnsi="仿宋" w:cs="仿宋"/>
          <w:color w:val="000000"/>
          <w:kern w:val="0"/>
          <w:szCs w:val="32"/>
          <w:lang w:bidi="ar"/>
        </w:rPr>
        <w:t>.00</w:t>
      </w:r>
      <w:r>
        <w:rPr>
          <w:rFonts w:hint="eastAsia" w:ascii="仿宋" w:hAnsi="仿宋" w:cs="仿宋"/>
          <w:szCs w:val="32"/>
        </w:rPr>
        <w:t>%</w:t>
      </w:r>
      <w:r>
        <w:rPr>
          <w:rFonts w:hint="eastAsia" w:cs="仿宋"/>
          <w:szCs w:val="32"/>
        </w:rPr>
        <w:t>。但</w:t>
      </w:r>
      <w:r>
        <w:rPr>
          <w:rFonts w:hint="eastAsia" w:ascii="仿宋" w:hAnsi="仿宋" w:cs="仿宋"/>
          <w:szCs w:val="32"/>
        </w:rPr>
        <w:t>发现该部门存在资产价值不明的情况，且相关资产未落实使用人，未做到账实相符</w:t>
      </w:r>
      <w:r>
        <w:rPr>
          <w:rFonts w:hint="eastAsia" w:ascii="仿宋" w:hAnsi="仿宋" w:cs="仿宋"/>
          <w:szCs w:val="32"/>
          <w:lang w:eastAsia="zh-CN"/>
        </w:rPr>
        <w:t>，</w:t>
      </w:r>
      <w:r>
        <w:rPr>
          <w:rFonts w:hint="eastAsia" w:ascii="仿宋" w:hAnsi="仿宋" w:cs="仿宋"/>
          <w:szCs w:val="32"/>
        </w:rPr>
        <w:t>资产管理工作未认真贯彻执行。</w:t>
      </w:r>
      <w:bookmarkStart w:id="297" w:name="_Toc14345"/>
      <w:bookmarkStart w:id="298" w:name="_Toc1405"/>
    </w:p>
    <w:p>
      <w:pPr>
        <w:pStyle w:val="2"/>
        <w:ind w:firstLine="640"/>
        <w:rPr>
          <w:rFonts w:hint="eastAsia"/>
        </w:rPr>
      </w:pPr>
      <w:bookmarkStart w:id="299" w:name="_Toc21592"/>
      <w:r>
        <w:rPr>
          <w:rFonts w:hint="eastAsia"/>
        </w:rPr>
        <w:t>二、部门（单位）绩效目标</w:t>
      </w:r>
      <w:bookmarkEnd w:id="287"/>
      <w:bookmarkEnd w:id="288"/>
      <w:bookmarkEnd w:id="289"/>
      <w:bookmarkEnd w:id="297"/>
      <w:bookmarkEnd w:id="298"/>
      <w:bookmarkEnd w:id="299"/>
      <w:bookmarkStart w:id="300" w:name="_Toc26742"/>
      <w:bookmarkStart w:id="301" w:name="_Toc10176"/>
    </w:p>
    <w:p>
      <w:pPr>
        <w:pStyle w:val="3"/>
        <w:spacing w:before="120"/>
        <w:ind w:firstLine="643"/>
        <w:rPr>
          <w:rFonts w:hint="eastAsia"/>
        </w:rPr>
      </w:pPr>
      <w:bookmarkStart w:id="302" w:name="_Toc2498"/>
      <w:bookmarkStart w:id="303" w:name="_Toc31741"/>
      <w:r>
        <w:rPr>
          <w:rFonts w:hint="eastAsia"/>
        </w:rPr>
        <w:t>（一）部门（单位）战略目标和中长期规划</w:t>
      </w:r>
      <w:bookmarkEnd w:id="300"/>
      <w:bookmarkEnd w:id="301"/>
      <w:bookmarkEnd w:id="302"/>
      <w:bookmarkEnd w:id="303"/>
    </w:p>
    <w:p>
      <w:pPr>
        <w:pStyle w:val="4"/>
        <w:ind w:firstLine="643"/>
      </w:pPr>
      <w:r>
        <w:rPr>
          <w:rFonts w:hint="eastAsia"/>
        </w:rPr>
        <w:t>1.部门战略目标</w:t>
      </w:r>
    </w:p>
    <w:p>
      <w:pPr>
        <w:pStyle w:val="29"/>
        <w:rPr>
          <w:rFonts w:hint="eastAsia" w:ascii="仿宋" w:hAnsi="仿宋" w:eastAsia="仿宋" w:cs="仿宋"/>
          <w:sz w:val="32"/>
        </w:rPr>
      </w:pPr>
      <w:r>
        <w:rPr>
          <w:rFonts w:hint="eastAsia" w:ascii="仿宋" w:hAnsi="仿宋" w:eastAsia="仿宋" w:cs="仿宋"/>
          <w:sz w:val="32"/>
        </w:rPr>
        <w:t>高新区企服中心立志建设成为一流的企业发展服务中心，高新区企服中心功能全面、服务体系完整，涵盖技术服务、投融资服务、科技咨询、管理咨询、人才服务等。高新区企服中心以园区入驻企业为主要服务对象，辐射整个遂宁高新区。</w:t>
      </w:r>
    </w:p>
    <w:p>
      <w:pPr>
        <w:pStyle w:val="4"/>
        <w:ind w:firstLine="643"/>
        <w:rPr>
          <w:rFonts w:hint="eastAsia" w:cs="仿宋"/>
        </w:rPr>
      </w:pPr>
      <w:r>
        <w:rPr>
          <w:rFonts w:hint="eastAsia"/>
        </w:rPr>
        <w:t>2.部门中长期规划</w:t>
      </w:r>
    </w:p>
    <w:p>
      <w:pPr>
        <w:widowControl/>
        <w:ind w:firstLine="640"/>
        <w:rPr>
          <w:rFonts w:hint="eastAsia" w:ascii="仿宋" w:hAnsi="仿宋" w:cs="仿宋"/>
          <w:szCs w:val="32"/>
        </w:rPr>
      </w:pPr>
      <w:bookmarkStart w:id="304" w:name="_Toc26324"/>
      <w:r>
        <w:rPr>
          <w:rFonts w:hint="eastAsia" w:ascii="仿宋" w:hAnsi="仿宋" w:cs="仿宋"/>
          <w:szCs w:val="32"/>
        </w:rPr>
        <w:t>高新区企服中心紧紧围绕党工委、管委会工作部署，“不忘初心、牢记使命”，以脚踏实地的工作作风，行之有效的工作举措，稳打稳扎地落实到企业服务工作中。</w:t>
      </w:r>
    </w:p>
    <w:p>
      <w:pPr>
        <w:pStyle w:val="5"/>
        <w:bidi w:val="0"/>
        <w:rPr>
          <w:rFonts w:hint="eastAsia"/>
        </w:rPr>
      </w:pPr>
      <w:bookmarkStart w:id="305" w:name="_Toc17273"/>
      <w:bookmarkStart w:id="306" w:name="_Toc21374"/>
      <w:r>
        <w:rPr>
          <w:rFonts w:hint="eastAsia"/>
        </w:rPr>
        <w:t>（1）持续深化党建引航</w:t>
      </w:r>
      <w:bookmarkEnd w:id="305"/>
      <w:bookmarkEnd w:id="306"/>
    </w:p>
    <w:p>
      <w:pPr>
        <w:ind w:firstLine="640"/>
        <w:rPr>
          <w:rFonts w:hint="eastAsia" w:ascii="仿宋" w:hAnsi="仿宋" w:cs="仿宋"/>
          <w:szCs w:val="32"/>
        </w:rPr>
      </w:pPr>
      <w:r>
        <w:rPr>
          <w:rFonts w:hint="eastAsia" w:ascii="仿宋" w:hAnsi="仿宋" w:cs="仿宋"/>
          <w:szCs w:val="32"/>
        </w:rPr>
        <w:t>一是</w:t>
      </w:r>
      <w:r>
        <w:rPr>
          <w:rFonts w:hint="eastAsia" w:ascii="仿宋" w:hAnsi="仿宋" w:cs="仿宋"/>
          <w:szCs w:val="32"/>
          <w:lang w:bidi="ar"/>
        </w:rPr>
        <w:t>建章立制，巩固主题教育成果。及时做好主题教育成果总结，建立学习贯彻党的创新理论制度机制，强化以学增智，以学促干，</w:t>
      </w:r>
      <w:r>
        <w:rPr>
          <w:rFonts w:hint="eastAsia" w:ascii="仿宋" w:hAnsi="仿宋" w:cs="仿宋"/>
          <w:szCs w:val="32"/>
        </w:rPr>
        <w:t>持续开展理论学习研讨活动，增强党组织的凝聚力和良好氛围；二是持续抓好基层党的建设，努力寻求党建工作与业务工作的最佳结合点。做到党支部工作与企业服务工作有机融合，突出</w:t>
      </w:r>
      <w:r>
        <w:rPr>
          <w:rFonts w:hint="eastAsia" w:ascii="仿宋" w:hAnsi="仿宋" w:cs="仿宋"/>
          <w:szCs w:val="32"/>
          <w:lang w:bidi="ar"/>
        </w:rPr>
        <w:t>党建引领服务</w:t>
      </w:r>
      <w:r>
        <w:rPr>
          <w:rFonts w:hint="eastAsia" w:ascii="仿宋" w:hAnsi="仿宋" w:cs="仿宋"/>
          <w:szCs w:val="32"/>
        </w:rPr>
        <w:t>，赋能项目发展；三是强化党风廉政建设，持续构建亲清统一的政商关系。以“正面榜样”引导干部担当作为，以“负面清单”帮助干部划定红线、高压线，进一步营造风清气正的营商环境。</w:t>
      </w:r>
    </w:p>
    <w:p>
      <w:pPr>
        <w:pStyle w:val="5"/>
        <w:bidi w:val="0"/>
        <w:rPr>
          <w:rFonts w:hint="eastAsia"/>
        </w:rPr>
      </w:pPr>
      <w:bookmarkStart w:id="307" w:name="_Toc14021"/>
      <w:bookmarkStart w:id="308" w:name="_Toc17928"/>
      <w:r>
        <w:rPr>
          <w:rFonts w:hint="eastAsia"/>
        </w:rPr>
        <w:t>（2）持续深耕为企服务</w:t>
      </w:r>
      <w:bookmarkEnd w:id="307"/>
      <w:bookmarkEnd w:id="308"/>
    </w:p>
    <w:p>
      <w:pPr>
        <w:ind w:firstLine="640"/>
        <w:rPr>
          <w:rFonts w:hint="eastAsia" w:ascii="仿宋" w:hAnsi="仿宋" w:cs="仿宋"/>
          <w:szCs w:val="32"/>
        </w:rPr>
      </w:pPr>
      <w:r>
        <w:rPr>
          <w:rFonts w:hint="eastAsia" w:ascii="仿宋" w:hAnsi="仿宋" w:cs="仿宋"/>
          <w:szCs w:val="32"/>
        </w:rPr>
        <w:t>一是以蓬勃发展之姿服务项目建设。实现一季度开门红，加快推动联东·U谷遂宁智能制造基地、遂宁预制食品产业园、通源商混、祥城商混等项目的前期工作，确保2024年一季度顺利开工建设；有序推进在建项目提速增量，持续做好中科华联、中国供销智慧冷链等重大项目的建设推进服务工作，助推项目顺利投产运营；抓牢抓实三丰、生物肽、食药级包装材料等项目建设，确保项目如期竣工投产；直击项目难点痛点，力争推动鹭栖湖片区项目启动健康产业园建设，完成酒店建设及商业街改建。</w:t>
      </w:r>
    </w:p>
    <w:p>
      <w:pPr>
        <w:ind w:firstLine="640"/>
        <w:rPr>
          <w:rFonts w:hint="eastAsia" w:ascii="仿宋" w:hAnsi="仿宋" w:cs="仿宋"/>
          <w:szCs w:val="32"/>
        </w:rPr>
      </w:pPr>
      <w:r>
        <w:rPr>
          <w:rFonts w:hint="eastAsia" w:ascii="仿宋" w:hAnsi="仿宋" w:cs="仿宋"/>
          <w:szCs w:val="32"/>
        </w:rPr>
        <w:t>二是以惠企助企之意展现服务温度。积极探索为企服务新模式，推动企业的发展创新；加强惠企政策宣传、解读，协助科创经商局积极做好市场引导，将惠企政策转化为实实在在为企业谋实惠的举措，促进园区企业健康发展；持续加大协调力度，加强与企业的沟通交流，了解企业的需求和困难，将问题发现在萌芽、化解在基层。</w:t>
      </w:r>
    </w:p>
    <w:p>
      <w:pPr>
        <w:ind w:firstLine="640"/>
        <w:rPr>
          <w:rFonts w:hint="eastAsia" w:ascii="仿宋" w:hAnsi="仿宋" w:cs="仿宋"/>
        </w:rPr>
      </w:pPr>
      <w:r>
        <w:rPr>
          <w:rFonts w:hint="eastAsia" w:ascii="仿宋" w:hAnsi="仿宋" w:cs="仿宋"/>
          <w:szCs w:val="32"/>
        </w:rPr>
        <w:t>三是以开拓进取之念提前布局服务。提前谋划，深挖项目，保持固定资产投资入库体量及任务完成率；持续改进工作流程和工作方法，提高服务水平，加强部门联动，提高服务效率和服务质量，及时协调相关要素保障部门在项目落地前提前谋划、主动靠前服务，并在项目建设工程中给予相关业务指导。</w:t>
      </w:r>
    </w:p>
    <w:p>
      <w:pPr>
        <w:pStyle w:val="5"/>
        <w:bidi w:val="0"/>
        <w:rPr>
          <w:rFonts w:hint="eastAsia"/>
        </w:rPr>
      </w:pPr>
      <w:bookmarkStart w:id="309" w:name="_Toc12712"/>
      <w:bookmarkStart w:id="310" w:name="_Toc28277"/>
      <w:r>
        <w:rPr>
          <w:rFonts w:hint="eastAsia"/>
        </w:rPr>
        <w:t>（3）持续巩固队伍建设</w:t>
      </w:r>
      <w:bookmarkEnd w:id="309"/>
      <w:bookmarkEnd w:id="310"/>
    </w:p>
    <w:p>
      <w:pPr>
        <w:ind w:firstLine="640"/>
        <w:rPr>
          <w:rFonts w:hint="eastAsia" w:ascii="仿宋" w:hAnsi="仿宋" w:cs="仿宋"/>
          <w:snapToGrid w:val="0"/>
          <w:color w:val="000000"/>
          <w:kern w:val="0"/>
          <w:szCs w:val="32"/>
        </w:rPr>
      </w:pPr>
      <w:r>
        <w:rPr>
          <w:rFonts w:hint="eastAsia" w:ascii="仿宋" w:hAnsi="仿宋" w:cs="仿宋"/>
          <w:kern w:val="0"/>
          <w:szCs w:val="32"/>
          <w:lang w:bidi="ar"/>
        </w:rPr>
        <w:t>坚持抓好队伍业务培训，深化学习惠企政策，创新学习机制，</w:t>
      </w:r>
      <w:r>
        <w:rPr>
          <w:rFonts w:hint="eastAsia" w:ascii="仿宋" w:hAnsi="仿宋" w:cs="仿宋"/>
          <w:szCs w:val="32"/>
        </w:rPr>
        <w:t>灵活学习形式，打造</w:t>
      </w:r>
      <w:r>
        <w:rPr>
          <w:rFonts w:hint="eastAsia" w:ascii="仿宋" w:hAnsi="仿宋" w:cs="仿宋"/>
          <w:snapToGrid w:val="0"/>
          <w:color w:val="000000"/>
          <w:kern w:val="0"/>
          <w:szCs w:val="32"/>
        </w:rPr>
        <w:t>为企服务精品队伍；拓展实施帮办代办志愿服务，不断满足企业多层次多样化服务需求，“点对点”为企业建设发展保驾护航，争当落实决策“领航员”、企业发展“服务员”、疑难杂症“化解员”，真正能帮助企业解难题、强信心、稳发展，为高新区营商环境更优化、发展活力更旺盛添砖加瓦。</w:t>
      </w:r>
    </w:p>
    <w:p>
      <w:pPr>
        <w:pStyle w:val="3"/>
        <w:spacing w:before="120"/>
        <w:ind w:firstLine="643"/>
        <w:rPr>
          <w:rFonts w:hint="eastAsia" w:cs="Times New Roman"/>
          <w:bCs/>
        </w:rPr>
      </w:pPr>
      <w:bookmarkStart w:id="311" w:name="_Toc10221"/>
      <w:bookmarkStart w:id="312" w:name="_Toc10429"/>
      <w:bookmarkStart w:id="313" w:name="_Toc20887"/>
      <w:bookmarkStart w:id="314" w:name="_Toc13423"/>
      <w:r>
        <w:rPr>
          <w:rFonts w:hint="eastAsia" w:cs="Times New Roman"/>
          <w:bCs/>
        </w:rPr>
        <w:t>（二）部门（单位）分年度工作计划及重点项目</w:t>
      </w:r>
      <w:bookmarkEnd w:id="311"/>
      <w:bookmarkEnd w:id="312"/>
      <w:bookmarkEnd w:id="313"/>
      <w:bookmarkEnd w:id="314"/>
    </w:p>
    <w:p>
      <w:pPr>
        <w:pStyle w:val="4"/>
        <w:bidi w:val="0"/>
        <w:rPr>
          <w:rFonts w:hint="eastAsia"/>
        </w:rPr>
      </w:pPr>
      <w:r>
        <w:rPr>
          <w:rFonts w:hint="eastAsia"/>
        </w:rPr>
        <w:t>1.全力助推项目发展</w:t>
      </w:r>
    </w:p>
    <w:p>
      <w:pPr>
        <w:pStyle w:val="16"/>
        <w:widowControl/>
        <w:spacing w:before="0" w:beforeAutospacing="0" w:after="0" w:afterAutospacing="0" w:line="600" w:lineRule="exact"/>
        <w:ind w:firstLine="640"/>
        <w:jc w:val="both"/>
        <w:rPr>
          <w:rFonts w:hint="eastAsia" w:ascii="仿宋" w:hAnsi="仿宋" w:cs="仿宋"/>
          <w:sz w:val="32"/>
          <w:szCs w:val="32"/>
          <w:lang w:bidi="ar"/>
        </w:rPr>
      </w:pPr>
      <w:r>
        <w:rPr>
          <w:rFonts w:hint="eastAsia" w:ascii="仿宋" w:hAnsi="仿宋" w:cs="仿宋"/>
          <w:sz w:val="32"/>
          <w:szCs w:val="32"/>
          <w:lang w:bidi="ar"/>
        </w:rPr>
        <w:t>一是快速推动项目建设。帮助新建项目启动实质性建设；协助园区在建项目加快建设，并做好年底前竣工投产项目运营准备工作；二是致力提供要素保障。协调解决园区项目用水用电用网、生产、道路建设等要素保障；三是聚力疏通“疑难杂症”。协调解决验收难题；推动项目多年闲置、遗留问题复工建设及实质性开展项目前期工作；解决因租赁厂房未交付使用，协调园区国有公司免费为企业提供新购设备存放场地等。</w:t>
      </w:r>
    </w:p>
    <w:p>
      <w:pPr>
        <w:pStyle w:val="4"/>
        <w:bidi w:val="0"/>
        <w:rPr>
          <w:rFonts w:hint="eastAsia"/>
        </w:rPr>
      </w:pPr>
      <w:r>
        <w:rPr>
          <w:rFonts w:hint="eastAsia"/>
        </w:rPr>
        <w:t>2.优化制度建设</w:t>
      </w:r>
    </w:p>
    <w:p>
      <w:pPr>
        <w:ind w:firstLine="640"/>
        <w:rPr>
          <w:rFonts w:hint="eastAsia" w:ascii="仿宋" w:hAnsi="仿宋" w:cs="仿宋"/>
        </w:rPr>
      </w:pPr>
      <w:r>
        <w:rPr>
          <w:rFonts w:hint="eastAsia" w:ascii="仿宋" w:hAnsi="仿宋" w:cs="仿宋"/>
        </w:rPr>
        <w:t>一是明确目标和规范制度明确组织的长远目标和短期目标。确保制度建设与组织目标保持一致建立有效的沟通机制，确保信息在组织内部顺畅流通。二是强化沟通与合作。加强领导与员工之间的沟通，使员工对组织的目标和决策有更深入的了解。加强部门之间的合作和协作，促进资源共享和信息交流。通过跨部门会议、项目合作等方式，增强组织的整体协作能力。三是持续完善与创新。根据组织发展和外部环境的变化，定期对制度进行修订和完善。确保制度能够适应组织发展的需要和外部环境的变化。</w:t>
      </w:r>
    </w:p>
    <w:p>
      <w:pPr>
        <w:pStyle w:val="4"/>
        <w:bidi w:val="0"/>
        <w:rPr>
          <w:rFonts w:hint="eastAsia"/>
        </w:rPr>
      </w:pPr>
      <w:r>
        <w:rPr>
          <w:rFonts w:hint="eastAsia"/>
        </w:rPr>
        <w:t>3.优化人员配置</w:t>
      </w:r>
    </w:p>
    <w:p>
      <w:pPr>
        <w:ind w:firstLine="640"/>
        <w:rPr>
          <w:rFonts w:hint="eastAsia" w:ascii="仿宋" w:hAnsi="仿宋" w:cs="仿宋"/>
        </w:rPr>
      </w:pPr>
      <w:r>
        <w:rPr>
          <w:rFonts w:hint="eastAsia" w:ascii="仿宋" w:hAnsi="仿宋" w:cs="仿宋"/>
        </w:rPr>
        <w:t>一是明确组织战略与业务需求。</w:t>
      </w:r>
      <w:r>
        <w:rPr>
          <w:rFonts w:hint="eastAsia" w:ascii="仿宋" w:hAnsi="仿宋" w:cs="仿宋"/>
          <w:lang w:val="en-US" w:eastAsia="zh-CN"/>
        </w:rPr>
        <w:t>清</w:t>
      </w:r>
      <w:r>
        <w:rPr>
          <w:rFonts w:hint="eastAsia" w:ascii="仿宋" w:hAnsi="仿宋" w:cs="仿宋"/>
        </w:rPr>
        <w:t>晰地理解自身的战略目标和业务需求，明确未来发展方向和所需的核心能力。二是优化工作流程与协作关系。鼓励团队成员之间的开放沟通和信息共享，保持团队和谐稳定。三是持续优化团队结构与配置。鼓励团队成员提出新想法、新方法，推动团队不断创新和变革。</w:t>
      </w:r>
    </w:p>
    <w:p>
      <w:pPr>
        <w:pStyle w:val="3"/>
        <w:spacing w:before="120"/>
        <w:ind w:firstLine="643"/>
        <w:rPr>
          <w:rFonts w:hint="eastAsia"/>
        </w:rPr>
      </w:pPr>
      <w:bookmarkStart w:id="315" w:name="_Toc31097"/>
      <w:bookmarkStart w:id="316" w:name="_Toc24984"/>
      <w:bookmarkStart w:id="317" w:name="_Toc28487"/>
      <w:bookmarkStart w:id="318" w:name="_Toc6824"/>
      <w:r>
        <w:rPr>
          <w:rFonts w:hint="eastAsia"/>
        </w:rPr>
        <w:t>（三）部门（单位）整体支出绩效目标</w:t>
      </w:r>
      <w:bookmarkEnd w:id="315"/>
      <w:bookmarkEnd w:id="316"/>
      <w:bookmarkEnd w:id="317"/>
      <w:bookmarkEnd w:id="318"/>
    </w:p>
    <w:p>
      <w:pPr>
        <w:pStyle w:val="4"/>
        <w:ind w:firstLine="643"/>
        <w:rPr>
          <w:rFonts w:hint="eastAsia"/>
        </w:rPr>
      </w:pPr>
      <w:bookmarkStart w:id="319" w:name="_Toc20964"/>
      <w:r>
        <w:rPr>
          <w:rFonts w:hint="eastAsia"/>
        </w:rPr>
        <w:t>1.总体目标</w:t>
      </w:r>
      <w:bookmarkEnd w:id="319"/>
    </w:p>
    <w:p>
      <w:pPr>
        <w:pStyle w:val="30"/>
        <w:ind w:firstLine="640"/>
        <w:jc w:val="both"/>
        <w:rPr>
          <w:rFonts w:hint="eastAsia" w:ascii="仿宋" w:hAnsi="仿宋" w:cs="仿宋"/>
          <w:sz w:val="32"/>
          <w:szCs w:val="32"/>
        </w:rPr>
      </w:pPr>
      <w:r>
        <w:rPr>
          <w:rFonts w:hint="eastAsia" w:ascii="仿宋" w:hAnsi="仿宋" w:cs="仿宋"/>
          <w:sz w:val="32"/>
          <w:szCs w:val="32"/>
        </w:rPr>
        <w:t>2023年度高新区企服中心绩效总体目标有四项。一是保障为招商引资企业服务，协助指导招商引资项目落地，项目建设，以及为企业运营提供相关服务和办公场所租用等工作正常开展；二是保障人员支出和单位正常运转；三是加强财务监督，杜绝不合理开支；四是完成上级交办的其他事项。</w:t>
      </w:r>
    </w:p>
    <w:p>
      <w:pPr>
        <w:pStyle w:val="4"/>
        <w:ind w:firstLine="643"/>
        <w:rPr>
          <w:rFonts w:hint="eastAsia"/>
        </w:rPr>
      </w:pPr>
      <w:bookmarkStart w:id="320" w:name="_Toc10572"/>
      <w:r>
        <w:rPr>
          <w:rFonts w:hint="eastAsia"/>
        </w:rPr>
        <w:t>2.具体目标</w:t>
      </w:r>
      <w:bookmarkEnd w:id="320"/>
    </w:p>
    <w:p>
      <w:pPr>
        <w:pStyle w:val="16"/>
        <w:widowControl/>
        <w:spacing w:before="0" w:beforeAutospacing="0" w:after="0" w:afterAutospacing="0"/>
        <w:ind w:firstLine="640"/>
        <w:jc w:val="both"/>
        <w:rPr>
          <w:rFonts w:hint="eastAsia" w:ascii="仿宋" w:hAnsi="仿宋" w:cs="仿宋"/>
          <w:kern w:val="2"/>
          <w:sz w:val="32"/>
          <w:szCs w:val="32"/>
        </w:rPr>
      </w:pPr>
      <w:r>
        <w:rPr>
          <w:rFonts w:hint="eastAsia" w:ascii="仿宋" w:hAnsi="仿宋" w:cs="仿宋"/>
          <w:kern w:val="2"/>
          <w:sz w:val="32"/>
          <w:szCs w:val="32"/>
        </w:rPr>
        <w:t>（1）协助园区项目发展。严格按“12345”服务机制开展项目服务工作，专职项目秘书联合选派项目秘书，在项目挂联县级领导的调度下，为每个招商引资项目全方位提供帮办代办、要素保障和后勤保障工作。</w:t>
      </w:r>
      <w:bookmarkStart w:id="321" w:name="_Toc23041"/>
    </w:p>
    <w:p>
      <w:pPr>
        <w:pStyle w:val="16"/>
        <w:widowControl/>
        <w:spacing w:before="0" w:beforeAutospacing="0" w:after="0" w:afterAutospacing="0"/>
        <w:ind w:firstLine="640"/>
        <w:jc w:val="both"/>
        <w:rPr>
          <w:rFonts w:hint="eastAsia" w:ascii="仿宋" w:hAnsi="仿宋" w:cs="仿宋"/>
          <w:sz w:val="32"/>
          <w:szCs w:val="32"/>
        </w:rPr>
      </w:pPr>
      <w:r>
        <w:rPr>
          <w:rFonts w:hint="eastAsia" w:ascii="仿宋" w:hAnsi="仿宋" w:cs="仿宋"/>
          <w:snapToGrid w:val="0"/>
          <w:color w:val="000000"/>
          <w:sz w:val="32"/>
          <w:szCs w:val="32"/>
        </w:rPr>
        <w:t>（2）项目扶持</w:t>
      </w:r>
      <w:r>
        <w:rPr>
          <w:rFonts w:hint="eastAsia" w:ascii="仿宋" w:hAnsi="仿宋" w:cs="仿宋"/>
          <w:sz w:val="32"/>
          <w:szCs w:val="32"/>
        </w:rPr>
        <w:t>资金兑现督促。接到企业诉求后，中心精心组织，认真研判。对照《投资协议》逐一梳理履约条款，会同相关部门深入项目建设现场实地查验建设进度，召开资金拨付建议会议，提请园区分管领导组织资金拨付专题会，提请通过党政办公会审议，梳理应兑现产业扶持资金并及时拨付。</w:t>
      </w:r>
      <w:bookmarkEnd w:id="321"/>
    </w:p>
    <w:p>
      <w:pPr>
        <w:pStyle w:val="30"/>
        <w:ind w:firstLine="640"/>
        <w:jc w:val="both"/>
        <w:rPr>
          <w:rFonts w:hint="eastAsia" w:ascii="仿宋" w:hAnsi="仿宋" w:cs="仿宋"/>
          <w:sz w:val="32"/>
          <w:szCs w:val="32"/>
        </w:rPr>
      </w:pPr>
      <w:r>
        <w:rPr>
          <w:rFonts w:hint="eastAsia" w:ascii="仿宋" w:hAnsi="仿宋" w:cs="仿宋"/>
          <w:sz w:val="32"/>
          <w:szCs w:val="32"/>
        </w:rPr>
        <w:t>（3）办公场地租用及运行维护。为高新区企服中心工作人员创造更好的办公场地，更有效地为园区入驻企业服务，更好地协助企业办理项目落地，项目建设，以及为企业运营提供相关服务工作。</w:t>
      </w:r>
    </w:p>
    <w:p>
      <w:pPr>
        <w:widowControl/>
        <w:ind w:firstLine="640"/>
        <w:rPr>
          <w:rFonts w:hint="eastAsia" w:ascii="仿宋" w:hAnsi="仿宋" w:cs="仿宋"/>
          <w:szCs w:val="32"/>
        </w:rPr>
      </w:pPr>
      <w:r>
        <w:rPr>
          <w:rFonts w:hint="eastAsia" w:ascii="仿宋" w:hAnsi="仿宋" w:cs="仿宋"/>
          <w:szCs w:val="32"/>
        </w:rPr>
        <w:t>（4）强化干部队伍建设。</w:t>
      </w:r>
      <w:r>
        <w:rPr>
          <w:rFonts w:hint="eastAsia" w:ascii="仿宋" w:hAnsi="仿宋" w:cs="仿宋"/>
          <w:color w:val="000000"/>
          <w:kern w:val="0"/>
          <w:szCs w:val="32"/>
          <w:lang w:bidi="ar"/>
        </w:rPr>
        <w:t>提升依法行政本领和为民服务能力。</w:t>
      </w:r>
      <w:r>
        <w:rPr>
          <w:rFonts w:hint="eastAsia" w:ascii="仿宋" w:hAnsi="仿宋" w:cs="仿宋"/>
          <w:szCs w:val="32"/>
        </w:rPr>
        <w:t>一是招贤纳新，注入新鲜血液。新成员的加入带来更高的工作热情和更强的责任感，推动了团队整体工作效率的提升。二是开展培训，增强干部服务本领。利用周例会、“三会一课”、主题党日活动契机，开展传达学习和政策培训，着力提升干部政治素养和工作本领。三是深化日常管理，绷紧廉政弦。深入推进廉洁部门建设，持续加大廉政教育力度，促进干部职工自警自励。在完成规定学习动作后，利用党建“亮灯工程”跟进学习。要求干部明辨是非善恶，追求健康情趣，不断向廉洁自律的高标准看齐，做到心有所戒、行有所止，守住底线、不碰高压线。</w:t>
      </w:r>
    </w:p>
    <w:p>
      <w:pPr>
        <w:ind w:firstLine="640"/>
        <w:rPr>
          <w:rFonts w:hint="eastAsia" w:ascii="仿宋" w:hAnsi="仿宋" w:cs="仿宋"/>
          <w:szCs w:val="32"/>
        </w:rPr>
      </w:pPr>
      <w:r>
        <w:rPr>
          <w:rFonts w:hint="eastAsia" w:ascii="仿宋" w:hAnsi="仿宋" w:cs="仿宋"/>
          <w:szCs w:val="32"/>
        </w:rPr>
        <w:t>（5）逐步优化制度建设。一是内部管理制度进一步完善，确保各项重点工作的顺利推进。二是履约监管机制进一步完善。针对正常履约的项目，及时兑现产业扶持资金。针对履约滞后的项目，进行约谈或发放督促函，适时督促跟进项目建设进度和履约力度；针对履约不力或不能履约的项目，提前进行研判并暂缓拨付过审的扶持资金或停止兑现相关扶持资金，直至启动退出机制。三是内控制度进一步完善。完善财务制度，规范工作流程和请示报告制度，进一步提升中心议事决策的科学性和规范性，增强工作的透明度，加强对决策重大事项的风险防控和监督管理。</w:t>
      </w:r>
    </w:p>
    <w:p>
      <w:pPr>
        <w:pStyle w:val="2"/>
        <w:ind w:firstLine="640"/>
        <w:rPr>
          <w:rFonts w:hint="eastAsia"/>
        </w:rPr>
      </w:pPr>
      <w:bookmarkStart w:id="322" w:name="_Toc23418"/>
      <w:bookmarkStart w:id="323" w:name="_Toc14801"/>
      <w:bookmarkStart w:id="324" w:name="_Toc26815"/>
      <w:bookmarkStart w:id="325" w:name="_Toc5896"/>
      <w:bookmarkStart w:id="326" w:name="_Toc23869"/>
      <w:bookmarkStart w:id="327" w:name="_Toc15946"/>
      <w:r>
        <w:rPr>
          <w:rFonts w:hint="eastAsia"/>
        </w:rPr>
        <w:t>三、评价思路</w:t>
      </w:r>
      <w:bookmarkEnd w:id="304"/>
      <w:bookmarkEnd w:id="322"/>
      <w:bookmarkEnd w:id="323"/>
      <w:bookmarkEnd w:id="324"/>
      <w:bookmarkEnd w:id="325"/>
      <w:bookmarkEnd w:id="326"/>
      <w:bookmarkEnd w:id="327"/>
    </w:p>
    <w:p>
      <w:pPr>
        <w:pStyle w:val="3"/>
        <w:spacing w:before="120"/>
        <w:ind w:firstLine="643"/>
        <w:rPr>
          <w:rFonts w:hint="eastAsia"/>
        </w:rPr>
      </w:pPr>
      <w:bookmarkStart w:id="328" w:name="_Toc5836"/>
      <w:bookmarkStart w:id="329" w:name="_Toc9432"/>
      <w:bookmarkStart w:id="330" w:name="_Toc6208"/>
      <w:bookmarkStart w:id="331" w:name="_Toc11360"/>
      <w:r>
        <w:rPr>
          <w:rFonts w:hint="eastAsia"/>
        </w:rPr>
        <w:t>（一）评价思路及关注点</w:t>
      </w:r>
      <w:bookmarkEnd w:id="328"/>
      <w:bookmarkEnd w:id="329"/>
      <w:bookmarkEnd w:id="330"/>
      <w:bookmarkEnd w:id="331"/>
    </w:p>
    <w:p>
      <w:pPr>
        <w:widowControl/>
        <w:ind w:firstLine="640"/>
        <w:rPr>
          <w:rFonts w:hint="eastAsia" w:ascii="仿宋" w:hAnsi="仿宋" w:cs="仿宋"/>
          <w:szCs w:val="32"/>
        </w:rPr>
      </w:pPr>
      <w:r>
        <w:rPr>
          <w:rFonts w:hint="eastAsia" w:ascii="仿宋" w:hAnsi="仿宋" w:cs="仿宋"/>
          <w:color w:val="000000"/>
          <w:kern w:val="0"/>
          <w:szCs w:val="32"/>
          <w:lang w:bidi="ar"/>
        </w:rPr>
        <w:t>从部门整体出发，按照“职责－规划计划－重点任务－项目－资金资源配置－管理效率－履职效能”的闭环逻辑，围绕高新区企服中心部门整体绩效目标设置、资金资源统筹配置、管理效率、运行成本、履职效能、可持续发展能力及满意度等，聚焦于部门履职及管理过程的重点环节。评价要素及评价重点如下：</w:t>
      </w:r>
    </w:p>
    <w:p>
      <w:pPr>
        <w:widowControl/>
        <w:ind w:firstLine="640"/>
        <w:rPr>
          <w:rFonts w:hint="eastAsia" w:ascii="仿宋" w:hAnsi="仿宋" w:cs="仿宋"/>
          <w:szCs w:val="32"/>
        </w:rPr>
      </w:pPr>
      <w:r>
        <w:rPr>
          <w:rFonts w:hint="eastAsia" w:ascii="仿宋" w:hAnsi="仿宋" w:cs="仿宋"/>
          <w:color w:val="000000"/>
          <w:kern w:val="0"/>
          <w:szCs w:val="32"/>
          <w:lang w:bidi="ar"/>
        </w:rPr>
        <w:t>战略及职责目标：部门绩效目标与部门职能职责、事业发展规划、年度工作任务和正常业绩水平是否相符；部门绩效目标能否有效反映部门履职效果。</w:t>
      </w:r>
    </w:p>
    <w:p>
      <w:pPr>
        <w:widowControl/>
        <w:ind w:firstLine="640"/>
        <w:rPr>
          <w:rFonts w:hint="eastAsia" w:ascii="仿宋" w:hAnsi="仿宋" w:cs="仿宋"/>
          <w:szCs w:val="32"/>
        </w:rPr>
      </w:pPr>
      <w:r>
        <w:rPr>
          <w:rFonts w:hint="eastAsia" w:ascii="仿宋" w:hAnsi="仿宋" w:cs="仿宋"/>
          <w:color w:val="000000"/>
          <w:kern w:val="0"/>
          <w:szCs w:val="32"/>
          <w:lang w:bidi="ar"/>
        </w:rPr>
        <w:t>资金资源统筹配置：预算支出结构与部门职能是否匹配，项目支出结构与履职需求是否相符，项目资金安排是否合理；收入预算编制是否完整。</w:t>
      </w:r>
    </w:p>
    <w:p>
      <w:pPr>
        <w:widowControl/>
        <w:ind w:firstLine="640"/>
        <w:rPr>
          <w:rFonts w:hint="eastAsia" w:ascii="仿宋" w:hAnsi="仿宋" w:cs="仿宋"/>
          <w:szCs w:val="32"/>
        </w:rPr>
      </w:pPr>
      <w:r>
        <w:rPr>
          <w:rFonts w:hint="eastAsia" w:ascii="仿宋" w:hAnsi="仿宋" w:cs="仿宋"/>
          <w:color w:val="000000"/>
          <w:kern w:val="0"/>
          <w:szCs w:val="32"/>
          <w:lang w:bidi="ar"/>
        </w:rPr>
        <w:t>管理效率：部门支出预算编制是否细化、完整，预算管理执行是否规范；部门资产管理是否规范及固定资产使用情况。</w:t>
      </w:r>
    </w:p>
    <w:p>
      <w:pPr>
        <w:widowControl/>
        <w:ind w:firstLine="640"/>
        <w:rPr>
          <w:rFonts w:hint="eastAsia" w:ascii="仿宋" w:hAnsi="仿宋" w:cs="仿宋"/>
          <w:szCs w:val="32"/>
        </w:rPr>
      </w:pPr>
      <w:r>
        <w:rPr>
          <w:rFonts w:hint="eastAsia" w:ascii="仿宋" w:hAnsi="仿宋" w:cs="仿宋"/>
          <w:color w:val="000000"/>
          <w:kern w:val="0"/>
          <w:szCs w:val="32"/>
          <w:lang w:bidi="ar"/>
        </w:rPr>
        <w:t>运行成本：公用经费、“三公”经费、培训费、会议费、机关运行经费控制情况。</w:t>
      </w:r>
    </w:p>
    <w:p>
      <w:pPr>
        <w:widowControl/>
        <w:ind w:firstLine="640"/>
        <w:rPr>
          <w:rFonts w:hint="eastAsia" w:ascii="仿宋" w:hAnsi="仿宋" w:cs="仿宋"/>
          <w:szCs w:val="32"/>
        </w:rPr>
      </w:pPr>
      <w:r>
        <w:rPr>
          <w:rFonts w:hint="eastAsia" w:ascii="仿宋" w:hAnsi="仿宋" w:cs="仿宋"/>
          <w:color w:val="000000"/>
          <w:kern w:val="0"/>
          <w:szCs w:val="32"/>
          <w:lang w:bidi="ar"/>
        </w:rPr>
        <w:t>履职工作效能：部门整体绩效目标及年度工作任务完成情况及效果，部门工作及社会服务能力。</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可持续发展：信息化建设、服务中心人才队伍建设等方面可持续发展能力；部门中长期规划是否建立；满意度评价。</w:t>
      </w:r>
    </w:p>
    <w:p>
      <w:pPr>
        <w:pStyle w:val="3"/>
        <w:spacing w:before="120"/>
        <w:ind w:firstLine="643"/>
        <w:rPr>
          <w:rFonts w:hint="eastAsia"/>
        </w:rPr>
      </w:pPr>
      <w:bookmarkStart w:id="332" w:name="_Toc17297"/>
      <w:bookmarkStart w:id="333" w:name="_Toc22879"/>
      <w:bookmarkStart w:id="334" w:name="_Toc7454"/>
      <w:bookmarkStart w:id="335" w:name="_Toc14267"/>
      <w:bookmarkStart w:id="336" w:name="_Toc18230"/>
      <w:bookmarkStart w:id="337" w:name="_Toc22533"/>
      <w:bookmarkStart w:id="338" w:name="_Toc9015"/>
      <w:r>
        <w:rPr>
          <w:rFonts w:hint="eastAsia"/>
        </w:rPr>
        <w:t>（二）评价方法</w:t>
      </w:r>
      <w:bookmarkEnd w:id="332"/>
      <w:bookmarkEnd w:id="333"/>
      <w:bookmarkEnd w:id="334"/>
      <w:bookmarkEnd w:id="335"/>
      <w:bookmarkEnd w:id="336"/>
      <w:bookmarkEnd w:id="337"/>
      <w:bookmarkEnd w:id="338"/>
    </w:p>
    <w:p>
      <w:pPr>
        <w:pStyle w:val="4"/>
        <w:bidi w:val="0"/>
        <w:rPr>
          <w:rFonts w:hint="eastAsia"/>
        </w:rPr>
      </w:pPr>
      <w:bookmarkStart w:id="339" w:name="_Toc11140"/>
      <w:bookmarkStart w:id="340" w:name="_Toc11570"/>
      <w:r>
        <w:rPr>
          <w:rFonts w:hint="eastAsia"/>
        </w:rPr>
        <w:t>1.因素分析法</w:t>
      </w:r>
      <w:bookmarkEnd w:id="339"/>
      <w:bookmarkEnd w:id="340"/>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通过对收集的</w:t>
      </w:r>
      <w:r>
        <w:rPr>
          <w:rFonts w:hint="eastAsia" w:ascii="仿宋" w:hAnsi="仿宋" w:cs="仿宋"/>
          <w:szCs w:val="32"/>
        </w:rPr>
        <w:t>高新区企服中心</w:t>
      </w:r>
      <w:r>
        <w:rPr>
          <w:rFonts w:hint="eastAsia" w:ascii="仿宋" w:hAnsi="仿宋" w:cs="仿宋"/>
          <w:color w:val="000000"/>
          <w:kern w:val="0"/>
          <w:szCs w:val="32"/>
          <w:lang w:bidi="ar"/>
        </w:rPr>
        <w:t>2023年部门整体支出有关资料进行分析，了解资金的使用范围和用途，查看预算绩效目标的设置情况，综合分析影响绩效目标实现、实施效果的内外因素，评价绩效目标实现程度。</w:t>
      </w:r>
    </w:p>
    <w:p>
      <w:pPr>
        <w:pStyle w:val="4"/>
        <w:ind w:firstLine="643"/>
        <w:rPr>
          <w:rFonts w:hint="eastAsia"/>
        </w:rPr>
      </w:pPr>
      <w:bookmarkStart w:id="341" w:name="_Toc12320"/>
      <w:bookmarkStart w:id="342" w:name="_Toc19388"/>
      <w:r>
        <w:rPr>
          <w:rFonts w:hint="eastAsia"/>
        </w:rPr>
        <w:t>2.成本效益分析法</w:t>
      </w:r>
      <w:bookmarkEnd w:id="341"/>
      <w:bookmarkEnd w:id="342"/>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将部门整体投入成本与效益进行对比分析，评价绩效目标实现程度。</w:t>
      </w:r>
    </w:p>
    <w:p>
      <w:pPr>
        <w:pStyle w:val="4"/>
        <w:ind w:firstLine="643"/>
        <w:rPr>
          <w:rFonts w:hint="eastAsia" w:cs="仿宋"/>
        </w:rPr>
      </w:pPr>
      <w:bookmarkStart w:id="343" w:name="_Toc22467"/>
      <w:bookmarkStart w:id="344" w:name="_Toc3095"/>
      <w:r>
        <w:rPr>
          <w:rFonts w:hint="eastAsia" w:cs="仿宋"/>
        </w:rPr>
        <w:t>3.比较分析法</w:t>
      </w:r>
      <w:bookmarkEnd w:id="343"/>
      <w:bookmarkEnd w:id="344"/>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通过对年度目标与实际完成情况、预算安排与执行结果进行比较，综合分析部门整体开展的效率和效果。</w:t>
      </w:r>
    </w:p>
    <w:p>
      <w:pPr>
        <w:pStyle w:val="4"/>
        <w:ind w:firstLine="643"/>
        <w:rPr>
          <w:rFonts w:hint="eastAsia"/>
        </w:rPr>
      </w:pPr>
      <w:bookmarkStart w:id="345" w:name="_Toc3907"/>
      <w:bookmarkStart w:id="346" w:name="_Toc3951"/>
      <w:r>
        <w:rPr>
          <w:rFonts w:hint="eastAsia"/>
        </w:rPr>
        <w:t>4.</w:t>
      </w:r>
      <w:bookmarkEnd w:id="345"/>
      <w:bookmarkEnd w:id="346"/>
      <w:r>
        <w:t>公众评判法</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评价组根据单位职能、职责和2023年度绩效目标完成情况，制定对应的满意度调查问卷。通过对服务对象发放满意度调查问卷作答情况，对</w:t>
      </w:r>
      <w:r>
        <w:rPr>
          <w:rFonts w:hint="eastAsia" w:ascii="仿宋" w:hAnsi="仿宋" w:cs="仿宋"/>
          <w:szCs w:val="32"/>
        </w:rPr>
        <w:t>高新区企服中心</w:t>
      </w:r>
      <w:r>
        <w:rPr>
          <w:rFonts w:hint="eastAsia" w:ascii="仿宋" w:hAnsi="仿宋" w:cs="仿宋"/>
          <w:color w:val="000000"/>
          <w:kern w:val="0"/>
          <w:szCs w:val="32"/>
          <w:lang w:bidi="ar"/>
        </w:rPr>
        <w:t>履职情况进行评判；对</w:t>
      </w:r>
      <w:r>
        <w:rPr>
          <w:rFonts w:hint="eastAsia" w:ascii="仿宋" w:hAnsi="仿宋" w:cs="仿宋"/>
          <w:szCs w:val="32"/>
        </w:rPr>
        <w:t>高新区企服中心</w:t>
      </w:r>
      <w:r>
        <w:rPr>
          <w:rFonts w:hint="eastAsia" w:ascii="仿宋" w:hAnsi="仿宋" w:cs="仿宋"/>
          <w:color w:val="000000"/>
          <w:kern w:val="0"/>
          <w:szCs w:val="32"/>
          <w:lang w:bidi="ar"/>
        </w:rPr>
        <w:t>工作完成效果进行摸底调查，评价绩效目标实现程度。</w:t>
      </w:r>
      <w:bookmarkStart w:id="347" w:name="_Toc827"/>
      <w:bookmarkStart w:id="348" w:name="_Toc24983"/>
      <w:bookmarkStart w:id="349" w:name="_Toc23831"/>
    </w:p>
    <w:p>
      <w:pPr>
        <w:pStyle w:val="3"/>
        <w:spacing w:before="120"/>
        <w:ind w:firstLine="643"/>
        <w:rPr>
          <w:rFonts w:hint="eastAsia"/>
        </w:rPr>
      </w:pPr>
      <w:bookmarkStart w:id="350" w:name="_Toc9724"/>
      <w:bookmarkStart w:id="351" w:name="_Toc10342"/>
      <w:bookmarkStart w:id="352" w:name="_Toc22343"/>
      <w:bookmarkStart w:id="353" w:name="_Toc16759"/>
      <w:r>
        <w:rPr>
          <w:rFonts w:hint="eastAsia"/>
        </w:rPr>
        <w:t>（三）评价过程</w:t>
      </w:r>
      <w:bookmarkEnd w:id="347"/>
      <w:bookmarkEnd w:id="348"/>
      <w:bookmarkEnd w:id="349"/>
      <w:bookmarkEnd w:id="350"/>
      <w:bookmarkEnd w:id="351"/>
      <w:bookmarkEnd w:id="352"/>
      <w:bookmarkEnd w:id="353"/>
    </w:p>
    <w:p>
      <w:pPr>
        <w:pStyle w:val="4"/>
        <w:ind w:firstLine="643"/>
        <w:rPr>
          <w:rFonts w:hint="eastAsia"/>
        </w:rPr>
      </w:pPr>
      <w:bookmarkStart w:id="354" w:name="_Toc15944"/>
      <w:bookmarkStart w:id="355" w:name="_Toc9931"/>
      <w:r>
        <w:rPr>
          <w:rFonts w:hint="eastAsia"/>
        </w:rPr>
        <w:t>1.准备阶段</w:t>
      </w:r>
      <w:bookmarkEnd w:id="354"/>
      <w:bookmarkEnd w:id="355"/>
    </w:p>
    <w:p>
      <w:pPr>
        <w:widowControl/>
        <w:ind w:firstLine="640"/>
        <w:rPr>
          <w:rFonts w:hint="eastAsia" w:ascii="仿宋" w:hAnsi="仿宋" w:cs="仿宋"/>
          <w:szCs w:val="32"/>
        </w:rPr>
      </w:pPr>
      <w:r>
        <w:rPr>
          <w:rFonts w:hint="eastAsia" w:ascii="仿宋" w:hAnsi="仿宋" w:cs="仿宋"/>
          <w:color w:val="000000"/>
          <w:kern w:val="0"/>
          <w:szCs w:val="32"/>
          <w:lang w:bidi="ar"/>
        </w:rPr>
        <w:t>为保障此次绩效评价工作的顺利开展，我们成立了绩效评价小组并召开评价工作启动会。对</w:t>
      </w:r>
      <w:r>
        <w:rPr>
          <w:rFonts w:hint="eastAsia" w:ascii="仿宋" w:hAnsi="仿宋" w:cs="仿宋"/>
          <w:szCs w:val="32"/>
        </w:rPr>
        <w:t>高新区企服中心</w:t>
      </w:r>
      <w:r>
        <w:rPr>
          <w:rFonts w:hint="eastAsia" w:ascii="仿宋" w:hAnsi="仿宋" w:cs="仿宋"/>
          <w:color w:val="000000"/>
          <w:kern w:val="0"/>
          <w:szCs w:val="32"/>
          <w:lang w:bidi="ar"/>
        </w:rPr>
        <w:t>进行预调研，制定评价工作方案，设置评价指标体系及评分表。</w:t>
      </w:r>
    </w:p>
    <w:p>
      <w:pPr>
        <w:pStyle w:val="4"/>
        <w:ind w:firstLine="643"/>
        <w:rPr>
          <w:rFonts w:hint="eastAsia"/>
        </w:rPr>
      </w:pPr>
      <w:bookmarkStart w:id="356" w:name="_Toc934"/>
      <w:bookmarkStart w:id="357" w:name="_Toc5602"/>
      <w:r>
        <w:rPr>
          <w:rFonts w:hint="eastAsia"/>
        </w:rPr>
        <w:t>2.实施阶段</w:t>
      </w:r>
      <w:bookmarkEnd w:id="356"/>
      <w:bookmarkEnd w:id="357"/>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在委托方遂宁高新区财政金融局领导带领下开展进场评价工作会议，进驻被评价单位。我方现场收取评价资料，进行现场资料分析，复核预算收支情况，查看部门工作现场，核实单位资产规模和管理情况，结合资料实地查看部门工作实际完成状态和规模，核实各项资产是否真实存在，评价部门管理状态，查验单位工作实施的真实性和规范性，检验已完成工作的运行效果。对各部门履行职责情况的公众满意度进行调查，对具有明确受益对象的评价项目，根据需要收集的评价数据设置调查表并认真做好调查表的发放与回收工作。</w:t>
      </w:r>
    </w:p>
    <w:p>
      <w:pPr>
        <w:widowControl/>
        <w:ind w:firstLine="640"/>
        <w:rPr>
          <w:rFonts w:hint="eastAsia" w:ascii="仿宋" w:hAnsi="仿宋" w:cs="仿宋"/>
          <w:szCs w:val="32"/>
        </w:rPr>
      </w:pPr>
      <w:r>
        <w:rPr>
          <w:rFonts w:hint="eastAsia" w:ascii="仿宋" w:hAnsi="仿宋" w:cs="仿宋"/>
          <w:color w:val="000000"/>
          <w:kern w:val="0"/>
          <w:szCs w:val="32"/>
          <w:lang w:bidi="ar"/>
        </w:rPr>
        <w:t>根据核实的情况，独立、客观、公正地开展现场评价工作，对提供的材料及自评报告，结合现场评价情况进行初步分析、归纳汇总。针对分析、评价中发现的情况与被评价单位沟通，获取被评价单位的书面情况说明。评价组对各项评价指标进行分析讨论，经反复分析、研究，按预先设计的评价指标体系进行现场评价打分。</w:t>
      </w:r>
    </w:p>
    <w:p>
      <w:pPr>
        <w:pStyle w:val="4"/>
        <w:ind w:firstLine="643"/>
        <w:rPr>
          <w:rFonts w:hint="eastAsia"/>
        </w:rPr>
      </w:pPr>
      <w:bookmarkStart w:id="358" w:name="_Toc29369"/>
      <w:bookmarkStart w:id="359" w:name="_Toc25200"/>
      <w:r>
        <w:rPr>
          <w:rFonts w:hint="eastAsia"/>
        </w:rPr>
        <w:t>3.综合评价阶段</w:t>
      </w:r>
      <w:bookmarkEnd w:id="358"/>
      <w:bookmarkEnd w:id="359"/>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评价工作组根据收集到的相关资料，对</w:t>
      </w:r>
      <w:r>
        <w:rPr>
          <w:rFonts w:hint="eastAsia" w:ascii="仿宋" w:hAnsi="仿宋" w:cs="仿宋"/>
          <w:color w:val="000000"/>
          <w:kern w:val="0"/>
          <w:szCs w:val="32"/>
          <w:lang w:val="en-US" w:eastAsia="zh-CN" w:bidi="ar"/>
        </w:rPr>
        <w:t>部门整体</w:t>
      </w:r>
      <w:r>
        <w:rPr>
          <w:rFonts w:hint="eastAsia" w:ascii="仿宋" w:hAnsi="仿宋" w:cs="仿宋"/>
          <w:color w:val="000000"/>
          <w:kern w:val="0"/>
          <w:szCs w:val="32"/>
          <w:lang w:bidi="ar"/>
        </w:rPr>
        <w:t>决策、过程、产出及效益情况进行综合分析形成绩效评价报告。按照规定的文本格式和内容撰写绩效评价报告，形成绩效评价报告交换意见稿，由遂宁高新区财政金融局牵头，征求被评价单位的意见。根据反馈意见，对绩效评价报告进行修改完善。最后将审议和吸收反馈意见后修改定稿的绩效评价报告报送遂宁高新区财政金融局。</w:t>
      </w:r>
    </w:p>
    <w:p>
      <w:pPr>
        <w:pStyle w:val="2"/>
        <w:ind w:firstLine="640"/>
        <w:rPr>
          <w:rFonts w:hint="eastAsia"/>
        </w:rPr>
      </w:pPr>
      <w:bookmarkStart w:id="360" w:name="_Toc21370"/>
      <w:bookmarkStart w:id="361" w:name="_Toc13635"/>
      <w:bookmarkStart w:id="362" w:name="_Toc20610"/>
      <w:bookmarkStart w:id="363" w:name="_Toc20918"/>
      <w:r>
        <w:rPr>
          <w:rFonts w:hint="eastAsia"/>
        </w:rPr>
        <w:t>四、指标体系</w:t>
      </w:r>
      <w:bookmarkEnd w:id="360"/>
      <w:bookmarkEnd w:id="361"/>
      <w:bookmarkEnd w:id="362"/>
      <w:bookmarkEnd w:id="363"/>
      <w:r>
        <w:rPr>
          <w:rFonts w:hint="eastAsia"/>
        </w:rPr>
        <w:t xml:space="preserve"> </w:t>
      </w:r>
    </w:p>
    <w:p>
      <w:pPr>
        <w:pStyle w:val="3"/>
        <w:spacing w:before="120"/>
        <w:ind w:firstLine="643"/>
        <w:rPr>
          <w:rFonts w:hint="eastAsia"/>
        </w:rPr>
      </w:pPr>
      <w:bookmarkStart w:id="364" w:name="_Toc6301"/>
      <w:bookmarkStart w:id="365" w:name="_Toc19546"/>
      <w:bookmarkStart w:id="366" w:name="_Toc29221"/>
      <w:bookmarkStart w:id="367" w:name="_Toc6212"/>
      <w:r>
        <w:rPr>
          <w:rFonts w:hint="eastAsia"/>
        </w:rPr>
        <w:t>（一）评价指标的构建思路及分值分布</w:t>
      </w:r>
      <w:bookmarkEnd w:id="364"/>
      <w:bookmarkEnd w:id="365"/>
      <w:bookmarkEnd w:id="366"/>
      <w:bookmarkEnd w:id="367"/>
    </w:p>
    <w:p>
      <w:pPr>
        <w:widowControl/>
        <w:ind w:firstLine="640"/>
        <w:rPr>
          <w:rFonts w:hint="eastAsia" w:ascii="仿宋" w:hAnsi="仿宋" w:eastAsia="仿宋" w:cs="仿宋"/>
          <w:szCs w:val="32"/>
          <w:lang w:eastAsia="zh-CN"/>
        </w:rPr>
      </w:pPr>
      <w:r>
        <w:rPr>
          <w:rFonts w:hint="eastAsia" w:ascii="仿宋" w:hAnsi="仿宋" w:cs="仿宋"/>
          <w:color w:val="000000"/>
          <w:kern w:val="0"/>
          <w:szCs w:val="32"/>
          <w:lang w:bidi="ar"/>
        </w:rPr>
        <w:t>绩效评价指标是衡量绩效目标实现程度的考核工具。通过将绩效业绩指标化，获取具有针对性的业绩值，为开展绩效评价工作提供基础。绩效评价指标应当充分体现和真实反映</w:t>
      </w:r>
      <w:r>
        <w:rPr>
          <w:rFonts w:hint="eastAsia" w:ascii="仿宋" w:hAnsi="仿宋" w:cs="仿宋"/>
          <w:color w:val="000000"/>
          <w:kern w:val="0"/>
          <w:szCs w:val="32"/>
          <w:lang w:val="en-US" w:eastAsia="zh-CN" w:bidi="ar"/>
        </w:rPr>
        <w:t>部门</w:t>
      </w:r>
      <w:r>
        <w:rPr>
          <w:rFonts w:hint="eastAsia" w:ascii="仿宋" w:hAnsi="仿宋" w:cs="仿宋"/>
          <w:color w:val="000000"/>
          <w:kern w:val="0"/>
          <w:szCs w:val="32"/>
          <w:lang w:bidi="ar"/>
        </w:rPr>
        <w:t>的绩效、绩效目标的完成情况及评价的政策需要。绩效评价指标体系通常包括具体指标、指标权重、指标解释、数据来源、评价标准及评分方法等</w:t>
      </w:r>
      <w:r>
        <w:rPr>
          <w:rFonts w:hint="eastAsia" w:ascii="仿宋" w:hAnsi="仿宋" w:cs="仿宋"/>
          <w:color w:val="000000"/>
          <w:kern w:val="0"/>
          <w:szCs w:val="32"/>
          <w:lang w:eastAsia="zh-CN" w:bidi="ar"/>
        </w:rPr>
        <w:t>。</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本次绩效评价对象为</w:t>
      </w:r>
      <w:r>
        <w:rPr>
          <w:rFonts w:hint="eastAsia" w:ascii="仿宋" w:hAnsi="仿宋" w:cs="仿宋"/>
          <w:szCs w:val="32"/>
        </w:rPr>
        <w:t>高新区企服中心</w:t>
      </w:r>
      <w:r>
        <w:rPr>
          <w:rFonts w:hint="eastAsia" w:ascii="仿宋" w:hAnsi="仿宋" w:cs="仿宋"/>
          <w:color w:val="000000"/>
          <w:kern w:val="0"/>
          <w:szCs w:val="32"/>
          <w:lang w:bidi="ar"/>
        </w:rPr>
        <w:t>部门整体支出，针对</w:t>
      </w:r>
      <w:r>
        <w:rPr>
          <w:rFonts w:hint="eastAsia" w:ascii="仿宋" w:hAnsi="仿宋" w:cs="仿宋"/>
          <w:szCs w:val="32"/>
        </w:rPr>
        <w:t>高新区企服中心</w:t>
      </w:r>
      <w:r>
        <w:rPr>
          <w:rFonts w:hint="eastAsia" w:ascii="仿宋" w:hAnsi="仿宋" w:cs="仿宋"/>
          <w:color w:val="000000"/>
          <w:kern w:val="0"/>
          <w:szCs w:val="32"/>
          <w:lang w:bidi="ar"/>
        </w:rPr>
        <w:t>的绩效指标体系建立是本次部门整体绩效综合评价的一个关键模块，在确定</w:t>
      </w:r>
      <w:r>
        <w:rPr>
          <w:rFonts w:hint="eastAsia" w:ascii="仿宋" w:hAnsi="仿宋" w:cs="仿宋"/>
          <w:szCs w:val="32"/>
        </w:rPr>
        <w:t>高新区企服中心</w:t>
      </w:r>
      <w:r>
        <w:rPr>
          <w:rFonts w:hint="eastAsia" w:ascii="仿宋" w:hAnsi="仿宋" w:cs="仿宋"/>
          <w:color w:val="000000"/>
          <w:kern w:val="0"/>
          <w:szCs w:val="32"/>
          <w:lang w:bidi="ar"/>
        </w:rPr>
        <w:t>整体支出绩效评价指标方面，我们主要考虑到三个重点：一是设置合理的绩效指标，绩效指标要能够准确清晰地反映</w:t>
      </w:r>
      <w:r>
        <w:rPr>
          <w:rFonts w:hint="eastAsia" w:ascii="仿宋" w:hAnsi="仿宋" w:cs="仿宋"/>
          <w:szCs w:val="32"/>
        </w:rPr>
        <w:t>高新区企服中心</w:t>
      </w:r>
      <w:r>
        <w:rPr>
          <w:rFonts w:hint="eastAsia" w:ascii="仿宋" w:hAnsi="仿宋" w:cs="仿宋"/>
          <w:color w:val="000000"/>
          <w:kern w:val="0"/>
          <w:szCs w:val="32"/>
          <w:lang w:bidi="ar"/>
        </w:rPr>
        <w:t>履职效果，需尽量设置为可衡量、可考核的清晰明确的指标，指标值需具有约束力；二是确定特性指标恰当的指标权重，依据相关原则，结合专家经验对各项指标重要程度进行研判，并匹配相应权重；三是针对</w:t>
      </w:r>
      <w:r>
        <w:rPr>
          <w:rFonts w:hint="eastAsia" w:ascii="仿宋" w:hAnsi="仿宋" w:cs="仿宋"/>
          <w:szCs w:val="32"/>
        </w:rPr>
        <w:t>高新区企服中心</w:t>
      </w:r>
      <w:r>
        <w:rPr>
          <w:rFonts w:hint="eastAsia" w:ascii="仿宋" w:hAnsi="仿宋" w:cs="仿宋"/>
          <w:color w:val="000000"/>
          <w:kern w:val="0"/>
          <w:szCs w:val="32"/>
          <w:lang w:bidi="ar"/>
        </w:rPr>
        <w:t>业务特点、制度改革事业发展实际建立适当评价标准，组合使用定性标准与定量标准。</w:t>
      </w:r>
    </w:p>
    <w:p>
      <w:pPr>
        <w:widowControl/>
        <w:ind w:firstLine="640"/>
        <w:rPr>
          <w:rFonts w:hint="eastAsia" w:ascii="仿宋" w:hAnsi="仿宋" w:cs="仿宋"/>
          <w:szCs w:val="32"/>
        </w:rPr>
      </w:pPr>
      <w:r>
        <w:rPr>
          <w:rFonts w:hint="eastAsia" w:ascii="仿宋" w:hAnsi="仿宋" w:cs="仿宋"/>
          <w:color w:val="000000"/>
          <w:kern w:val="0"/>
          <w:szCs w:val="32"/>
          <w:lang w:bidi="ar"/>
        </w:rPr>
        <w:t>绩效评价指标构建思路，绩效评价标准是指衡量绩效目标完成程度的尺度。本次评价以</w:t>
      </w:r>
      <w:r>
        <w:rPr>
          <w:rFonts w:hint="eastAsia" w:ascii="仿宋" w:hAnsi="仿宋" w:cs="仿宋"/>
          <w:szCs w:val="32"/>
        </w:rPr>
        <w:t>高新区企服中心</w:t>
      </w:r>
      <w:r>
        <w:rPr>
          <w:rFonts w:hint="eastAsia" w:ascii="仿宋" w:hAnsi="仿宋" w:cs="仿宋"/>
          <w:color w:val="000000"/>
          <w:kern w:val="0"/>
          <w:szCs w:val="32"/>
          <w:lang w:bidi="ar"/>
        </w:rPr>
        <w:t>的单位职责和国家政策导向为基础，结合行业、规模、历史经验和专家评价意见等确定绩效评价标准。本次针对</w:t>
      </w:r>
      <w:r>
        <w:rPr>
          <w:rFonts w:hint="eastAsia" w:ascii="仿宋" w:hAnsi="仿宋" w:cs="仿宋"/>
          <w:szCs w:val="32"/>
        </w:rPr>
        <w:t>高新区企服中心</w:t>
      </w:r>
      <w:r>
        <w:rPr>
          <w:rFonts w:hint="eastAsia" w:ascii="仿宋" w:hAnsi="仿宋" w:cs="仿宋"/>
          <w:color w:val="000000"/>
          <w:kern w:val="0"/>
          <w:szCs w:val="32"/>
          <w:lang w:bidi="ar"/>
        </w:rPr>
        <w:t>整体支出绩效评价指标采用的标准包括：计划标准，即以预先制定的目标、计划、预算、定额等数据作为评价的标准；行业标准，即参照国家公布的行业指标数据制定的评价标准；历史标准，指参照同类指标的历史数据制定的评价标准，为体现绩效改进的原则，在可实现的条件下确定相对较高的评价标准；其他经财政部门确认的标准。绩效评价指标的权重是指标在评价体系中的相对重要程度。权重表示在评价过程中，对评价对象不同侧面重要程度的定量分配，以区别对待各级评价指标在总体评价中的作用。</w:t>
      </w:r>
    </w:p>
    <w:p>
      <w:pPr>
        <w:widowControl/>
        <w:ind w:firstLine="640"/>
        <w:rPr>
          <w:rFonts w:hint="eastAsia" w:ascii="仿宋" w:hAnsi="仿宋" w:cs="仿宋"/>
          <w:szCs w:val="32"/>
        </w:rPr>
      </w:pPr>
      <w:r>
        <w:rPr>
          <w:rFonts w:hint="eastAsia" w:ascii="仿宋" w:hAnsi="仿宋" w:cs="仿宋"/>
          <w:color w:val="000000"/>
          <w:kern w:val="0"/>
          <w:szCs w:val="32"/>
          <w:lang w:bidi="ar"/>
        </w:rPr>
        <w:t>结合</w:t>
      </w:r>
      <w:r>
        <w:rPr>
          <w:rFonts w:hint="eastAsia" w:ascii="仿宋" w:hAnsi="仿宋" w:cs="仿宋"/>
          <w:szCs w:val="32"/>
        </w:rPr>
        <w:t>高新区企服中心</w:t>
      </w:r>
      <w:r>
        <w:rPr>
          <w:rFonts w:hint="eastAsia" w:ascii="仿宋" w:hAnsi="仿宋" w:cs="仿宋"/>
          <w:color w:val="000000"/>
          <w:kern w:val="0"/>
          <w:szCs w:val="32"/>
          <w:lang w:bidi="ar"/>
        </w:rPr>
        <w:t>实际情况，我方在符合国家规定的部门整体支出绩效评价指标框架要求的前提下，细化了资金使用配置、目标规划、管理效率、运行成本、履职效能和可持续方面等方面指标权重，根据</w:t>
      </w:r>
      <w:r>
        <w:rPr>
          <w:rFonts w:hint="eastAsia" w:ascii="仿宋" w:hAnsi="仿宋" w:cs="仿宋"/>
          <w:szCs w:val="32"/>
        </w:rPr>
        <w:t>高新区企服中心</w:t>
      </w:r>
      <w:r>
        <w:rPr>
          <w:rFonts w:hint="eastAsia" w:ascii="仿宋" w:hAnsi="仿宋" w:cs="仿宋"/>
          <w:color w:val="000000"/>
          <w:kern w:val="0"/>
          <w:szCs w:val="32"/>
          <w:lang w:bidi="ar"/>
        </w:rPr>
        <w:t>的特点针对性强化了指标考核权重。</w:t>
      </w:r>
    </w:p>
    <w:p>
      <w:pPr>
        <w:pStyle w:val="3"/>
        <w:spacing w:before="120"/>
        <w:ind w:firstLine="643"/>
        <w:rPr>
          <w:rFonts w:hint="eastAsia"/>
        </w:rPr>
      </w:pPr>
      <w:bookmarkStart w:id="368" w:name="_Toc4181"/>
      <w:bookmarkStart w:id="369" w:name="_Toc11313"/>
      <w:bookmarkStart w:id="370" w:name="_Toc21345"/>
      <w:bookmarkStart w:id="371" w:name="_Toc14014"/>
      <w:r>
        <w:rPr>
          <w:rFonts w:hint="eastAsia"/>
        </w:rPr>
        <w:t>（二）评价等级</w:t>
      </w:r>
      <w:bookmarkEnd w:id="368"/>
      <w:bookmarkEnd w:id="369"/>
      <w:bookmarkEnd w:id="370"/>
      <w:bookmarkEnd w:id="371"/>
    </w:p>
    <w:p>
      <w:pPr>
        <w:widowControl/>
        <w:ind w:firstLine="640"/>
        <w:rPr>
          <w:rFonts w:hint="eastAsia" w:ascii="仿宋" w:hAnsi="仿宋" w:cs="仿宋"/>
          <w:szCs w:val="32"/>
        </w:rPr>
      </w:pPr>
      <w:r>
        <w:rPr>
          <w:rFonts w:hint="eastAsia" w:ascii="仿宋" w:hAnsi="仿宋" w:cs="仿宋"/>
          <w:color w:val="000000"/>
          <w:kern w:val="0"/>
          <w:szCs w:val="32"/>
          <w:lang w:bidi="ar"/>
        </w:rPr>
        <w:t>根据《中共四川省委办公厅 四川省人民政府办公厅关于深入实施预算绩效管理的通知》（川委厅〔2022〕5号）文件要求，结合部门主要职能、部门工作内容以及部门项目特点，绩效评价小组在与专家组充分沟通的基础上，拟定本次遂宁高新区企业发展服务中心部门整体支出绩效评价指标体系。本部门整体支出绩效评价指标体系下设投入、过程、产出和效果4个一级指标、12个二级指标、36个三级指标。</w:t>
      </w:r>
    </w:p>
    <w:p>
      <w:pPr>
        <w:widowControl/>
        <w:ind w:firstLine="640"/>
        <w:rPr>
          <w:rFonts w:hint="eastAsia" w:ascii="仿宋" w:hAnsi="仿宋" w:cs="仿宋"/>
          <w:szCs w:val="32"/>
        </w:rPr>
      </w:pPr>
      <w:r>
        <w:rPr>
          <w:rFonts w:hint="eastAsia" w:ascii="仿宋" w:hAnsi="仿宋" w:cs="仿宋"/>
          <w:color w:val="000000"/>
          <w:kern w:val="0"/>
          <w:szCs w:val="32"/>
          <w:lang w:bidi="ar"/>
        </w:rPr>
        <w:t>绩效评价结果分4个等级：</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综合得分在90（含）-100分为“优”；</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综合得分在80（含）-90分为“良”；</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综合得分在60（含）-80分为“中”；</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综合得分在60分以下为“差”。</w:t>
      </w:r>
    </w:p>
    <w:p>
      <w:pPr>
        <w:pStyle w:val="2"/>
        <w:ind w:firstLine="640"/>
        <w:rPr>
          <w:rFonts w:hint="eastAsia"/>
        </w:rPr>
      </w:pPr>
      <w:bookmarkStart w:id="372" w:name="_Toc27134"/>
      <w:bookmarkStart w:id="373" w:name="_Toc27457"/>
      <w:bookmarkStart w:id="374" w:name="_Toc26918"/>
      <w:bookmarkStart w:id="375" w:name="_Toc11081"/>
      <w:bookmarkStart w:id="376" w:name="_Toc20857"/>
      <w:bookmarkStart w:id="377" w:name="_Toc28283"/>
      <w:r>
        <w:rPr>
          <w:rFonts w:hint="eastAsia"/>
        </w:rPr>
        <w:t>五、评价结论及</w:t>
      </w:r>
      <w:bookmarkEnd w:id="372"/>
      <w:r>
        <w:rPr>
          <w:rFonts w:hint="eastAsia"/>
        </w:rPr>
        <w:t>绩效分析</w:t>
      </w:r>
      <w:bookmarkEnd w:id="373"/>
      <w:bookmarkEnd w:id="374"/>
      <w:bookmarkEnd w:id="375"/>
      <w:bookmarkEnd w:id="376"/>
      <w:bookmarkEnd w:id="377"/>
    </w:p>
    <w:p>
      <w:pPr>
        <w:pStyle w:val="3"/>
        <w:spacing w:before="120"/>
        <w:ind w:firstLine="643"/>
        <w:rPr>
          <w:rFonts w:hint="eastAsia"/>
        </w:rPr>
      </w:pPr>
      <w:bookmarkStart w:id="378" w:name="_Toc28790"/>
      <w:bookmarkStart w:id="379" w:name="_Toc22137"/>
      <w:bookmarkStart w:id="380" w:name="_Toc9525"/>
      <w:bookmarkStart w:id="381" w:name="_Toc26712"/>
      <w:bookmarkStart w:id="382" w:name="_Toc29947"/>
      <w:bookmarkStart w:id="383" w:name="_Toc24122"/>
      <w:r>
        <w:rPr>
          <w:rFonts w:hint="eastAsia"/>
        </w:rPr>
        <w:t>（一）总体评价情况及评价结论</w:t>
      </w:r>
      <w:bookmarkEnd w:id="378"/>
      <w:bookmarkEnd w:id="379"/>
      <w:bookmarkEnd w:id="380"/>
      <w:bookmarkEnd w:id="381"/>
      <w:bookmarkEnd w:id="382"/>
      <w:bookmarkEnd w:id="383"/>
    </w:p>
    <w:p>
      <w:pPr>
        <w:keepNext w:val="0"/>
        <w:keepLines w:val="0"/>
        <w:pageBreakBefore w:val="0"/>
        <w:widowControl/>
        <w:suppressLineNumbers w:val="0"/>
        <w:kinsoku/>
        <w:wordWrap/>
        <w:overflowPunct/>
        <w:topLinePunct w:val="0"/>
        <w:autoSpaceDE/>
        <w:autoSpaceDN/>
        <w:bidi w:val="0"/>
        <w:adjustRightInd/>
        <w:snapToGrid/>
        <w:jc w:val="both"/>
        <w:textAlignment w:val="auto"/>
        <w:rPr>
          <w:rFonts w:hint="default" w:ascii="仿宋" w:hAnsi="仿宋" w:cs="仿宋"/>
          <w:szCs w:val="32"/>
          <w:lang w:val="en-US" w:eastAsia="zh-CN"/>
        </w:rPr>
      </w:pPr>
      <w:r>
        <w:rPr>
          <w:rFonts w:hint="eastAsia" w:ascii="仿宋" w:hAnsi="仿宋" w:eastAsia="仿宋" w:cs="仿宋"/>
          <w:color w:val="000000"/>
          <w:kern w:val="0"/>
          <w:sz w:val="32"/>
          <w:szCs w:val="32"/>
          <w:lang w:val="en-US" w:eastAsia="zh-CN" w:bidi="ar"/>
        </w:rPr>
        <w:t>2023年，</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val="en-US" w:eastAsia="zh-CN" w:bidi="ar"/>
        </w:rPr>
        <w:t>预算资金已在当年全部到位，资金到位率100%。并根据资金的预算安排及财政资金使用相关要求在当年全部支付，当年支付率达到100%。</w:t>
      </w:r>
      <w:r>
        <w:rPr>
          <w:rFonts w:hint="eastAsia" w:ascii="仿宋" w:hAnsi="仿宋" w:eastAsia="仿宋" w:cs="仿宋"/>
          <w:sz w:val="32"/>
          <w:szCs w:val="32"/>
        </w:rPr>
        <w:t>高新区企服中心</w:t>
      </w:r>
      <w:r>
        <w:rPr>
          <w:rFonts w:hint="eastAsia" w:ascii="仿宋" w:hAnsi="仿宋" w:eastAsia="仿宋" w:cs="仿宋"/>
          <w:sz w:val="32"/>
          <w:szCs w:val="32"/>
          <w:lang w:val="en-US" w:eastAsia="zh-CN"/>
        </w:rPr>
        <w:t>通过招商引资引入了资金和人</w:t>
      </w:r>
      <w:r>
        <w:rPr>
          <w:rFonts w:hint="eastAsia" w:ascii="仿宋" w:hAnsi="仿宋" w:eastAsia="仿宋" w:cs="仿宋"/>
          <w:color w:val="000000"/>
          <w:kern w:val="0"/>
          <w:sz w:val="32"/>
          <w:szCs w:val="32"/>
          <w:lang w:val="en-US" w:eastAsia="zh-CN" w:bidi="ar"/>
        </w:rPr>
        <w:t>才，推动当地经济发展。</w:t>
      </w:r>
      <w:r>
        <w:rPr>
          <w:rFonts w:hint="eastAsia" w:ascii="仿宋" w:hAnsi="仿宋" w:eastAsia="仿宋" w:cs="仿宋"/>
          <w:sz w:val="32"/>
          <w:szCs w:val="32"/>
          <w:lang w:val="en-US" w:eastAsia="zh-CN"/>
        </w:rPr>
        <w:t>项目扶持基金的兑现支付，能够及时为企业提供必要的资金支持，解决项目成长早期市场投入资金不足的问题，确保项目能够顺利进行；有助于企业扩大生产规模、提升产品质量；还能促进管理与制度的完善、提升经济效益与社会效益以及促进产业结构升级与转型。部门工作的开展和政策的施行，有效地帮助企业解决难题，能更好地为企业服务。</w:t>
      </w:r>
      <w:r>
        <w:rPr>
          <w:rFonts w:hint="eastAsia" w:ascii="仿宋" w:hAnsi="仿宋" w:eastAsia="仿宋" w:cs="仿宋"/>
          <w:color w:val="000000"/>
          <w:kern w:val="0"/>
          <w:sz w:val="32"/>
          <w:szCs w:val="32"/>
          <w:lang w:val="en-US" w:eastAsia="zh-CN" w:bidi="ar"/>
        </w:rPr>
        <w:t>但是评价中也发现了</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val="en-US" w:eastAsia="zh-CN" w:bidi="ar"/>
        </w:rPr>
        <w:t>在预算编制、资产管理、制度执行上</w:t>
      </w:r>
      <w:r>
        <w:rPr>
          <w:rFonts w:hint="eastAsia" w:ascii="仿宋" w:hAnsi="仿宋" w:cs="仿宋"/>
          <w:color w:val="000000"/>
          <w:kern w:val="0"/>
          <w:sz w:val="32"/>
          <w:szCs w:val="32"/>
          <w:lang w:val="en-US" w:eastAsia="zh-CN" w:bidi="ar"/>
        </w:rPr>
        <w:t>存在的</w:t>
      </w:r>
      <w:r>
        <w:rPr>
          <w:rFonts w:hint="eastAsia" w:ascii="仿宋" w:hAnsi="仿宋" w:eastAsia="仿宋" w:cs="仿宋"/>
          <w:color w:val="000000"/>
          <w:kern w:val="0"/>
          <w:sz w:val="32"/>
          <w:szCs w:val="32"/>
          <w:lang w:val="en-US" w:eastAsia="zh-CN" w:bidi="ar"/>
        </w:rPr>
        <w:t>一些问题。</w:t>
      </w:r>
    </w:p>
    <w:p>
      <w:pPr>
        <w:widowControl/>
        <w:ind w:firstLine="640"/>
        <w:rPr>
          <w:rFonts w:hint="eastAsia" w:cs="仿宋"/>
          <w:szCs w:val="32"/>
        </w:rPr>
      </w:pPr>
      <w:r>
        <w:rPr>
          <w:rFonts w:hint="eastAsia" w:ascii="仿宋" w:hAnsi="仿宋" w:cs="仿宋"/>
          <w:color w:val="000000"/>
          <w:kern w:val="0"/>
          <w:szCs w:val="32"/>
          <w:lang w:bidi="ar"/>
        </w:rPr>
        <w:t>经综合评议，2023年度</w:t>
      </w:r>
      <w:r>
        <w:rPr>
          <w:rFonts w:hint="eastAsia" w:ascii="仿宋" w:hAnsi="仿宋" w:cs="仿宋"/>
          <w:szCs w:val="32"/>
        </w:rPr>
        <w:t>高新区企服中心</w:t>
      </w:r>
      <w:r>
        <w:rPr>
          <w:rFonts w:hint="eastAsia" w:ascii="仿宋" w:hAnsi="仿宋" w:cs="仿宋"/>
          <w:color w:val="000000"/>
          <w:kern w:val="0"/>
          <w:szCs w:val="32"/>
          <w:lang w:bidi="ar"/>
        </w:rPr>
        <w:t>部门整体支出绩效评价综合得分</w:t>
      </w:r>
      <w:r>
        <w:rPr>
          <w:rFonts w:hint="eastAsia" w:ascii="仿宋" w:hAnsi="仿宋" w:cs="仿宋"/>
          <w:color w:val="000000"/>
          <w:kern w:val="0"/>
          <w:szCs w:val="32"/>
          <w:lang w:val="en-US" w:eastAsia="zh-CN" w:bidi="ar"/>
        </w:rPr>
        <w:t>92.00</w:t>
      </w:r>
      <w:r>
        <w:rPr>
          <w:rFonts w:hint="eastAsia" w:ascii="仿宋" w:hAnsi="仿宋" w:cs="仿宋"/>
          <w:color w:val="000000"/>
          <w:kern w:val="0"/>
          <w:szCs w:val="32"/>
          <w:lang w:bidi="ar"/>
        </w:rPr>
        <w:t>分，综合绩效评定结论为“</w:t>
      </w:r>
      <w:r>
        <w:rPr>
          <w:rFonts w:hint="eastAsia" w:ascii="仿宋" w:hAnsi="仿宋" w:cs="仿宋"/>
          <w:color w:val="000000"/>
          <w:kern w:val="0"/>
          <w:szCs w:val="32"/>
          <w:lang w:val="en-US" w:eastAsia="zh-CN" w:bidi="ar"/>
        </w:rPr>
        <w:t>优</w:t>
      </w:r>
      <w:r>
        <w:rPr>
          <w:rFonts w:hint="eastAsia" w:ascii="仿宋" w:hAnsi="仿宋" w:cs="仿宋"/>
          <w:color w:val="000000"/>
          <w:kern w:val="0"/>
          <w:szCs w:val="32"/>
          <w:lang w:bidi="ar"/>
        </w:rPr>
        <w:t>”。综合评价得分情况如下：</w:t>
      </w:r>
    </w:p>
    <w:p>
      <w:pPr>
        <w:keepNext w:val="0"/>
        <w:keepLines w:val="0"/>
        <w:pageBreakBefore w:val="0"/>
        <w:widowControl/>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color w:val="000000"/>
          <w:kern w:val="0"/>
          <w:sz w:val="28"/>
          <w:szCs w:val="28"/>
          <w:lang w:bidi="ar"/>
        </w:rPr>
        <w:t>综合评价得分情况表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1"/>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13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2131"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2131"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c>
          <w:tcPr>
            <w:tcW w:w="2131"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13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投入</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.00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lang w:val="en-US" w:eastAsia="zh-CN"/>
              </w:rPr>
              <w:t>95</w:t>
            </w:r>
            <w:r>
              <w:rPr>
                <w:rFonts w:hint="eastAsia" w:ascii="宋体" w:hAnsi="宋体" w:eastAsia="宋体" w:cs="宋体"/>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13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过程</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.50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lang w:val="en-US" w:eastAsia="zh-CN"/>
              </w:rPr>
              <w:t>81.67</w:t>
            </w:r>
            <w:r>
              <w:rPr>
                <w:rFonts w:hint="eastAsia"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13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产出</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29.00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96.67%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13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效益</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20.00</w:t>
            </w:r>
          </w:p>
        </w:tc>
        <w:tc>
          <w:tcPr>
            <w:tcW w:w="2131" w:type="dxa"/>
            <w:noWrap w:val="0"/>
            <w:vAlign w:val="center"/>
          </w:tcPr>
          <w:p>
            <w:pPr>
              <w:pStyle w:val="29"/>
              <w:spacing w:line="240" w:lineRule="auto"/>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9.50</w:t>
            </w:r>
          </w:p>
        </w:tc>
        <w:tc>
          <w:tcPr>
            <w:tcW w:w="2131"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val="en-US" w:eastAsia="zh-CN"/>
              </w:rPr>
              <w:t>7.5</w:t>
            </w:r>
            <w:r>
              <w:rPr>
                <w:rFonts w:hint="eastAsia" w:ascii="宋体" w:hAnsi="宋体" w:eastAsia="宋体" w:cs="宋体"/>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13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合 计</w:t>
            </w:r>
          </w:p>
        </w:tc>
        <w:tc>
          <w:tcPr>
            <w:tcW w:w="2131"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100.00</w:t>
            </w:r>
          </w:p>
        </w:tc>
        <w:tc>
          <w:tcPr>
            <w:tcW w:w="2131" w:type="dxa"/>
            <w:noWrap w:val="0"/>
            <w:vAlign w:val="center"/>
          </w:tcPr>
          <w:p>
            <w:pPr>
              <w:pStyle w:val="29"/>
              <w:spacing w:line="240" w:lineRule="auto"/>
              <w:ind w:firstLine="0" w:firstLineChars="0"/>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92.00</w:t>
            </w:r>
          </w:p>
        </w:tc>
        <w:tc>
          <w:tcPr>
            <w:tcW w:w="2131"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92.00</w:t>
            </w:r>
            <w:r>
              <w:rPr>
                <w:rFonts w:hint="eastAsia" w:ascii="宋体" w:hAnsi="宋体" w:eastAsia="宋体" w:cs="宋体"/>
                <w:b/>
                <w:bCs/>
                <w:sz w:val="24"/>
                <w:szCs w:val="24"/>
              </w:rPr>
              <w:t>%</w:t>
            </w:r>
          </w:p>
        </w:tc>
      </w:tr>
    </w:tbl>
    <w:p>
      <w:pPr>
        <w:pStyle w:val="3"/>
        <w:spacing w:before="120"/>
        <w:ind w:firstLine="643"/>
        <w:rPr>
          <w:rFonts w:hint="eastAsia"/>
        </w:rPr>
      </w:pPr>
      <w:bookmarkStart w:id="384" w:name="_Toc19844"/>
      <w:bookmarkStart w:id="385" w:name="_Toc24188"/>
      <w:bookmarkStart w:id="386" w:name="_Toc16094"/>
      <w:bookmarkStart w:id="387" w:name="_Toc29802"/>
      <w:bookmarkStart w:id="388" w:name="_Toc1316"/>
      <w:bookmarkStart w:id="389" w:name="_Toc344"/>
      <w:r>
        <w:rPr>
          <w:rFonts w:hint="eastAsia"/>
        </w:rPr>
        <w:t>（二）指标分析</w:t>
      </w:r>
      <w:bookmarkEnd w:id="384"/>
      <w:bookmarkEnd w:id="385"/>
      <w:bookmarkEnd w:id="386"/>
      <w:bookmarkEnd w:id="387"/>
      <w:bookmarkEnd w:id="388"/>
      <w:bookmarkEnd w:id="389"/>
    </w:p>
    <w:p>
      <w:pPr>
        <w:pStyle w:val="4"/>
        <w:ind w:firstLine="643"/>
        <w:rPr>
          <w:rFonts w:hint="eastAsia"/>
        </w:rPr>
      </w:pPr>
      <w:bookmarkStart w:id="390" w:name="_Toc6556"/>
      <w:r>
        <w:rPr>
          <w:rFonts w:hint="eastAsia"/>
        </w:rPr>
        <w:t>1.投入指标</w:t>
      </w:r>
      <w:bookmarkEnd w:id="390"/>
    </w:p>
    <w:p>
      <w:pPr>
        <w:widowControl/>
        <w:ind w:firstLine="640"/>
        <w:rPr>
          <w:rFonts w:hint="eastAsia" w:ascii="宋体" w:hAnsi="宋体" w:eastAsia="宋体" w:cs="宋体"/>
          <w:b/>
          <w:bCs/>
          <w:sz w:val="28"/>
          <w:szCs w:val="28"/>
        </w:rPr>
      </w:pPr>
      <w:r>
        <w:rPr>
          <w:rFonts w:hint="eastAsia" w:ascii="仿宋" w:hAnsi="仿宋" w:cs="仿宋"/>
          <w:szCs w:val="32"/>
        </w:rPr>
        <w:t>高新区企服中心</w:t>
      </w:r>
      <w:r>
        <w:rPr>
          <w:rFonts w:hint="eastAsia" w:ascii="仿宋" w:hAnsi="仿宋" w:cs="仿宋"/>
          <w:color w:val="000000"/>
          <w:kern w:val="0"/>
          <w:szCs w:val="32"/>
          <w:lang w:bidi="ar"/>
        </w:rPr>
        <w:t>预算基础信息符合相关规定，基础信息的真实、完整、准确是本单位预算编制数据重要基础，本部门预算编制基础是真实、完整、准确的；绩效目标设定基本符合预算管理的要求，设定的绩效目标与</w:t>
      </w:r>
      <w:r>
        <w:rPr>
          <w:rFonts w:hint="eastAsia" w:ascii="仿宋" w:hAnsi="仿宋" w:cs="仿宋"/>
          <w:szCs w:val="32"/>
        </w:rPr>
        <w:t>高新区企服中心</w:t>
      </w:r>
      <w:r>
        <w:rPr>
          <w:rFonts w:hint="eastAsia" w:ascii="仿宋" w:hAnsi="仿宋" w:cs="仿宋"/>
          <w:color w:val="000000"/>
          <w:kern w:val="0"/>
          <w:szCs w:val="32"/>
          <w:lang w:bidi="ar"/>
        </w:rPr>
        <w:t>职责相匹配；绩效目标设置绩效指标清晰、明确，大部分绩效指标设置能够做到细化量化可衡量，能够基本满足对本部门工作绩效的考核要求。绩效指标总体上科学、合理。但是评价中发现个别绩效目标设置不够完善，预算绩效目标指标数值设置和考核存在不够科学合理之处。本项投入指标分值20.00分，得分为1</w:t>
      </w:r>
      <w:r>
        <w:rPr>
          <w:rFonts w:hint="eastAsia" w:ascii="仿宋" w:hAnsi="仿宋" w:cs="仿宋"/>
          <w:color w:val="000000"/>
          <w:kern w:val="0"/>
          <w:szCs w:val="32"/>
          <w:lang w:val="en-US" w:eastAsia="zh-CN" w:bidi="ar"/>
        </w:rPr>
        <w:t>9</w:t>
      </w:r>
      <w:r>
        <w:rPr>
          <w:rFonts w:hint="eastAsia" w:ascii="仿宋" w:hAnsi="仿宋" w:cs="仿宋"/>
          <w:color w:val="000000"/>
          <w:kern w:val="0"/>
          <w:szCs w:val="32"/>
          <w:lang w:bidi="ar"/>
        </w:rPr>
        <w:t>.00分，得分率</w:t>
      </w:r>
      <w:r>
        <w:rPr>
          <w:rFonts w:hint="eastAsia" w:ascii="仿宋" w:hAnsi="仿宋" w:cs="仿宋"/>
          <w:color w:val="000000"/>
          <w:kern w:val="0"/>
          <w:szCs w:val="32"/>
          <w:lang w:val="en-US" w:eastAsia="zh-CN" w:bidi="ar"/>
        </w:rPr>
        <w:t>95</w:t>
      </w:r>
      <w:r>
        <w:rPr>
          <w:rFonts w:hint="eastAsia" w:ascii="仿宋" w:hAnsi="仿宋" w:cs="仿宋"/>
          <w:color w:val="000000"/>
          <w:kern w:val="0"/>
          <w:szCs w:val="32"/>
          <w:lang w:bidi="ar"/>
        </w:rPr>
        <w:t>.00%。评分见下表</w:t>
      </w:r>
      <w:r>
        <w:rPr>
          <w:rFonts w:hint="eastAsia" w:ascii="仿宋" w:hAnsi="仿宋" w:cs="仿宋"/>
          <w:color w:val="000000"/>
          <w:kern w:val="0"/>
          <w:szCs w:val="32"/>
          <w:lang w:eastAsia="zh-CN" w:bidi="ar"/>
        </w:rPr>
        <w:t>：</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投入指标设定及评分情况表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1300"/>
        <w:gridCol w:w="3260"/>
        <w:gridCol w:w="1620"/>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130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二级指标</w:t>
            </w:r>
          </w:p>
        </w:tc>
        <w:tc>
          <w:tcPr>
            <w:tcW w:w="3260" w:type="dxa"/>
            <w:noWrap w:val="0"/>
            <w:vAlign w:val="center"/>
          </w:tcPr>
          <w:p>
            <w:pPr>
              <w:pStyle w:val="29"/>
              <w:spacing w:line="240" w:lineRule="auto"/>
              <w:ind w:firstLine="482"/>
              <w:jc w:val="center"/>
              <w:rPr>
                <w:rFonts w:hint="eastAsia" w:ascii="宋体" w:hAnsi="宋体" w:eastAsia="宋体" w:cs="宋体"/>
                <w:b/>
                <w:bCs/>
                <w:sz w:val="24"/>
                <w:szCs w:val="24"/>
              </w:rPr>
            </w:pPr>
            <w:r>
              <w:rPr>
                <w:rFonts w:hint="eastAsia" w:ascii="宋体" w:hAnsi="宋体" w:eastAsia="宋体" w:cs="宋体"/>
                <w:b/>
                <w:bCs/>
                <w:sz w:val="24"/>
                <w:szCs w:val="24"/>
              </w:rPr>
              <w:t>三级指标</w:t>
            </w:r>
          </w:p>
        </w:tc>
        <w:tc>
          <w:tcPr>
            <w:tcW w:w="162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1149"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restart"/>
            <w:noWrap w:val="0"/>
            <w:vAlign w:val="center"/>
          </w:tcPr>
          <w:p>
            <w:pPr>
              <w:pStyle w:val="29"/>
              <w:spacing w:line="240" w:lineRule="auto"/>
              <w:ind w:firstLine="0" w:firstLineChars="0"/>
              <w:rPr>
                <w:rFonts w:hint="eastAsia" w:ascii="宋体" w:hAnsi="宋体" w:eastAsia="宋体" w:cs="宋体"/>
                <w:sz w:val="24"/>
                <w:szCs w:val="24"/>
              </w:rPr>
            </w:pPr>
          </w:p>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投入指标（20分）</w:t>
            </w:r>
          </w:p>
        </w:tc>
        <w:tc>
          <w:tcPr>
            <w:tcW w:w="1300" w:type="dxa"/>
            <w:vMerge w:val="restart"/>
            <w:noWrap w:val="0"/>
            <w:vAlign w:val="center"/>
          </w:tcPr>
          <w:p>
            <w:pPr>
              <w:pStyle w:val="29"/>
              <w:spacing w:line="240" w:lineRule="auto"/>
              <w:ind w:firstLine="0" w:firstLineChars="0"/>
              <w:jc w:val="center"/>
              <w:rPr>
                <w:rFonts w:hint="eastAsia" w:ascii="宋体" w:hAnsi="宋体" w:eastAsia="宋体" w:cs="宋体"/>
                <w:sz w:val="24"/>
                <w:szCs w:val="24"/>
              </w:rPr>
            </w:pPr>
          </w:p>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预算编制（10分）</w:t>
            </w: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基础信息完整性</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1300"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绩效目标符合性</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1300"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绩效指标明确性</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1300"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绩效指标科学合理性</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1300" w:type="dxa"/>
            <w:vMerge w:val="restart"/>
            <w:noWrap w:val="0"/>
            <w:vAlign w:val="center"/>
          </w:tcPr>
          <w:p>
            <w:pPr>
              <w:pStyle w:val="29"/>
              <w:spacing w:before="240" w:beforeLines="100" w:after="240" w:afterLines="100"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预算配置（10分）</w:t>
            </w: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在职人员控制率</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4.00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1300"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“三公经费”变动率</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194"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1300"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3260" w:type="dxa"/>
            <w:noWrap w:val="0"/>
            <w:vAlign w:val="center"/>
          </w:tcPr>
          <w:p>
            <w:pPr>
              <w:pStyle w:val="29"/>
              <w:spacing w:line="240" w:lineRule="auto"/>
              <w:ind w:firstLine="480"/>
              <w:jc w:val="center"/>
              <w:rPr>
                <w:rFonts w:hint="eastAsia" w:ascii="宋体" w:hAnsi="宋体" w:eastAsia="宋体" w:cs="宋体"/>
                <w:sz w:val="24"/>
                <w:szCs w:val="24"/>
              </w:rPr>
            </w:pPr>
            <w:r>
              <w:rPr>
                <w:rFonts w:hint="eastAsia" w:ascii="宋体" w:hAnsi="宋体" w:eastAsia="宋体" w:cs="宋体"/>
                <w:sz w:val="24"/>
                <w:szCs w:val="24"/>
              </w:rPr>
              <w:t>重点支出安排率</w:t>
            </w:r>
          </w:p>
        </w:tc>
        <w:tc>
          <w:tcPr>
            <w:tcW w:w="162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c>
          <w:tcPr>
            <w:tcW w:w="114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5754" w:type="dxa"/>
            <w:gridSpan w:val="3"/>
            <w:noWrap w:val="0"/>
            <w:vAlign w:val="center"/>
          </w:tcPr>
          <w:p>
            <w:pPr>
              <w:pStyle w:val="29"/>
              <w:spacing w:line="240" w:lineRule="auto"/>
              <w:ind w:firstLine="482"/>
              <w:jc w:val="center"/>
              <w:rPr>
                <w:rFonts w:hint="eastAsia" w:ascii="宋体" w:hAnsi="宋体" w:eastAsia="宋体" w:cs="宋体"/>
                <w:b/>
                <w:bCs/>
                <w:sz w:val="24"/>
                <w:szCs w:val="24"/>
              </w:rPr>
            </w:pPr>
            <w:r>
              <w:rPr>
                <w:rFonts w:hint="eastAsia" w:ascii="宋体" w:hAnsi="宋体" w:eastAsia="宋体" w:cs="宋体"/>
                <w:b/>
                <w:bCs/>
                <w:sz w:val="24"/>
                <w:szCs w:val="24"/>
              </w:rPr>
              <w:t>本项分数合计</w:t>
            </w:r>
          </w:p>
        </w:tc>
        <w:tc>
          <w:tcPr>
            <w:tcW w:w="162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20.00</w:t>
            </w:r>
          </w:p>
        </w:tc>
        <w:tc>
          <w:tcPr>
            <w:tcW w:w="1149"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9</w:t>
            </w:r>
            <w:r>
              <w:rPr>
                <w:rFonts w:hint="eastAsia" w:ascii="宋体" w:hAnsi="宋体" w:eastAsia="宋体" w:cs="宋体"/>
                <w:b/>
                <w:bCs/>
                <w:sz w:val="24"/>
                <w:szCs w:val="24"/>
              </w:rPr>
              <w:t>.00</w:t>
            </w:r>
          </w:p>
        </w:tc>
      </w:tr>
    </w:tbl>
    <w:p>
      <w:pPr>
        <w:pStyle w:val="5"/>
        <w:bidi w:val="0"/>
        <w:rPr>
          <w:rFonts w:hint="eastAsia"/>
        </w:rPr>
      </w:pPr>
      <w:r>
        <w:rPr>
          <w:rFonts w:hint="eastAsia"/>
        </w:rPr>
        <w:t>（1）预算编制</w:t>
      </w:r>
    </w:p>
    <w:p>
      <w:pPr>
        <w:ind w:firstLine="640"/>
        <w:rPr>
          <w:rFonts w:hint="eastAsia" w:ascii="仿宋" w:hAnsi="仿宋" w:eastAsia="仿宋" w:cs="仿宋"/>
          <w:sz w:val="32"/>
          <w:szCs w:val="32"/>
        </w:rPr>
      </w:pPr>
      <w:r>
        <w:rPr>
          <w:rFonts w:hint="eastAsia" w:ascii="仿宋" w:hAnsi="仿宋" w:eastAsia="仿宋" w:cs="仿宋"/>
          <w:sz w:val="32"/>
          <w:szCs w:val="32"/>
        </w:rPr>
        <w:t>1）基础信息完整性</w:t>
      </w:r>
    </w:p>
    <w:p>
      <w:pPr>
        <w:widowControl/>
        <w:ind w:firstLine="640"/>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本单位提供了单位基本信息状况，机构设置状况，单位人员状况，部门职能和工作任务情况，提供的单位相关信息资料能够真实、完整，反映单位基本状况和职能所在，能够对预算编制数据的提供支撑和依据。2023年度预算基本支出基本参照单位人员和定额的公用支出来确定本年基本支出预算数额，能够按照单位职能承担本单位所属的专项项目支出的工作内容。结合相关资料分析来看，</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预算基础信息符合相关规定，信息资料真实、完整、准确，这些基础信息是本单位预算编制数据重要基础。总体而言，预算编制基础是真实、完整、准确的。</w:t>
      </w:r>
    </w:p>
    <w:p>
      <w:pPr>
        <w:ind w:firstLine="640"/>
        <w:rPr>
          <w:rFonts w:hint="eastAsia" w:ascii="仿宋" w:hAnsi="仿宋" w:eastAsia="仿宋" w:cs="仿宋"/>
          <w:sz w:val="32"/>
          <w:szCs w:val="32"/>
        </w:rPr>
      </w:pPr>
      <w:r>
        <w:rPr>
          <w:rFonts w:hint="eastAsia" w:ascii="仿宋" w:hAnsi="仿宋" w:eastAsia="仿宋" w:cs="仿宋"/>
          <w:sz w:val="32"/>
          <w:szCs w:val="32"/>
        </w:rPr>
        <w:t>2）绩效目标符合性</w:t>
      </w:r>
    </w:p>
    <w:p>
      <w:pPr>
        <w:pStyle w:val="30"/>
        <w:ind w:firstLine="640"/>
        <w:jc w:val="both"/>
        <w:rPr>
          <w:rFonts w:hint="eastAsia" w:ascii="仿宋" w:hAnsi="仿宋" w:eastAsia="仿宋" w:cs="仿宋"/>
          <w:sz w:val="32"/>
          <w:szCs w:val="32"/>
        </w:rPr>
      </w:pPr>
      <w:r>
        <w:rPr>
          <w:rFonts w:hint="eastAsia" w:ascii="仿宋" w:hAnsi="仿宋" w:eastAsia="仿宋" w:cs="仿宋"/>
          <w:color w:val="000000"/>
          <w:kern w:val="0"/>
          <w:sz w:val="32"/>
          <w:szCs w:val="32"/>
          <w:lang w:bidi="ar"/>
        </w:rPr>
        <w:t>根据《遂宁高新区企业发展服务中心绩效目标申报表》，</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制定了年度预算总体绩效目标和具体绩效目标。其中总体目标为：</w:t>
      </w:r>
      <w:r>
        <w:rPr>
          <w:rFonts w:hint="eastAsia" w:ascii="仿宋" w:hAnsi="仿宋" w:eastAsia="仿宋" w:cs="仿宋"/>
          <w:sz w:val="32"/>
          <w:szCs w:val="32"/>
        </w:rPr>
        <w:t>保障为招商引资企业服务，协助指导招商引资项目落地，项目建设，以及为企业运营提供相关服务和办公场所租用等工作正常开展；保障人员支出和单位正常运转；加强财务监督，杜绝不合理开支；完成上级交办的其他事项。绩效目标设定符合国家法律法规、国民经济和社会发展总体规划，与部门三定方案确定的职责相匹配。</w:t>
      </w:r>
      <w:r>
        <w:rPr>
          <w:rFonts w:hint="eastAsia" w:ascii="仿宋" w:hAnsi="仿宋" w:eastAsia="仿宋" w:cs="仿宋"/>
          <w:color w:val="000000"/>
          <w:kern w:val="0"/>
          <w:sz w:val="32"/>
          <w:szCs w:val="32"/>
          <w:lang w:bidi="ar"/>
        </w:rPr>
        <w:t>绩效目标设定基本符合预算管理的要求。</w:t>
      </w:r>
    </w:p>
    <w:p>
      <w:pPr>
        <w:ind w:firstLine="640"/>
        <w:rPr>
          <w:rFonts w:hint="eastAsia" w:ascii="仿宋" w:hAnsi="仿宋" w:eastAsia="仿宋" w:cs="仿宋"/>
          <w:sz w:val="32"/>
          <w:szCs w:val="32"/>
        </w:rPr>
      </w:pPr>
      <w:r>
        <w:rPr>
          <w:rFonts w:hint="eastAsia" w:ascii="仿宋" w:hAnsi="仿宋" w:eastAsia="仿宋" w:cs="仿宋"/>
          <w:sz w:val="32"/>
          <w:szCs w:val="32"/>
        </w:rPr>
        <w:t>3）绩效指标明确性</w:t>
      </w:r>
    </w:p>
    <w:p>
      <w:pPr>
        <w:widowControl/>
        <w:ind w:firstLine="640"/>
        <w:rPr>
          <w:rFonts w:hint="eastAsia" w:ascii="仿宋" w:hAnsi="仿宋" w:eastAsia="仿宋" w:cs="仿宋"/>
          <w:color w:val="000000"/>
          <w:kern w:val="0"/>
          <w:sz w:val="32"/>
          <w:szCs w:val="32"/>
          <w:lang w:bidi="ar"/>
        </w:rPr>
      </w:pP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制定了年度预算具体绩效目标并设置了各项指标。根据《遂宁高新区企业发展服务中心部门整体支出绩效目标申报表》，</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在年度绩效总体目标的基础上，从产出数量、质量、社会效益和服务对象满意度等角度细化了各项绩效指标。</w:t>
      </w:r>
    </w:p>
    <w:p>
      <w:pPr>
        <w:widowControl/>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评价认为，总体上绩效目标设置绩效指标清晰、细化，大部分绩效指标设置清晰、目标明确。能够基本满足对本部门工作绩效的考核要求。</w:t>
      </w:r>
    </w:p>
    <w:p>
      <w:pPr>
        <w:ind w:firstLine="640"/>
        <w:rPr>
          <w:rFonts w:hint="eastAsia" w:ascii="仿宋" w:hAnsi="仿宋" w:eastAsia="仿宋" w:cs="仿宋"/>
          <w:sz w:val="32"/>
          <w:szCs w:val="32"/>
        </w:rPr>
      </w:pPr>
      <w:r>
        <w:rPr>
          <w:rFonts w:hint="eastAsia" w:ascii="仿宋" w:hAnsi="仿宋" w:eastAsia="仿宋" w:cs="仿宋"/>
          <w:sz w:val="32"/>
          <w:szCs w:val="32"/>
        </w:rPr>
        <w:t>4）绩效指标科学合理性</w:t>
      </w:r>
    </w:p>
    <w:p>
      <w:pPr>
        <w:widowControl/>
        <w:ind w:firstLine="640"/>
        <w:rPr>
          <w:rFonts w:hint="eastAsia" w:ascii="仿宋" w:hAnsi="仿宋" w:eastAsia="仿宋" w:cs="仿宋"/>
          <w:color w:val="000000"/>
          <w:kern w:val="0"/>
          <w:sz w:val="32"/>
          <w:szCs w:val="32"/>
          <w:lang w:bidi="ar"/>
        </w:rPr>
      </w:pP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依据整体绩效目标所设定的部门项目绩效指标总体上科学、合理，能够科学合理地反映和考核本部门预算项目绩效指标。项目绩效指标的设置依据是充分的，与部门职责相匹配，与部门年度的任务和计划相对应，与本年度部门年初预算资金相匹配。但个别指标设置时未充分考虑相应指标的考核依据和方法。如招商引资项目质量指标：资金完成情况≥100.00%、经济效益指标：完成金额≥20.00万，时效指标：完成时间≥2023年。且由于年初预算金额与当年决算金额差异较大，导致事前绩效目标申报情况与事后目标在预算执行考核方面存在不可避免的差异。从预算执行情况来看，由于年初预算申报审批与实际执行存在较大的偏差，客观上存在年初预算编制的不科学不合理，导致绩效指标的预算金额在科学合理性存在偏差。</w:t>
      </w:r>
    </w:p>
    <w:p>
      <w:pPr>
        <w:pStyle w:val="5"/>
        <w:bidi w:val="0"/>
        <w:rPr>
          <w:rFonts w:hint="eastAsia"/>
        </w:rPr>
      </w:pPr>
      <w:r>
        <w:rPr>
          <w:rFonts w:hint="eastAsia"/>
        </w:rPr>
        <w:t>（2）预算配置</w:t>
      </w:r>
    </w:p>
    <w:p>
      <w:pPr>
        <w:ind w:firstLine="640"/>
        <w:rPr>
          <w:rFonts w:hint="eastAsia" w:ascii="仿宋" w:hAnsi="仿宋" w:eastAsia="仿宋" w:cs="仿宋"/>
          <w:sz w:val="32"/>
          <w:szCs w:val="32"/>
        </w:rPr>
      </w:pPr>
      <w:r>
        <w:rPr>
          <w:rFonts w:hint="eastAsia" w:ascii="仿宋" w:hAnsi="仿宋" w:eastAsia="仿宋" w:cs="仿宋"/>
          <w:sz w:val="32"/>
          <w:szCs w:val="32"/>
        </w:rPr>
        <w:t>1）在职人员控制率</w:t>
      </w:r>
    </w:p>
    <w:p>
      <w:pPr>
        <w:widowControl/>
        <w:adjustRightInd w:val="0"/>
        <w:snapToGrid w:val="0"/>
        <w:ind w:firstLine="640"/>
        <w:contextualSpacing/>
        <w:rPr>
          <w:rFonts w:hint="eastAsia" w:ascii="仿宋" w:hAnsi="仿宋" w:eastAsia="仿宋" w:cs="仿宋"/>
          <w:sz w:val="32"/>
          <w:szCs w:val="32"/>
        </w:rPr>
      </w:pPr>
      <w:r>
        <w:rPr>
          <w:rFonts w:hint="eastAsia" w:ascii="仿宋" w:hAnsi="仿宋" w:eastAsia="仿宋" w:cs="仿宋"/>
          <w:color w:val="000000"/>
          <w:kern w:val="0"/>
          <w:sz w:val="32"/>
          <w:szCs w:val="32"/>
          <w:lang w:bidi="ar"/>
        </w:rPr>
        <w:t>根据三定方案，</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核定事业编制11名。其中，主任1名（正科级），副主任2名（副科级）。经实际查看，截至2023年底实际</w:t>
      </w:r>
      <w:r>
        <w:rPr>
          <w:rFonts w:hint="eastAsia" w:ascii="仿宋" w:hAnsi="仿宋" w:eastAsia="仿宋" w:cs="仿宋"/>
          <w:sz w:val="32"/>
          <w:szCs w:val="32"/>
        </w:rPr>
        <w:t>在职人员</w:t>
      </w:r>
      <w:r>
        <w:rPr>
          <w:rFonts w:hint="eastAsia" w:ascii="仿宋" w:hAnsi="仿宋" w:cs="仿宋"/>
          <w:sz w:val="32"/>
          <w:szCs w:val="32"/>
          <w:lang w:val="en-US" w:eastAsia="zh-CN"/>
        </w:rPr>
        <w:t>11</w:t>
      </w:r>
      <w:r>
        <w:rPr>
          <w:rFonts w:hint="eastAsia" w:ascii="仿宋" w:hAnsi="仿宋" w:eastAsia="仿宋" w:cs="仿宋"/>
          <w:sz w:val="32"/>
          <w:szCs w:val="32"/>
        </w:rPr>
        <w:t>人</w:t>
      </w:r>
      <w:r>
        <w:rPr>
          <w:rFonts w:hint="eastAsia" w:ascii="仿宋" w:hAnsi="仿宋" w:cs="仿宋"/>
          <w:sz w:val="32"/>
          <w:szCs w:val="32"/>
          <w:lang w:eastAsia="zh-CN"/>
        </w:rPr>
        <w:t>，</w:t>
      </w:r>
      <w:r>
        <w:rPr>
          <w:rFonts w:hint="eastAsia" w:ascii="仿宋" w:hAnsi="仿宋" w:cs="仿宋"/>
          <w:sz w:val="32"/>
          <w:szCs w:val="32"/>
          <w:lang w:val="en-US" w:eastAsia="zh-CN"/>
        </w:rPr>
        <w:t>其中本单位在职4人，借调或外派出去7人</w:t>
      </w:r>
      <w:r>
        <w:rPr>
          <w:rFonts w:hint="eastAsia" w:ascii="仿宋" w:hAnsi="仿宋" w:eastAsia="仿宋" w:cs="仿宋"/>
          <w:sz w:val="32"/>
          <w:szCs w:val="32"/>
        </w:rPr>
        <w:t>。在职控制率为</w:t>
      </w:r>
      <w:r>
        <w:rPr>
          <w:rFonts w:hint="eastAsia" w:ascii="仿宋" w:hAnsi="仿宋" w:cs="仿宋"/>
          <w:sz w:val="32"/>
          <w:szCs w:val="32"/>
          <w:lang w:val="en-US" w:eastAsia="zh-CN"/>
        </w:rPr>
        <w:t>100.00</w:t>
      </w:r>
      <w:r>
        <w:rPr>
          <w:rFonts w:hint="eastAsia" w:ascii="仿宋" w:hAnsi="仿宋" w:eastAsia="仿宋" w:cs="仿宋"/>
          <w:sz w:val="32"/>
          <w:szCs w:val="32"/>
        </w:rPr>
        <w:t>%。</w:t>
      </w:r>
    </w:p>
    <w:p>
      <w:pPr>
        <w:ind w:firstLine="640"/>
        <w:rPr>
          <w:rFonts w:hint="eastAsia" w:ascii="仿宋" w:hAnsi="仿宋" w:eastAsia="仿宋" w:cs="仿宋"/>
          <w:sz w:val="32"/>
          <w:szCs w:val="32"/>
        </w:rPr>
      </w:pPr>
      <w:r>
        <w:rPr>
          <w:rFonts w:hint="eastAsia" w:ascii="仿宋" w:hAnsi="仿宋" w:eastAsia="仿宋" w:cs="仿宋"/>
          <w:sz w:val="32"/>
          <w:szCs w:val="32"/>
        </w:rPr>
        <w:t>2）“三公经费”变动率</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2023年度</w:t>
      </w: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“三公经费”调整后预算为0.00万元。由于该中心是新增决算单位，</w:t>
      </w:r>
      <w:r>
        <w:rPr>
          <w:rFonts w:hint="eastAsia"/>
        </w:rPr>
        <w:t>上年度无相关预算，不存在三公经费对比变动情况</w:t>
      </w:r>
      <w:r>
        <w:rPr>
          <w:rFonts w:hint="eastAsia" w:ascii="仿宋" w:hAnsi="仿宋" w:eastAsia="仿宋" w:cs="仿宋"/>
          <w:color w:val="000000"/>
          <w:kern w:val="0"/>
          <w:sz w:val="32"/>
          <w:szCs w:val="32"/>
          <w:lang w:bidi="ar"/>
        </w:rPr>
        <w:t>。</w:t>
      </w:r>
    </w:p>
    <w:p>
      <w:pPr>
        <w:keepNext w:val="0"/>
        <w:keepLines w:val="0"/>
        <w:pageBreakBefore w:val="0"/>
        <w:kinsoku/>
        <w:wordWrap/>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3）重点支出安排率</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高新区企服中心</w:t>
      </w:r>
      <w:r>
        <w:rPr>
          <w:rFonts w:hint="eastAsia" w:ascii="仿宋" w:hAnsi="仿宋" w:eastAsia="仿宋" w:cs="仿宋"/>
          <w:color w:val="000000"/>
          <w:kern w:val="0"/>
          <w:sz w:val="32"/>
          <w:szCs w:val="32"/>
          <w:lang w:bidi="ar"/>
        </w:rPr>
        <w:t>2023年度没有涉及遂宁市委政府部署的重点项目预算安排，不涉及重点项目支出。</w:t>
      </w:r>
    </w:p>
    <w:p>
      <w:pPr>
        <w:pStyle w:val="4"/>
        <w:ind w:firstLine="643"/>
        <w:rPr>
          <w:rFonts w:hint="eastAsia"/>
        </w:rPr>
      </w:pPr>
      <w:bookmarkStart w:id="391" w:name="_Toc2015"/>
      <w:r>
        <w:rPr>
          <w:rFonts w:hint="eastAsia"/>
        </w:rPr>
        <w:t>2.过程指标</w:t>
      </w:r>
      <w:bookmarkEnd w:id="391"/>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2023年度，</w:t>
      </w:r>
      <w:r>
        <w:rPr>
          <w:rFonts w:hint="eastAsia" w:ascii="仿宋" w:hAnsi="仿宋" w:cs="仿宋"/>
          <w:szCs w:val="32"/>
        </w:rPr>
        <w:t>高新区企服中心</w:t>
      </w:r>
      <w:r>
        <w:rPr>
          <w:rFonts w:hint="eastAsia" w:ascii="仿宋" w:hAnsi="仿宋" w:cs="仿宋"/>
          <w:color w:val="000000"/>
          <w:kern w:val="0"/>
          <w:szCs w:val="32"/>
          <w:lang w:bidi="ar"/>
        </w:rPr>
        <w:t>预算完成率100.00%，基本完成本年预算支出。预算调整22,556.71万元，预算调整率22535.50%。单位预算支付能够按照支付进度进行，全年预算执行100.00%，能够较好地完成预算资金支付进度。本部门2023年度三公经费控制率为0.00%，总体控制效果良好。本单位制定了部分管理制度，但是总体上看管理制度还不够完备和全面，单位内部控制建设有待加强。本单位支出符合部门预算批复的用途，符合国家财经法规和财务管理制度规定以及有关专项资金管理办法的规定，能够严格实行国库集中支付，预算按照要求公开公示，会计信息质量控制较好，能够达到客观真实核算和监督单位实际收支的目的。目前暂无资产管理制度，资产管理混乱，资产利用率100.00%。本项过程指标分值30.00分，得分为2</w:t>
      </w:r>
      <w:r>
        <w:rPr>
          <w:rFonts w:hint="eastAsia" w:ascii="仿宋" w:hAnsi="仿宋" w:cs="仿宋"/>
          <w:color w:val="000000"/>
          <w:kern w:val="0"/>
          <w:szCs w:val="32"/>
          <w:lang w:val="en-US" w:eastAsia="zh-CN" w:bidi="ar"/>
        </w:rPr>
        <w:t>4</w:t>
      </w:r>
      <w:r>
        <w:rPr>
          <w:rFonts w:hint="eastAsia" w:ascii="仿宋" w:hAnsi="仿宋" w:cs="仿宋"/>
          <w:color w:val="000000"/>
          <w:kern w:val="0"/>
          <w:szCs w:val="32"/>
          <w:lang w:bidi="ar"/>
        </w:rPr>
        <w:t>.50分，得分率</w:t>
      </w:r>
      <w:r>
        <w:rPr>
          <w:rFonts w:hint="eastAsia" w:ascii="仿宋" w:hAnsi="仿宋" w:cs="仿宋"/>
          <w:color w:val="000000"/>
          <w:kern w:val="0"/>
          <w:szCs w:val="32"/>
          <w:lang w:val="en-US" w:eastAsia="zh-CN" w:bidi="ar"/>
        </w:rPr>
        <w:t>81.67</w:t>
      </w:r>
      <w:r>
        <w:rPr>
          <w:rFonts w:hint="eastAsia" w:ascii="仿宋" w:hAnsi="仿宋" w:cs="仿宋"/>
          <w:color w:val="000000"/>
          <w:kern w:val="0"/>
          <w:szCs w:val="32"/>
          <w:lang w:bidi="ar"/>
        </w:rPr>
        <w:t>%。评分见下表：</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rPr>
      </w:pPr>
      <w:r>
        <w:rPr>
          <w:rFonts w:hint="eastAsia" w:ascii="宋体" w:hAnsi="宋体" w:eastAsia="宋体" w:cs="宋体"/>
          <w:b/>
          <w:bCs/>
          <w:sz w:val="28"/>
          <w:szCs w:val="28"/>
        </w:rPr>
        <w:t>过程指标设定及评分情况表</w:t>
      </w:r>
    </w:p>
    <w:tbl>
      <w:tblPr>
        <w:tblStyle w:val="18"/>
        <w:tblW w:w="0" w:type="auto"/>
        <w:tblInd w:w="91" w:type="dxa"/>
        <w:tblLayout w:type="fixed"/>
        <w:tblCellMar>
          <w:top w:w="0" w:type="dxa"/>
          <w:left w:w="108" w:type="dxa"/>
          <w:bottom w:w="0" w:type="dxa"/>
          <w:right w:w="108" w:type="dxa"/>
        </w:tblCellMar>
      </w:tblPr>
      <w:tblGrid>
        <w:gridCol w:w="1261"/>
        <w:gridCol w:w="1260"/>
        <w:gridCol w:w="3660"/>
        <w:gridCol w:w="1020"/>
        <w:gridCol w:w="917"/>
      </w:tblGrid>
      <w:tr>
        <w:tblPrEx>
          <w:tblCellMar>
            <w:top w:w="0" w:type="dxa"/>
            <w:left w:w="108" w:type="dxa"/>
            <w:bottom w:w="0" w:type="dxa"/>
            <w:right w:w="108" w:type="dxa"/>
          </w:tblCellMar>
        </w:tblPrEx>
        <w:trPr>
          <w:trHeight w:val="540" w:hRule="exact"/>
        </w:trPr>
        <w:tc>
          <w:tcPr>
            <w:tcW w:w="126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一级指标</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二级指标</w:t>
            </w: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三级指标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分值</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得分</w:t>
            </w:r>
          </w:p>
        </w:tc>
      </w:tr>
      <w:tr>
        <w:tblPrEx>
          <w:tblCellMar>
            <w:top w:w="0" w:type="dxa"/>
            <w:left w:w="108" w:type="dxa"/>
            <w:bottom w:w="0" w:type="dxa"/>
            <w:right w:w="108" w:type="dxa"/>
          </w:tblCellMar>
        </w:tblPrEx>
        <w:trPr>
          <w:trHeight w:val="540" w:hRule="exact"/>
        </w:trPr>
        <w:tc>
          <w:tcPr>
            <w:tcW w:w="126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textAlignment w:val="center"/>
              <w:rPr>
                <w:rFonts w:hint="eastAsia" w:ascii="宋体" w:hAnsi="宋体" w:eastAsia="宋体" w:cs="宋体"/>
                <w:color w:val="000000"/>
                <w:kern w:val="0"/>
                <w:sz w:val="24"/>
                <w:lang w:bidi="ar"/>
              </w:rPr>
            </w:pPr>
          </w:p>
          <w:p>
            <w:pPr>
              <w:widowControl/>
              <w:spacing w:line="240" w:lineRule="auto"/>
              <w:ind w:firstLine="0" w:firstLineChars="0"/>
              <w:jc w:val="center"/>
              <w:textAlignment w:val="center"/>
              <w:rPr>
                <w:rFonts w:hint="eastAsia" w:ascii="宋体" w:hAnsi="宋体" w:eastAsia="宋体" w:cs="宋体"/>
                <w:color w:val="000000"/>
                <w:kern w:val="0"/>
                <w:sz w:val="24"/>
                <w:lang w:bidi="ar"/>
              </w:rPr>
            </w:pPr>
          </w:p>
          <w:p>
            <w:pPr>
              <w:widowControl/>
              <w:spacing w:line="240" w:lineRule="auto"/>
              <w:ind w:firstLine="0" w:firstLineChars="0"/>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过程指标</w:t>
            </w:r>
          </w:p>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（30分）</w:t>
            </w:r>
          </w:p>
        </w:tc>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预算执行</w:t>
            </w:r>
          </w:p>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（14分）</w:t>
            </w: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预算完成率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预算调整率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val="en-US" w:eastAsia="zh-CN" w:bidi="ar"/>
              </w:rPr>
              <w:t>2</w:t>
            </w:r>
            <w:r>
              <w:rPr>
                <w:rFonts w:hint="eastAsia" w:ascii="宋体" w:hAnsi="宋体" w:eastAsia="宋体" w:cs="宋体"/>
                <w:color w:val="000000"/>
                <w:kern w:val="0"/>
                <w:sz w:val="24"/>
                <w:lang w:bidi="ar"/>
              </w:rPr>
              <w:t>.00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支付进度率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结转结余率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公用经费控制率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“三公经费”控制率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政府采购执行率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预算管理</w:t>
            </w:r>
          </w:p>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（10分）</w:t>
            </w: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管理制度健全性和执行性</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资金使用合规性</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sz w:val="24"/>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预决算信息公开性</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政府购买服务执行情况</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财务信息完善性</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1.50</w:t>
            </w:r>
          </w:p>
        </w:tc>
      </w:tr>
      <w:tr>
        <w:tblPrEx>
          <w:tblCellMar>
            <w:top w:w="0" w:type="dxa"/>
            <w:left w:w="108" w:type="dxa"/>
            <w:bottom w:w="0" w:type="dxa"/>
            <w:right w:w="108" w:type="dxa"/>
          </w:tblCellMar>
        </w:tblPrEx>
        <w:trPr>
          <w:trHeight w:val="67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资产管理</w:t>
            </w:r>
          </w:p>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（6分）</w:t>
            </w: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资产管理制度健全性合规性</w:t>
            </w:r>
          </w:p>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和执行度</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val="en-US" w:eastAsia="zh-CN" w:bidi="ar"/>
              </w:rPr>
              <w:t>1</w:t>
            </w:r>
            <w:r>
              <w:rPr>
                <w:rFonts w:hint="eastAsia" w:ascii="宋体" w:hAnsi="宋体" w:eastAsia="宋体" w:cs="宋体"/>
                <w:color w:val="000000"/>
                <w:kern w:val="0"/>
                <w:sz w:val="24"/>
                <w:lang w:bidi="ar"/>
              </w:rPr>
              <w:t>.50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资产管理规范性</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0.50</w:t>
            </w:r>
          </w:p>
        </w:tc>
      </w:tr>
      <w:tr>
        <w:tblPrEx>
          <w:tblCellMar>
            <w:top w:w="0" w:type="dxa"/>
            <w:left w:w="108" w:type="dxa"/>
            <w:bottom w:w="0" w:type="dxa"/>
            <w:right w:w="108" w:type="dxa"/>
          </w:tblCellMar>
        </w:tblPrEx>
        <w:trPr>
          <w:trHeight w:val="540" w:hRule="exact"/>
        </w:trPr>
        <w:tc>
          <w:tcPr>
            <w:tcW w:w="126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480"/>
              <w:jc w:val="center"/>
              <w:rPr>
                <w:rFonts w:hint="eastAsia" w:ascii="宋体" w:hAnsi="宋体" w:eastAsia="宋体" w:cs="宋体"/>
                <w:color w:val="000000"/>
                <w:sz w:val="24"/>
              </w:rPr>
            </w:pPr>
          </w:p>
        </w:tc>
        <w:tc>
          <w:tcPr>
            <w:tcW w:w="366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固定资产利用率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c>
          <w:tcPr>
            <w:tcW w:w="9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4"/>
              </w:rPr>
            </w:pPr>
            <w:r>
              <w:rPr>
                <w:rFonts w:hint="eastAsia" w:ascii="宋体" w:hAnsi="宋体" w:eastAsia="宋体" w:cs="宋体"/>
                <w:color w:val="000000"/>
                <w:kern w:val="0"/>
                <w:sz w:val="24"/>
                <w:lang w:bidi="ar"/>
              </w:rPr>
              <w:t>2.00</w:t>
            </w:r>
          </w:p>
        </w:tc>
      </w:tr>
      <w:tr>
        <w:tblPrEx>
          <w:tblCellMar>
            <w:top w:w="0" w:type="dxa"/>
            <w:left w:w="108" w:type="dxa"/>
            <w:bottom w:w="0" w:type="dxa"/>
            <w:right w:w="108" w:type="dxa"/>
          </w:tblCellMar>
        </w:tblPrEx>
        <w:trPr>
          <w:trHeight w:val="540" w:hRule="exact"/>
        </w:trPr>
        <w:tc>
          <w:tcPr>
            <w:tcW w:w="6181"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482"/>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本项分数合计</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30.00</w:t>
            </w:r>
          </w:p>
        </w:tc>
        <w:tc>
          <w:tcPr>
            <w:tcW w:w="91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2</w:t>
            </w:r>
            <w:r>
              <w:rPr>
                <w:rFonts w:hint="eastAsia" w:ascii="宋体" w:hAnsi="宋体" w:eastAsia="宋体" w:cs="宋体"/>
                <w:b/>
                <w:bCs/>
                <w:color w:val="000000"/>
                <w:kern w:val="0"/>
                <w:sz w:val="24"/>
                <w:lang w:val="en-US" w:eastAsia="zh-CN" w:bidi="ar"/>
              </w:rPr>
              <w:t>4</w:t>
            </w:r>
            <w:r>
              <w:rPr>
                <w:rFonts w:hint="eastAsia" w:ascii="宋体" w:hAnsi="宋体" w:eastAsia="宋体" w:cs="宋体"/>
                <w:b/>
                <w:bCs/>
                <w:color w:val="000000"/>
                <w:kern w:val="0"/>
                <w:sz w:val="24"/>
                <w:lang w:bidi="ar"/>
              </w:rPr>
              <w:t>.50</w:t>
            </w:r>
          </w:p>
        </w:tc>
      </w:tr>
    </w:tbl>
    <w:p>
      <w:pPr>
        <w:pStyle w:val="5"/>
        <w:bidi w:val="0"/>
        <w:rPr>
          <w:rFonts w:hint="eastAsia"/>
        </w:rPr>
      </w:pPr>
      <w:r>
        <w:rPr>
          <w:rFonts w:hint="eastAsia"/>
        </w:rPr>
        <w:t>（1）预算执行</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1）预算完成率</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本项考核</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本年度预算完成数与预算数的比率，用以反映和考核部门（单位）预算完成程度。2023年度</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年初预算为</w:t>
      </w:r>
      <w:r>
        <w:rPr>
          <w:rFonts w:hint="eastAsia" w:ascii="仿宋" w:hAnsi="仿宋" w:eastAsia="仿宋" w:cs="仿宋"/>
          <w:color w:val="000000"/>
          <w:szCs w:val="32"/>
        </w:rPr>
        <w:t>22,656.81万元</w:t>
      </w:r>
      <w:r>
        <w:rPr>
          <w:rFonts w:hint="eastAsia" w:ascii="仿宋" w:hAnsi="仿宋" w:eastAsia="仿宋" w:cs="仿宋"/>
          <w:color w:val="000000"/>
          <w:kern w:val="0"/>
          <w:szCs w:val="32"/>
          <w:lang w:bidi="ar"/>
        </w:rPr>
        <w:t>，其中：</w:t>
      </w:r>
      <w:r>
        <w:rPr>
          <w:rFonts w:hint="eastAsia" w:ascii="仿宋" w:hAnsi="仿宋" w:eastAsia="仿宋" w:cs="仿宋"/>
          <w:color w:val="000000"/>
          <w:kern w:val="0"/>
          <w:szCs w:val="32"/>
        </w:rPr>
        <w:t>其中基本支出30</w:t>
      </w:r>
      <w:r>
        <w:rPr>
          <w:rFonts w:hint="eastAsia" w:ascii="仿宋" w:hAnsi="仿宋" w:eastAsia="仿宋" w:cs="仿宋"/>
          <w:color w:val="000000"/>
          <w:kern w:val="0"/>
          <w:szCs w:val="32"/>
          <w:lang w:bidi="ar"/>
        </w:rPr>
        <w:t>.</w:t>
      </w:r>
      <w:r>
        <w:rPr>
          <w:rFonts w:hint="eastAsia" w:ascii="仿宋" w:hAnsi="仿宋" w:eastAsia="仿宋" w:cs="仿宋"/>
          <w:color w:val="000000"/>
          <w:kern w:val="0"/>
          <w:szCs w:val="32"/>
        </w:rPr>
        <w:t>31万元（人员经费16.78万元、公用经费13.53万元）</w:t>
      </w:r>
      <w:r>
        <w:rPr>
          <w:rFonts w:hint="eastAsia" w:ascii="仿宋" w:hAnsi="仿宋" w:eastAsia="仿宋" w:cs="仿宋"/>
          <w:color w:val="000000"/>
          <w:kern w:val="0"/>
          <w:szCs w:val="32"/>
          <w:lang w:bidi="ar"/>
        </w:rPr>
        <w:t>占0.13%；</w:t>
      </w:r>
      <w:r>
        <w:rPr>
          <w:rFonts w:hint="eastAsia" w:ascii="仿宋" w:hAnsi="仿宋" w:eastAsia="仿宋" w:cs="仿宋"/>
          <w:color w:val="000000"/>
          <w:kern w:val="0"/>
          <w:szCs w:val="32"/>
        </w:rPr>
        <w:t>项目支出22,626.50万元，占99.87</w:t>
      </w:r>
      <w:r>
        <w:rPr>
          <w:rFonts w:hint="eastAsia" w:ascii="仿宋" w:hAnsi="仿宋" w:eastAsia="仿宋" w:cs="仿宋"/>
          <w:color w:val="000000"/>
          <w:kern w:val="0"/>
          <w:szCs w:val="32"/>
          <w:lang w:bidi="ar"/>
        </w:rPr>
        <w:t>%。全年预算完成率100.00%。</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2）预算调整率</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shd w:val="clear" w:color="auto" w:fill="FFFFFF"/>
        </w:rPr>
      </w:pPr>
      <w:r>
        <w:rPr>
          <w:rFonts w:hint="eastAsia" w:ascii="仿宋" w:hAnsi="仿宋" w:eastAsia="仿宋" w:cs="仿宋"/>
          <w:color w:val="000000"/>
          <w:kern w:val="0"/>
          <w:szCs w:val="32"/>
          <w:lang w:bidi="ar"/>
        </w:rPr>
        <w:t>本项考核</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本年度预算调整数与预算数的比率，用以评价该部门预算的调整程度。根据2023年</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《年度部门预算表》，年初预算数为100.09万元，预算调</w:t>
      </w:r>
      <w:r>
        <w:rPr>
          <w:rFonts w:hint="eastAsia" w:ascii="仿宋" w:hAnsi="仿宋" w:cs="仿宋"/>
          <w:color w:val="000000"/>
          <w:kern w:val="0"/>
          <w:szCs w:val="32"/>
          <w:lang w:val="en-US" w:eastAsia="zh-CN" w:bidi="ar"/>
        </w:rPr>
        <w:t>增</w:t>
      </w:r>
      <w:r>
        <w:rPr>
          <w:rFonts w:hint="eastAsia" w:ascii="仿宋" w:hAnsi="仿宋" w:eastAsia="仿宋" w:cs="仿宋"/>
          <w:color w:val="000000"/>
          <w:kern w:val="0"/>
          <w:szCs w:val="32"/>
          <w:lang w:bidi="ar"/>
        </w:rPr>
        <w:t>22,556.71万元，调整后预算为22,656.81万元。调整幅度较大，主要原因是</w:t>
      </w:r>
      <w:r>
        <w:rPr>
          <w:rFonts w:hint="eastAsia" w:ascii="仿宋" w:hAnsi="仿宋" w:eastAsia="仿宋" w:cs="仿宋"/>
          <w:color w:val="000000"/>
          <w:highlight w:val="white"/>
        </w:rPr>
        <w:t>区级决定招商引资项目扶持资金由</w:t>
      </w:r>
      <w:r>
        <w:rPr>
          <w:rFonts w:hint="eastAsia" w:ascii="仿宋" w:hAnsi="仿宋" w:eastAsia="仿宋" w:cs="仿宋"/>
        </w:rPr>
        <w:t>高新区企服中心负责拨付</w:t>
      </w:r>
      <w:r>
        <w:rPr>
          <w:rFonts w:hint="eastAsia" w:ascii="仿宋" w:hAnsi="仿宋" w:eastAsia="仿宋" w:cs="仿宋"/>
          <w:color w:val="000000"/>
          <w:kern w:val="0"/>
          <w:szCs w:val="32"/>
          <w:shd w:val="clear" w:color="auto" w:fill="FFFFFF"/>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3）支付进度率</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本项考核</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本年度实际支付进度与年度序时支付进度比率，用以评价该部门预算执行的及时性和均衡性程度及对本年度结转结余资金的实际控制程度。</w:t>
      </w:r>
      <w:r>
        <w:rPr>
          <w:rFonts w:hint="eastAsia" w:ascii="仿宋" w:hAnsi="仿宋" w:eastAsia="仿宋" w:cs="仿宋"/>
          <w:color w:val="000000"/>
        </w:rPr>
        <w:t>经查看2023年6月、9月和1</w:t>
      </w:r>
      <w:r>
        <w:rPr>
          <w:rFonts w:hint="eastAsia" w:ascii="仿宋" w:hAnsi="仿宋" w:cs="仿宋"/>
          <w:color w:val="000000"/>
          <w:lang w:val="en-US" w:eastAsia="zh-CN"/>
        </w:rPr>
        <w:t>2</w:t>
      </w:r>
      <w:r>
        <w:rPr>
          <w:rFonts w:hint="eastAsia" w:ascii="仿宋" w:hAnsi="仿宋" w:eastAsia="仿宋" w:cs="仿宋"/>
          <w:color w:val="000000"/>
        </w:rPr>
        <w:t>月的账目和资金支付情况，支付率分别为</w:t>
      </w:r>
      <w:r>
        <w:rPr>
          <w:rFonts w:hint="eastAsia" w:ascii="仿宋" w:hAnsi="仿宋" w:eastAsia="仿宋" w:cs="仿宋"/>
          <w:color w:val="000000"/>
          <w:kern w:val="0"/>
          <w:szCs w:val="32"/>
          <w:lang w:bidi="ar"/>
        </w:rPr>
        <w:t>92.57%</w:t>
      </w:r>
      <w:r>
        <w:rPr>
          <w:rFonts w:hint="eastAsia" w:ascii="仿宋" w:hAnsi="仿宋" w:eastAsia="仿宋" w:cs="仿宋"/>
          <w:color w:val="000000"/>
          <w:kern w:val="0"/>
          <w:szCs w:val="32"/>
          <w:lang w:eastAsia="zh-CN" w:bidi="ar"/>
        </w:rPr>
        <w:t>、</w:t>
      </w:r>
      <w:r>
        <w:rPr>
          <w:rFonts w:hint="eastAsia" w:ascii="仿宋" w:hAnsi="仿宋" w:eastAsia="仿宋" w:cs="仿宋"/>
          <w:color w:val="000000"/>
          <w:kern w:val="0"/>
          <w:szCs w:val="32"/>
          <w:lang w:bidi="ar"/>
        </w:rPr>
        <w:t>95.51%</w:t>
      </w:r>
      <w:r>
        <w:rPr>
          <w:rFonts w:hint="eastAsia" w:ascii="仿宋" w:hAnsi="仿宋" w:eastAsia="仿宋" w:cs="仿宋"/>
          <w:color w:val="000000"/>
          <w:kern w:val="0"/>
          <w:szCs w:val="32"/>
          <w:lang w:val="en-US" w:eastAsia="zh-CN" w:bidi="ar"/>
        </w:rPr>
        <w:t>和</w:t>
      </w:r>
      <w:r>
        <w:rPr>
          <w:rFonts w:hint="eastAsia" w:ascii="仿宋" w:hAnsi="仿宋" w:eastAsia="仿宋" w:cs="仿宋"/>
          <w:color w:val="000000"/>
          <w:kern w:val="0"/>
          <w:szCs w:val="32"/>
          <w:lang w:bidi="ar"/>
        </w:rPr>
        <w:t>100.00%。</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rPr>
        <w:t>总体而言，全年支付进度执行较好。</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4）公用经费控制率</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lang w:eastAsia="zh-CN"/>
        </w:rPr>
      </w:pPr>
      <w:r>
        <w:rPr>
          <w:rFonts w:hint="eastAsia" w:ascii="仿宋" w:hAnsi="仿宋" w:eastAsia="仿宋" w:cs="仿宋"/>
          <w:color w:val="000000"/>
          <w:kern w:val="0"/>
          <w:szCs w:val="32"/>
          <w:lang w:bidi="ar"/>
        </w:rPr>
        <w:t>公用经费控制率考核实际支出的公用经费总额与预算安排的公用经费总额的比率，反映和考核部门（单位）对机构运转成本的实际控制程度。根据2023年</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2023年度财务账目，2023年度中心公用经费支出为13.53万元，本年预算调整后公用经费为13.53万元，公用经费控制率100.00%</w:t>
      </w:r>
      <w:r>
        <w:rPr>
          <w:rFonts w:hint="eastAsia" w:ascii="仿宋" w:hAnsi="仿宋" w:eastAsia="仿宋" w:cs="仿宋"/>
          <w:color w:val="000000"/>
          <w:kern w:val="0"/>
          <w:szCs w:val="32"/>
          <w:lang w:eastAsia="zh-CN" w:bidi="ar"/>
        </w:rPr>
        <w:t>，</w:t>
      </w:r>
      <w:r>
        <w:rPr>
          <w:rFonts w:hint="eastAsia" w:ascii="仿宋" w:hAnsi="仿宋" w:eastAsia="仿宋" w:cs="仿宋"/>
        </w:rPr>
        <w:t>实际使用未超出预算安排的公用经费额度</w:t>
      </w:r>
      <w:r>
        <w:rPr>
          <w:rFonts w:hint="eastAsia" w:ascii="仿宋" w:hAnsi="仿宋" w:cs="仿宋"/>
          <w:lang w:eastAsia="zh-CN"/>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5）三公经费控制率</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三公经费控制率考核年度“三公经费”实际支出数与预算安排数的比率，用以评价该部门“三公经费”的实际控制程度。2023年度</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三公经费年初预算数为0.24万元，其中公务接待费用为0.24万元。后经预算调整为0.00万元</w:t>
      </w:r>
      <w:r>
        <w:rPr>
          <w:rFonts w:hint="eastAsia" w:ascii="仿宋" w:hAnsi="仿宋" w:eastAsia="仿宋" w:cs="仿宋"/>
          <w:color w:val="000000"/>
          <w:kern w:val="0"/>
          <w:szCs w:val="32"/>
          <w:lang w:eastAsia="zh-CN" w:bidi="ar"/>
        </w:rPr>
        <w:t>，</w:t>
      </w:r>
      <w:r>
        <w:rPr>
          <w:rFonts w:hint="eastAsia" w:ascii="仿宋" w:hAnsi="仿宋" w:eastAsia="仿宋" w:cs="仿宋"/>
          <w:color w:val="000000"/>
          <w:kern w:val="0"/>
          <w:szCs w:val="32"/>
          <w:lang w:bidi="ar"/>
        </w:rPr>
        <w:t>故本年未发生三公经费支出。</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6）政府采购执行率</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szCs w:val="32"/>
        </w:rPr>
        <w:t>根据2023年度高新区企服中心批复预算情况，</w:t>
      </w:r>
      <w:r>
        <w:rPr>
          <w:rFonts w:hint="eastAsia" w:ascii="仿宋" w:hAnsi="仿宋" w:eastAsia="仿宋" w:cs="仿宋"/>
          <w:color w:val="000000"/>
          <w:szCs w:val="32"/>
        </w:rPr>
        <w:t>2023年度不涉及政府采购预算。</w:t>
      </w:r>
    </w:p>
    <w:p>
      <w:pPr>
        <w:pStyle w:val="5"/>
        <w:bidi w:val="0"/>
        <w:rPr>
          <w:rFonts w:hint="eastAsia"/>
        </w:rPr>
      </w:pPr>
      <w:r>
        <w:rPr>
          <w:rFonts w:hint="eastAsia"/>
        </w:rPr>
        <w:t>（2）预算管理</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1）管理制度健全性和执行性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为规范各个业务环节的管理，</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制定了《遂宁高新区企业发展服务中心财务内部控制制度》《遂宁高新区企业发展服务中心“三重一大”事项决策制度》等正式成文制度。其他管理方面参照《机关财务管理制度（试行）》《遂宁高新区财政性资金使用管理暂行办法（试行）》</w:t>
      </w:r>
      <w:r>
        <w:rPr>
          <w:rFonts w:hint="eastAsia" w:ascii="仿宋" w:hAnsi="仿宋" w:eastAsia="仿宋" w:cs="仿宋"/>
          <w:color w:val="000000"/>
          <w:szCs w:val="32"/>
        </w:rPr>
        <w:t>《遂宁高新区企业发展服务中心工作人员考核管理办法（暂行）》</w:t>
      </w:r>
      <w:r>
        <w:rPr>
          <w:rFonts w:hint="eastAsia" w:ascii="仿宋" w:hAnsi="仿宋" w:eastAsia="仿宋" w:cs="仿宋"/>
          <w:color w:val="000000"/>
          <w:kern w:val="0"/>
          <w:szCs w:val="32"/>
          <w:lang w:bidi="ar"/>
        </w:rPr>
        <w:t>等制度执行。</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2）资金使用合规性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经查看</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预算资金支出账目和资金支出资料，支出基本符合部门预算批复的用途，符合国家财经法规和财务管理制度规定以及有关专项资金管理办法的规定，能够严格执行国库集中支付。</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3）预决算信息公开性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此次绩效评价，我们查看了遂宁市高新区企业发展服务中心信息网站</w:t>
      </w:r>
      <w:r>
        <w:rPr>
          <w:rFonts w:hint="eastAsia" w:ascii="仿宋" w:hAnsi="仿宋" w:cs="仿宋"/>
          <w:color w:val="000000"/>
          <w:kern w:val="0"/>
          <w:szCs w:val="32"/>
          <w:lang w:eastAsia="zh-CN" w:bidi="ar"/>
        </w:rPr>
        <w:t>。</w:t>
      </w:r>
      <w:r>
        <w:rPr>
          <w:rFonts w:hint="eastAsia" w:ascii="仿宋" w:hAnsi="仿宋" w:eastAsia="仿宋" w:cs="仿宋"/>
          <w:color w:val="000000"/>
          <w:kern w:val="0"/>
          <w:szCs w:val="32"/>
          <w:lang w:bidi="ar"/>
        </w:rPr>
        <w:t>（网站为四川省遂宁市人民政府网站，</w:t>
      </w:r>
      <w:r>
        <w:rPr>
          <w:rFonts w:hint="eastAsia" w:ascii="仿宋" w:hAnsi="仿宋" w:eastAsia="仿宋" w:cs="仿宋"/>
          <w:kern w:val="0"/>
          <w:szCs w:val="32"/>
          <w:lang w:bidi="ar"/>
        </w:rPr>
        <w:t>网络地址</w:t>
      </w:r>
      <w:r>
        <w:rPr>
          <w:rFonts w:hint="eastAsia" w:ascii="仿宋" w:hAnsi="仿宋" w:eastAsia="仿宋" w:cs="仿宋"/>
          <w:color w:val="000000"/>
          <w:kern w:val="0"/>
          <w:szCs w:val="32"/>
          <w:lang w:bidi="ar"/>
        </w:rPr>
        <w:t>为</w:t>
      </w:r>
      <w:r>
        <w:rPr>
          <w:rFonts w:hint="eastAsia" w:ascii="仿宋" w:hAnsi="仿宋" w:eastAsia="仿宋" w:cs="仿宋"/>
          <w:color w:val="000000"/>
          <w:kern w:val="0"/>
          <w:szCs w:val="32"/>
          <w:lang w:bidi="ar"/>
        </w:rPr>
        <w:fldChar w:fldCharType="begin"/>
      </w:r>
      <w:r>
        <w:rPr>
          <w:rFonts w:hint="eastAsia" w:ascii="仿宋" w:hAnsi="仿宋" w:eastAsia="仿宋" w:cs="仿宋"/>
          <w:color w:val="000000"/>
          <w:kern w:val="0"/>
          <w:szCs w:val="32"/>
          <w:lang w:bidi="ar"/>
        </w:rPr>
        <w:instrText xml:space="preserve"> HYPERLINK "https://www.suining.gov.cn/welcome" </w:instrText>
      </w:r>
      <w:r>
        <w:rPr>
          <w:rFonts w:hint="eastAsia" w:ascii="仿宋" w:hAnsi="仿宋" w:eastAsia="仿宋" w:cs="仿宋"/>
          <w:color w:val="000000"/>
          <w:kern w:val="0"/>
          <w:szCs w:val="32"/>
          <w:lang w:bidi="ar"/>
        </w:rPr>
        <w:fldChar w:fldCharType="separate"/>
      </w:r>
      <w:r>
        <w:rPr>
          <w:rFonts w:hint="eastAsia" w:ascii="仿宋" w:hAnsi="仿宋" w:cs="仿宋"/>
          <w:color w:val="000000"/>
          <w:kern w:val="0"/>
          <w:szCs w:val="32"/>
          <w:lang w:eastAsia="zh-CN" w:bidi="ar"/>
        </w:rPr>
        <w:t>：</w:t>
      </w:r>
      <w:r>
        <w:rPr>
          <w:rStyle w:val="22"/>
          <w:rFonts w:hint="eastAsia" w:ascii="仿宋" w:hAnsi="仿宋" w:eastAsia="仿宋" w:cs="仿宋"/>
          <w:kern w:val="0"/>
          <w:szCs w:val="32"/>
          <w:lang w:bidi="ar"/>
        </w:rPr>
        <w:t>https://www.suining.gov.cn/welcome</w:t>
      </w:r>
      <w:r>
        <w:rPr>
          <w:rFonts w:hint="eastAsia" w:ascii="仿宋" w:hAnsi="仿宋" w:eastAsia="仿宋" w:cs="仿宋"/>
          <w:color w:val="000000"/>
          <w:kern w:val="0"/>
          <w:szCs w:val="32"/>
          <w:lang w:bidi="ar"/>
        </w:rPr>
        <w:fldChar w:fldCharType="end"/>
      </w:r>
      <w:r>
        <w:rPr>
          <w:rFonts w:hint="eastAsia" w:ascii="仿宋" w:hAnsi="仿宋" w:eastAsia="仿宋" w:cs="仿宋"/>
          <w:color w:val="000000"/>
          <w:kern w:val="0"/>
          <w:szCs w:val="32"/>
          <w:lang w:bidi="ar"/>
        </w:rPr>
        <w:t>），在政府信息公开－政府信息公开指南－法定主动公开内容－财政预决算公开-2023年财政预决算公开－市直园区预决算信息公开－遂宁高新区一项中显示，</w:t>
      </w:r>
      <w:r>
        <w:rPr>
          <w:rFonts w:hint="eastAsia" w:ascii="仿宋" w:hAnsi="仿宋" w:eastAsia="仿宋" w:cs="仿宋"/>
          <w:szCs w:val="32"/>
        </w:rPr>
        <w:t>高新区企服中心</w:t>
      </w:r>
      <w:r>
        <w:rPr>
          <w:rFonts w:hint="eastAsia" w:ascii="仿宋" w:hAnsi="仿宋" w:eastAsia="仿宋" w:cs="仿宋"/>
          <w:color w:val="000000"/>
          <w:kern w:val="0"/>
          <w:szCs w:val="32"/>
          <w:lang w:bidi="ar"/>
        </w:rPr>
        <w:t>已公开2023年度部门预算信息，但是未见2023年决算信息公开。</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4）政府购买服务执行情况</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2023年度该中心无政府购买服务，故此无政府购买服务执行情况。</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5）财务信息完善性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本项考核依据《机关财务管理制度（试行）》（遂高办</w:t>
      </w:r>
      <w:r>
        <w:rPr>
          <w:rFonts w:hint="eastAsia" w:ascii="仿宋" w:hAnsi="仿宋" w:eastAsia="仿宋" w:cs="仿宋"/>
          <w:szCs w:val="32"/>
        </w:rPr>
        <w:t>〔</w:t>
      </w:r>
      <w:r>
        <w:rPr>
          <w:rFonts w:hint="eastAsia" w:ascii="仿宋" w:hAnsi="仿宋" w:eastAsia="仿宋" w:cs="仿宋"/>
          <w:color w:val="000000"/>
          <w:kern w:val="0"/>
          <w:szCs w:val="32"/>
          <w:lang w:bidi="ar"/>
        </w:rPr>
        <w:t>2021</w:t>
      </w:r>
      <w:r>
        <w:rPr>
          <w:rFonts w:hint="eastAsia" w:ascii="仿宋" w:hAnsi="仿宋" w:eastAsia="仿宋" w:cs="仿宋"/>
          <w:szCs w:val="32"/>
        </w:rPr>
        <w:t>〕</w:t>
      </w:r>
      <w:r>
        <w:rPr>
          <w:rFonts w:hint="eastAsia" w:ascii="仿宋" w:hAnsi="仿宋" w:eastAsia="仿宋" w:cs="仿宋"/>
          <w:color w:val="000000"/>
          <w:kern w:val="0"/>
          <w:szCs w:val="32"/>
          <w:lang w:bidi="ar"/>
        </w:rPr>
        <w:t>269号）</w:t>
      </w:r>
      <w:r>
        <w:rPr>
          <w:rFonts w:hint="eastAsia" w:ascii="仿宋" w:hAnsi="仿宋" w:cs="仿宋"/>
          <w:color w:val="000000"/>
          <w:kern w:val="0"/>
          <w:szCs w:val="32"/>
          <w:lang w:eastAsia="zh-CN" w:bidi="ar"/>
        </w:rPr>
        <w:t>、</w:t>
      </w:r>
      <w:r>
        <w:rPr>
          <w:rFonts w:hint="eastAsia" w:ascii="仿宋" w:hAnsi="仿宋" w:eastAsia="仿宋" w:cs="仿宋"/>
          <w:szCs w:val="32"/>
        </w:rPr>
        <w:t>《遂宁高新区财政性资金使用管理暂行办法（试行）》（遂高办〔2021〕270号）</w:t>
      </w:r>
      <w:r>
        <w:rPr>
          <w:rFonts w:hint="eastAsia" w:ascii="仿宋" w:hAnsi="仿宋" w:cs="仿宋"/>
          <w:szCs w:val="32"/>
          <w:lang w:eastAsia="zh-CN"/>
        </w:rPr>
        <w:t>、</w:t>
      </w:r>
      <w:r>
        <w:rPr>
          <w:rFonts w:hint="eastAsia" w:ascii="仿宋" w:hAnsi="仿宋" w:eastAsia="仿宋" w:cs="仿宋"/>
          <w:color w:val="000000"/>
          <w:kern w:val="0"/>
          <w:szCs w:val="32"/>
          <w:lang w:bidi="ar"/>
        </w:rPr>
        <w:t>《遂宁市党政机关国内公务接待管理实施办法的通知》（遂委办发</w:t>
      </w:r>
      <w:r>
        <w:rPr>
          <w:rFonts w:hint="eastAsia" w:ascii="仿宋" w:hAnsi="仿宋" w:eastAsia="仿宋" w:cs="仿宋"/>
          <w:szCs w:val="32"/>
        </w:rPr>
        <w:t>〔</w:t>
      </w:r>
      <w:r>
        <w:rPr>
          <w:rFonts w:hint="eastAsia" w:ascii="仿宋" w:hAnsi="仿宋" w:eastAsia="仿宋" w:cs="仿宋"/>
          <w:color w:val="000000"/>
          <w:kern w:val="0"/>
          <w:szCs w:val="32"/>
          <w:lang w:bidi="ar"/>
        </w:rPr>
        <w:t>2014</w:t>
      </w:r>
      <w:r>
        <w:rPr>
          <w:rFonts w:hint="eastAsia" w:ascii="仿宋" w:hAnsi="仿宋" w:eastAsia="仿宋" w:cs="仿宋"/>
          <w:szCs w:val="32"/>
        </w:rPr>
        <w:t>〕</w:t>
      </w:r>
      <w:r>
        <w:rPr>
          <w:rFonts w:hint="eastAsia" w:ascii="仿宋" w:hAnsi="仿宋" w:eastAsia="仿宋" w:cs="仿宋"/>
          <w:color w:val="000000"/>
          <w:kern w:val="0"/>
          <w:szCs w:val="32"/>
          <w:lang w:bidi="ar"/>
        </w:rPr>
        <w:t>18号）等规定，检查会计信息资料是否真实、准确、完整，用以评价该部门财务信息对预算管理工作的反映情况。</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本次评价工作发现存在记账凭证会计信息登记不够真实完善，记账凭证下方信息如会计主管、审核、记账、制单、出纳等未落款具体操作人员，招待费报销无派出单位公函。影响了会计信息质量的真实性，会计登记信息不能如实可靠反映记账实际情况。</w:t>
      </w:r>
    </w:p>
    <w:p>
      <w:pPr>
        <w:pStyle w:val="5"/>
        <w:bidi w:val="0"/>
        <w:rPr>
          <w:rFonts w:hint="eastAsia"/>
        </w:rPr>
      </w:pPr>
      <w:r>
        <w:rPr>
          <w:rFonts w:hint="eastAsia"/>
        </w:rPr>
        <w:t>（3）资产管理</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1）资产管理制度健全性合规性和执行度</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_GB2312" w:cs="仿宋"/>
          <w:szCs w:val="32"/>
          <w:lang w:val="en-US" w:eastAsia="zh-CN"/>
        </w:rPr>
      </w:pPr>
      <w:r>
        <w:rPr>
          <w:rFonts w:hint="eastAsia" w:ascii="仿宋" w:hAnsi="仿宋" w:eastAsia="仿宋" w:cs="仿宋"/>
          <w:szCs w:val="32"/>
        </w:rPr>
        <w:t>高新区企服中心</w:t>
      </w:r>
      <w:r>
        <w:rPr>
          <w:rFonts w:hint="eastAsia" w:ascii="仿宋" w:hAnsi="仿宋" w:eastAsia="仿宋" w:cs="仿宋"/>
          <w:color w:val="000000"/>
          <w:kern w:val="0"/>
          <w:szCs w:val="32"/>
          <w:lang w:bidi="ar"/>
        </w:rPr>
        <w:t>制定</w:t>
      </w:r>
      <w:r>
        <w:rPr>
          <w:rFonts w:hint="eastAsia" w:ascii="仿宋" w:hAnsi="仿宋" w:cs="仿宋"/>
          <w:color w:val="000000"/>
          <w:kern w:val="0"/>
          <w:szCs w:val="32"/>
          <w:lang w:val="en-US" w:eastAsia="zh-CN" w:bidi="ar"/>
        </w:rPr>
        <w:t>了</w:t>
      </w:r>
      <w:r>
        <w:rPr>
          <w:rFonts w:hint="eastAsia" w:ascii="仿宋" w:hAnsi="仿宋" w:eastAsia="仿宋" w:cs="仿宋"/>
          <w:color w:val="000000"/>
          <w:kern w:val="0"/>
          <w:szCs w:val="32"/>
          <w:lang w:bidi="ar"/>
        </w:rPr>
        <w:t>固定资产管理制度，相关管理制度合法、合规、完整，</w:t>
      </w:r>
      <w:r>
        <w:rPr>
          <w:rFonts w:hint="eastAsia" w:ascii="仿宋" w:hAnsi="仿宋" w:cs="仿宋"/>
          <w:color w:val="000000"/>
          <w:kern w:val="0"/>
          <w:szCs w:val="32"/>
          <w:lang w:val="en-US" w:eastAsia="zh-CN" w:bidi="ar"/>
        </w:rPr>
        <w:t>但</w:t>
      </w:r>
      <w:r>
        <w:rPr>
          <w:rFonts w:hint="eastAsia" w:ascii="仿宋" w:hAnsi="仿宋" w:eastAsia="仿宋" w:cs="仿宋"/>
          <w:color w:val="000000"/>
          <w:kern w:val="0"/>
          <w:szCs w:val="32"/>
          <w:lang w:bidi="ar"/>
        </w:rPr>
        <w:t>制度执行</w:t>
      </w:r>
      <w:r>
        <w:rPr>
          <w:rFonts w:hint="eastAsia" w:ascii="仿宋" w:hAnsi="仿宋" w:cs="仿宋"/>
          <w:color w:val="000000"/>
          <w:kern w:val="0"/>
          <w:szCs w:val="32"/>
          <w:lang w:val="en-US" w:eastAsia="zh-CN" w:bidi="ar"/>
        </w:rPr>
        <w:t>不到位，如未</w:t>
      </w:r>
      <w:r>
        <w:rPr>
          <w:rFonts w:hint="default" w:ascii="Times New Roman" w:hAnsi="Times New Roman" w:eastAsia="仿宋_GB2312" w:cs="Times New Roman"/>
          <w:color w:val="000000"/>
          <w:sz w:val="32"/>
          <w:szCs w:val="32"/>
        </w:rPr>
        <w:t>定期或者不定期进行清查盘点</w:t>
      </w:r>
      <w:r>
        <w:rPr>
          <w:rFonts w:hint="eastAsia" w:ascii="Times New Roman" w:hAnsi="Times New Roman" w:eastAsia="仿宋_GB2312" w:cs="Times New Roman"/>
          <w:color w:val="000000"/>
          <w:sz w:val="32"/>
          <w:szCs w:val="32"/>
          <w:lang w:eastAsia="zh-CN"/>
        </w:rPr>
        <w:t>。</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2）资产管理规范性</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本</w:t>
      </w:r>
      <w:r>
        <w:rPr>
          <w:rFonts w:hint="eastAsia" w:ascii="仿宋" w:hAnsi="仿宋" w:cs="仿宋"/>
          <w:color w:val="000000"/>
          <w:kern w:val="0"/>
          <w:szCs w:val="32"/>
          <w:lang w:val="en-US" w:eastAsia="zh-CN" w:bidi="ar"/>
        </w:rPr>
        <w:t>单位</w:t>
      </w:r>
      <w:r>
        <w:rPr>
          <w:rFonts w:hint="eastAsia" w:ascii="仿宋" w:hAnsi="仿宋" w:eastAsia="仿宋" w:cs="仿宋"/>
          <w:color w:val="000000"/>
          <w:kern w:val="0"/>
          <w:szCs w:val="32"/>
          <w:lang w:bidi="ar"/>
        </w:rPr>
        <w:t>评价工作针对的方向有①资产保存完整；②资产配置合理；③资产使用规范；④资产账务管理合规，账实相符。</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szCs w:val="32"/>
        </w:rPr>
        <w:t>高新区企服中心</w:t>
      </w:r>
      <w:r>
        <w:rPr>
          <w:rFonts w:hint="eastAsia" w:ascii="仿宋" w:hAnsi="仿宋" w:eastAsia="仿宋" w:cs="仿宋"/>
          <w:color w:val="000000"/>
          <w:kern w:val="0"/>
          <w:szCs w:val="32"/>
          <w:lang w:bidi="ar"/>
        </w:rPr>
        <w:t>成立于2022年8月，由于组建时间较短，相关资产核查清点工作相对滞后，单位资产能够基本保管完好，配置相对合理。但是也存在着资产管理不到位的情况，如未建资产卡片；正常盘点工作和账实核对工作缺失；未落实资产使用人保管机制。</w:t>
      </w:r>
    </w:p>
    <w:p>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rPr>
      </w:pPr>
      <w:r>
        <w:rPr>
          <w:rFonts w:hint="eastAsia" w:ascii="仿宋" w:hAnsi="仿宋" w:eastAsia="仿宋" w:cs="仿宋"/>
        </w:rPr>
        <w:t>3）固定资产利用率</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szCs w:val="32"/>
        </w:rPr>
        <w:t>2024年6月20日，评价组根据高新区企服中心台账，整理出《固定资产盘点登记表》，在单位相关人员陪同下对高新区企服中心资产使用状况进行盘点，评测单位实际在用固定资产总额与所有固定资产总额的比率，考核固定资产使用的效率程度。经过实际现场盘点资产并查看资产使用状态，未见到闲置状况</w:t>
      </w:r>
      <w:r>
        <w:rPr>
          <w:rFonts w:hint="eastAsia" w:ascii="仿宋" w:hAnsi="仿宋" w:eastAsia="仿宋" w:cs="仿宋"/>
          <w:szCs w:val="32"/>
          <w:lang w:eastAsia="zh-CN"/>
        </w:rPr>
        <w:t>，</w:t>
      </w:r>
      <w:r>
        <w:rPr>
          <w:rFonts w:hint="eastAsia" w:ascii="仿宋" w:hAnsi="仿宋" w:eastAsia="仿宋" w:cs="仿宋"/>
          <w:szCs w:val="32"/>
          <w:lang w:val="en-US" w:eastAsia="zh-CN"/>
        </w:rPr>
        <w:t>资产全部在用。</w:t>
      </w:r>
      <w:r>
        <w:rPr>
          <w:rFonts w:hint="eastAsia" w:ascii="仿宋" w:hAnsi="仿宋" w:eastAsia="仿宋" w:cs="仿宋"/>
          <w:szCs w:val="32"/>
        </w:rPr>
        <w:t>高新区企服中心固定资产利用率100.00%。</w:t>
      </w:r>
    </w:p>
    <w:p>
      <w:pPr>
        <w:pStyle w:val="4"/>
        <w:ind w:firstLine="643"/>
        <w:rPr>
          <w:rFonts w:hint="eastAsia"/>
        </w:rPr>
      </w:pPr>
      <w:bookmarkStart w:id="392" w:name="_Toc2702"/>
      <w:r>
        <w:rPr>
          <w:rFonts w:hint="eastAsia"/>
        </w:rPr>
        <w:t>3.产出指标</w:t>
      </w:r>
      <w:bookmarkEnd w:id="392"/>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结合2023年度</w:t>
      </w:r>
      <w:r>
        <w:rPr>
          <w:rFonts w:hint="eastAsia" w:ascii="仿宋" w:hAnsi="仿宋" w:cs="仿宋"/>
          <w:szCs w:val="32"/>
        </w:rPr>
        <w:t>高新区企服中心</w:t>
      </w:r>
      <w:r>
        <w:rPr>
          <w:rFonts w:hint="eastAsia" w:ascii="仿宋" w:hAnsi="仿宋" w:cs="仿宋"/>
          <w:color w:val="000000"/>
          <w:kern w:val="0"/>
          <w:szCs w:val="32"/>
          <w:lang w:bidi="ar"/>
        </w:rPr>
        <w:t>绩效目标设定情况，此次评价对本部门工作完成情况和目标实现进行评价，2023年度</w:t>
      </w:r>
      <w:r>
        <w:rPr>
          <w:rFonts w:hint="eastAsia" w:ascii="仿宋" w:hAnsi="仿宋" w:cs="仿宋"/>
          <w:szCs w:val="32"/>
        </w:rPr>
        <w:t>高新区企服中心</w:t>
      </w:r>
      <w:r>
        <w:rPr>
          <w:rFonts w:hint="eastAsia" w:ascii="仿宋" w:hAnsi="仿宋" w:cs="仿宋"/>
          <w:color w:val="000000"/>
          <w:kern w:val="0"/>
          <w:szCs w:val="32"/>
          <w:lang w:bidi="ar"/>
        </w:rPr>
        <w:t>在对接招商引资项目业主、新开工招商引资项目建设、固定资产投资入库等工作任务上都完成了对应的数量目标值，在完成率、发放率等反映质量信息的指标上也达到了预设的目标。总体上，</w:t>
      </w:r>
      <w:r>
        <w:rPr>
          <w:rFonts w:hint="eastAsia" w:ascii="仿宋" w:hAnsi="仿宋" w:cs="仿宋"/>
          <w:szCs w:val="32"/>
        </w:rPr>
        <w:t>高新区企服中心</w:t>
      </w:r>
      <w:r>
        <w:rPr>
          <w:rFonts w:hint="eastAsia" w:ascii="仿宋" w:hAnsi="仿宋" w:cs="仿宋"/>
          <w:color w:val="000000"/>
          <w:kern w:val="0"/>
          <w:szCs w:val="32"/>
          <w:lang w:bidi="ar"/>
        </w:rPr>
        <w:t>2023年度圆满地完成了当年工作任务，相关成果数量和质量都是达标的。在工作履职方面，部门工作人员认真负责；在工作领先突出方面，还做不到前列。该指标分值30.00分，得分29.00分，得分率96.67%。评分见下表：</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产出指标设定及评分情况表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9"/>
        <w:gridCol w:w="1290"/>
        <w:gridCol w:w="3110"/>
        <w:gridCol w:w="1560"/>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noWrap w:val="0"/>
            <w:vAlign w:val="center"/>
          </w:tcPr>
          <w:p>
            <w:pPr>
              <w:pStyle w:val="3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一级指标</w:t>
            </w:r>
          </w:p>
        </w:tc>
        <w:tc>
          <w:tcPr>
            <w:tcW w:w="1290" w:type="dxa"/>
            <w:noWrap w:val="0"/>
            <w:vAlign w:val="center"/>
          </w:tcPr>
          <w:p>
            <w:pPr>
              <w:pStyle w:val="3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二级指标</w:t>
            </w:r>
          </w:p>
        </w:tc>
        <w:tc>
          <w:tcPr>
            <w:tcW w:w="3110" w:type="dxa"/>
            <w:noWrap w:val="0"/>
            <w:vAlign w:val="center"/>
          </w:tcPr>
          <w:p>
            <w:pPr>
              <w:pStyle w:val="3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三级指标</w:t>
            </w:r>
          </w:p>
        </w:tc>
        <w:tc>
          <w:tcPr>
            <w:tcW w:w="1560" w:type="dxa"/>
            <w:noWrap w:val="0"/>
            <w:vAlign w:val="center"/>
          </w:tcPr>
          <w:p>
            <w:pPr>
              <w:pStyle w:val="30"/>
              <w:spacing w:line="240" w:lineRule="auto"/>
              <w:ind w:firstLine="482"/>
              <w:jc w:val="both"/>
              <w:rPr>
                <w:rFonts w:hint="eastAsia" w:ascii="宋体" w:hAnsi="宋体" w:eastAsia="宋体" w:cs="宋体"/>
                <w:b/>
                <w:bCs/>
                <w:sz w:val="24"/>
              </w:rPr>
            </w:pPr>
            <w:r>
              <w:rPr>
                <w:rFonts w:hint="eastAsia" w:ascii="宋体" w:hAnsi="宋体" w:eastAsia="宋体" w:cs="宋体"/>
                <w:b/>
                <w:bCs/>
                <w:sz w:val="24"/>
              </w:rPr>
              <w:t>分值</w:t>
            </w:r>
          </w:p>
        </w:tc>
        <w:tc>
          <w:tcPr>
            <w:tcW w:w="1284" w:type="dxa"/>
            <w:noWrap w:val="0"/>
            <w:vAlign w:val="center"/>
          </w:tcPr>
          <w:p>
            <w:pPr>
              <w:pStyle w:val="3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restart"/>
            <w:noWrap w:val="0"/>
            <w:vAlign w:val="center"/>
          </w:tcPr>
          <w:p>
            <w:pPr>
              <w:pStyle w:val="30"/>
              <w:spacing w:line="240" w:lineRule="auto"/>
              <w:ind w:firstLine="480"/>
              <w:jc w:val="center"/>
              <w:rPr>
                <w:rFonts w:hint="eastAsia" w:ascii="宋体" w:hAnsi="宋体" w:eastAsia="宋体" w:cs="宋体"/>
                <w:sz w:val="24"/>
              </w:rPr>
            </w:pPr>
          </w:p>
          <w:p>
            <w:pPr>
              <w:pStyle w:val="30"/>
              <w:spacing w:line="240" w:lineRule="auto"/>
              <w:ind w:firstLine="480"/>
              <w:jc w:val="center"/>
              <w:rPr>
                <w:rFonts w:hint="eastAsia" w:ascii="宋体" w:hAnsi="宋体" w:eastAsia="宋体" w:cs="宋体"/>
                <w:sz w:val="24"/>
              </w:rPr>
            </w:pPr>
          </w:p>
          <w:p>
            <w:pPr>
              <w:pStyle w:val="30"/>
              <w:spacing w:line="240" w:lineRule="auto"/>
              <w:ind w:firstLine="480"/>
              <w:jc w:val="center"/>
              <w:rPr>
                <w:rFonts w:hint="eastAsia" w:ascii="宋体" w:hAnsi="宋体" w:eastAsia="宋体" w:cs="宋体"/>
                <w:sz w:val="24"/>
              </w:rPr>
            </w:pPr>
          </w:p>
          <w:p>
            <w:pPr>
              <w:pStyle w:val="30"/>
              <w:spacing w:line="240" w:lineRule="auto"/>
              <w:ind w:firstLine="480"/>
              <w:jc w:val="both"/>
              <w:rPr>
                <w:rFonts w:hint="eastAsia" w:ascii="宋体" w:hAnsi="宋体" w:eastAsia="宋体" w:cs="宋体"/>
                <w:sz w:val="24"/>
              </w:rPr>
            </w:pPr>
          </w:p>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产出指标</w:t>
            </w:r>
          </w:p>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（30分）</w:t>
            </w:r>
          </w:p>
        </w:tc>
        <w:tc>
          <w:tcPr>
            <w:tcW w:w="1290" w:type="dxa"/>
            <w:vMerge w:val="restart"/>
            <w:noWrap w:val="0"/>
            <w:vAlign w:val="center"/>
          </w:tcPr>
          <w:p>
            <w:pPr>
              <w:pStyle w:val="30"/>
              <w:spacing w:line="240" w:lineRule="auto"/>
              <w:ind w:firstLine="480"/>
              <w:jc w:val="center"/>
              <w:rPr>
                <w:rFonts w:hint="eastAsia" w:ascii="宋体" w:hAnsi="宋体" w:eastAsia="宋体" w:cs="宋体"/>
                <w:sz w:val="24"/>
              </w:rPr>
            </w:pPr>
          </w:p>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产出数量</w:t>
            </w:r>
          </w:p>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（10分）</w:t>
            </w: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招商引资</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2.00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投资产值</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2.00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党性教育</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2.00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扶持基金</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2.00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办公场地</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2.00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restart"/>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产出质量（10分）</w:t>
            </w: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固定资产投资入库额完成率</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5.00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中心正常推进率</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5.00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restart"/>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职责履行</w:t>
            </w:r>
          </w:p>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（10分）</w:t>
            </w: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工作发展</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5.00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79"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1290" w:type="dxa"/>
            <w:vMerge w:val="continue"/>
            <w:noWrap w:val="0"/>
            <w:vAlign w:val="center"/>
          </w:tcPr>
          <w:p>
            <w:pPr>
              <w:pStyle w:val="30"/>
              <w:spacing w:line="240" w:lineRule="auto"/>
              <w:ind w:firstLine="480"/>
              <w:jc w:val="center"/>
              <w:rPr>
                <w:rFonts w:hint="eastAsia" w:ascii="宋体" w:hAnsi="宋体" w:eastAsia="宋体" w:cs="宋体"/>
                <w:sz w:val="24"/>
              </w:rPr>
            </w:pPr>
          </w:p>
        </w:tc>
        <w:tc>
          <w:tcPr>
            <w:tcW w:w="3110"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重点工作办理情况</w:t>
            </w:r>
          </w:p>
        </w:tc>
        <w:tc>
          <w:tcPr>
            <w:tcW w:w="1560" w:type="dxa"/>
            <w:noWrap w:val="0"/>
            <w:vAlign w:val="center"/>
          </w:tcPr>
          <w:p>
            <w:pPr>
              <w:pStyle w:val="30"/>
              <w:spacing w:line="240" w:lineRule="auto"/>
              <w:ind w:firstLine="480"/>
              <w:jc w:val="both"/>
              <w:rPr>
                <w:rFonts w:hint="eastAsia" w:ascii="宋体" w:hAnsi="宋体" w:eastAsia="宋体" w:cs="宋体"/>
                <w:sz w:val="24"/>
              </w:rPr>
            </w:pPr>
            <w:r>
              <w:rPr>
                <w:rFonts w:hint="eastAsia" w:ascii="宋体" w:hAnsi="宋体" w:eastAsia="宋体" w:cs="宋体"/>
                <w:sz w:val="24"/>
              </w:rPr>
              <w:t>5.00</w:t>
            </w:r>
          </w:p>
        </w:tc>
        <w:tc>
          <w:tcPr>
            <w:tcW w:w="1284" w:type="dxa"/>
            <w:noWrap w:val="0"/>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5679" w:type="dxa"/>
            <w:gridSpan w:val="3"/>
            <w:noWrap w:val="0"/>
            <w:vAlign w:val="center"/>
          </w:tcPr>
          <w:p>
            <w:pPr>
              <w:pStyle w:val="30"/>
              <w:spacing w:line="240" w:lineRule="auto"/>
              <w:ind w:firstLine="482"/>
              <w:jc w:val="center"/>
              <w:rPr>
                <w:rFonts w:hint="eastAsia" w:ascii="宋体" w:hAnsi="宋体" w:eastAsia="宋体" w:cs="宋体"/>
                <w:b/>
                <w:bCs/>
                <w:sz w:val="24"/>
              </w:rPr>
            </w:pPr>
            <w:r>
              <w:rPr>
                <w:rFonts w:hint="eastAsia" w:ascii="宋体" w:hAnsi="宋体" w:eastAsia="宋体" w:cs="宋体"/>
                <w:b/>
                <w:bCs/>
                <w:sz w:val="24"/>
              </w:rPr>
              <w:t>本项分数合计</w:t>
            </w:r>
          </w:p>
        </w:tc>
        <w:tc>
          <w:tcPr>
            <w:tcW w:w="1560" w:type="dxa"/>
            <w:noWrap w:val="0"/>
            <w:vAlign w:val="center"/>
          </w:tcPr>
          <w:p>
            <w:pPr>
              <w:pStyle w:val="3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30.00</w:t>
            </w:r>
          </w:p>
        </w:tc>
        <w:tc>
          <w:tcPr>
            <w:tcW w:w="1284" w:type="dxa"/>
            <w:noWrap w:val="0"/>
            <w:vAlign w:val="center"/>
          </w:tcPr>
          <w:p>
            <w:pPr>
              <w:pStyle w:val="3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29.00</w:t>
            </w:r>
          </w:p>
        </w:tc>
      </w:tr>
    </w:tbl>
    <w:p>
      <w:pPr>
        <w:pStyle w:val="5"/>
        <w:bidi w:val="0"/>
        <w:rPr>
          <w:rFonts w:hint="eastAsia"/>
        </w:rPr>
      </w:pPr>
      <w:r>
        <w:rPr>
          <w:rFonts w:hint="eastAsia"/>
        </w:rPr>
        <w:t>（1）产出数量</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1）招商引资</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eastAsia="仿宋" w:cs="仿宋"/>
          <w:szCs w:val="32"/>
        </w:rPr>
      </w:pPr>
      <w:r>
        <w:rPr>
          <w:rFonts w:hint="eastAsia" w:ascii="仿宋" w:hAnsi="仿宋" w:eastAsia="仿宋" w:cs="仿宋"/>
          <w:kern w:val="0"/>
          <w:szCs w:val="32"/>
          <w:lang w:bidi="ar"/>
        </w:rPr>
        <w:t>根据</w:t>
      </w:r>
      <w:r>
        <w:rPr>
          <w:rFonts w:hint="eastAsia" w:ascii="仿宋" w:hAnsi="仿宋" w:eastAsia="仿宋" w:cs="仿宋"/>
          <w:szCs w:val="32"/>
        </w:rPr>
        <w:t>高新区企服中心</w:t>
      </w:r>
      <w:r>
        <w:rPr>
          <w:rFonts w:hint="eastAsia" w:ascii="仿宋" w:hAnsi="仿宋" w:eastAsia="仿宋" w:cs="仿宋"/>
          <w:kern w:val="0"/>
          <w:szCs w:val="32"/>
          <w:lang w:bidi="ar"/>
        </w:rPr>
        <w:t>本年工作计划，</w:t>
      </w:r>
      <w:r>
        <w:rPr>
          <w:rFonts w:hint="eastAsia" w:ascii="仿宋" w:hAnsi="仿宋" w:eastAsia="仿宋" w:cs="仿宋"/>
          <w:szCs w:val="32"/>
        </w:rPr>
        <w:t>在党工委、管委会的坚强领导下，中心紧紧围绕遂宁高新区“全力拼经济、合力搞建设”重点工作部署，高质量、高标准、高水平提升“亲企服务、助企发展”项目服务品牌，精细常规服务、做优特色亮点，以推动发展为根基，以优质服务为保障，不断增强企业投资信心，加快招商引资项目投产达效。2023年实现园区在建招商引资项目30个，新开工项目13个，复工项目3个，本年度竣工投产项目13个。</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2）投资产值</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sz w:val="32"/>
          <w:szCs w:val="32"/>
        </w:rPr>
      </w:pPr>
      <w:r>
        <w:rPr>
          <w:rFonts w:hint="eastAsia" w:ascii="仿宋" w:hAnsi="仿宋" w:eastAsia="仿宋" w:cs="仿宋"/>
          <w:sz w:val="32"/>
          <w:szCs w:val="32"/>
        </w:rPr>
        <w:t>2023年，高新区企服中心固定资产投资入库目标任务为48.00亿元。截至2023年底已完成入库54.70亿元，在建项目建筑产值达10余亿元。</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3）党性教育</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sz w:val="32"/>
          <w:szCs w:val="32"/>
        </w:rPr>
      </w:pPr>
      <w:r>
        <w:rPr>
          <w:rFonts w:hint="eastAsia" w:ascii="仿宋" w:hAnsi="仿宋" w:eastAsia="仿宋" w:cs="仿宋"/>
          <w:sz w:val="32"/>
          <w:szCs w:val="32"/>
        </w:rPr>
        <w:t>高新区企服中心党支部牢固树立抓党建就是抓发展的理念，强化党建引领，加强党性教育，夯实基层堡垒，凝聚共识汇聚合力。党支部全年召开党员大会16次，开展主题党日活动6次、党支部书记讲党课2次。开展班子领学，传达研读学习党的二十大精神及省市区重点工作安排部署20次，通过政治引领不断提升干部素养。</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sz w:val="32"/>
          <w:szCs w:val="32"/>
        </w:rPr>
      </w:pPr>
      <w:r>
        <w:rPr>
          <w:rFonts w:hint="eastAsia" w:ascii="仿宋" w:hAnsi="仿宋" w:eastAsia="仿宋" w:cs="仿宋"/>
          <w:sz w:val="32"/>
          <w:szCs w:val="32"/>
        </w:rPr>
        <w:t>党支部更是牢牢把握主题教育目标要求，通过组织集中研学、抓好党员自学，深入学习习近平总书记系列重要讲话和指示批示精神，紧紧围绕“学思想、强党性、重实践、建新功”的总要求，结合“四下基层”深入一线调查研究，夯实群众基础。大力推广</w:t>
      </w:r>
      <w:r>
        <w:rPr>
          <w:rFonts w:hint="eastAsia" w:ascii="仿宋" w:hAnsi="仿宋" w:eastAsia="仿宋" w:cs="仿宋"/>
          <w:sz w:val="32"/>
          <w:szCs w:val="32"/>
          <w:lang w:bidi="ar"/>
        </w:rPr>
        <w:t>“支部建在项目上，党旗飘在工地上”特色做法，在华创项目工地组建临时党支部，与项目服务专班深度对接，以组织嵌入形式有力推动组织生活和项目建设双提质。</w:t>
      </w:r>
      <w:r>
        <w:rPr>
          <w:rFonts w:hint="eastAsia" w:ascii="仿宋" w:hAnsi="仿宋" w:eastAsia="仿宋" w:cs="仿宋"/>
          <w:sz w:val="32"/>
          <w:szCs w:val="32"/>
        </w:rPr>
        <w:t>扎实推进支部党员社区“双报到”、乡村振兴结对帮扶、国卫复审等重点工作。</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4）扶持基金</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sz w:val="32"/>
          <w:szCs w:val="32"/>
        </w:rPr>
      </w:pPr>
      <w:r>
        <w:rPr>
          <w:rFonts w:hint="eastAsia" w:ascii="仿宋" w:hAnsi="仿宋" w:eastAsia="仿宋" w:cs="仿宋"/>
          <w:sz w:val="32"/>
          <w:szCs w:val="32"/>
        </w:rPr>
        <w:t>高新区企服中心全年共计收到园区企业扶持资金申请26件。接到企业诉求后，中心精心组织研判。对照《投资协议》逐一梳理履约条款，会同相关部门多次深入项目建设现场实地查验建设进度，召开资金拨付建议会议10次，提请园区分管领导组织资金拨付专题会10次，提请通过党政办公会审议8次，梳理应兑现产业扶持资金约37</w:t>
      </w:r>
      <w:r>
        <w:rPr>
          <w:rFonts w:hint="eastAsia" w:ascii="仿宋" w:hAnsi="仿宋" w:eastAsia="仿宋" w:cs="仿宋"/>
          <w:color w:val="000000"/>
          <w:kern w:val="0"/>
          <w:sz w:val="32"/>
          <w:szCs w:val="32"/>
        </w:rPr>
        <w:t>,</w:t>
      </w:r>
      <w:r>
        <w:rPr>
          <w:rFonts w:hint="eastAsia" w:ascii="仿宋" w:hAnsi="仿宋" w:eastAsia="仿宋" w:cs="仿宋"/>
          <w:sz w:val="32"/>
          <w:szCs w:val="32"/>
        </w:rPr>
        <w:t>637.00万元（其中返还履约保证金1</w:t>
      </w:r>
      <w:r>
        <w:rPr>
          <w:rFonts w:hint="eastAsia" w:ascii="仿宋" w:hAnsi="仿宋" w:eastAsia="仿宋" w:cs="仿宋"/>
          <w:color w:val="000000"/>
          <w:kern w:val="0"/>
          <w:sz w:val="32"/>
          <w:szCs w:val="32"/>
        </w:rPr>
        <w:t>,</w:t>
      </w:r>
      <w:r>
        <w:rPr>
          <w:rFonts w:hint="eastAsia" w:ascii="仿宋" w:hAnsi="仿宋" w:eastAsia="仿宋" w:cs="仿宋"/>
          <w:sz w:val="32"/>
          <w:szCs w:val="32"/>
        </w:rPr>
        <w:t>155.00万元）。全年累计拨付产业扶持资金约40</w:t>
      </w:r>
      <w:r>
        <w:rPr>
          <w:rFonts w:hint="eastAsia" w:ascii="仿宋" w:hAnsi="仿宋" w:eastAsia="仿宋" w:cs="仿宋"/>
          <w:color w:val="000000"/>
          <w:kern w:val="0"/>
          <w:sz w:val="32"/>
          <w:szCs w:val="32"/>
        </w:rPr>
        <w:t>,</w:t>
      </w:r>
      <w:r>
        <w:rPr>
          <w:rFonts w:hint="eastAsia" w:ascii="仿宋" w:hAnsi="仿宋" w:eastAsia="仿宋" w:cs="仿宋"/>
          <w:sz w:val="32"/>
          <w:szCs w:val="32"/>
        </w:rPr>
        <w:t>990.00万元（含2023年以前已审批通过暂未拨付的扶持资金）。</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5）办公场地</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sz w:val="32"/>
          <w:szCs w:val="32"/>
        </w:rPr>
      </w:pPr>
      <w:r>
        <w:rPr>
          <w:rFonts w:hint="eastAsia" w:ascii="仿宋" w:hAnsi="仿宋" w:eastAsia="仿宋" w:cs="仿宋"/>
          <w:sz w:val="32"/>
          <w:szCs w:val="32"/>
        </w:rPr>
        <w:t>高新区企服中心财务于2023年1月1日单独建立，成立初期无办公场地。为保障园区入驻企业服务工作，协助企业办理项目落地，项目建设，以及为企业运营提供相关服务工作，需租用办公场地。经党政办协调，高新区企服中心暂借用党群工作部统战基地（威斯腾铁路物流园B3-3（1）区2层）部分区域办公。</w:t>
      </w:r>
    </w:p>
    <w:p>
      <w:pPr>
        <w:pStyle w:val="5"/>
        <w:bidi w:val="0"/>
        <w:rPr>
          <w:rFonts w:hint="eastAsia"/>
        </w:rPr>
      </w:pPr>
      <w:r>
        <w:rPr>
          <w:rFonts w:hint="eastAsia"/>
        </w:rPr>
        <w:t>（2）产出质量</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1）固定资产投资入库额完成率</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sz w:val="32"/>
          <w:szCs w:val="32"/>
        </w:rPr>
      </w:pPr>
      <w:r>
        <w:rPr>
          <w:rFonts w:hint="eastAsia" w:ascii="仿宋" w:hAnsi="仿宋" w:eastAsia="仿宋" w:cs="仿宋"/>
          <w:sz w:val="32"/>
          <w:szCs w:val="32"/>
        </w:rPr>
        <w:t>2023年，高新区企服中心固定资产投资入库目标任务为48.00亿元，截至目前已完成入库54.70亿元，任务完成率达114.00%，超目标完成任务。</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2）中心正常推进率</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szCs w:val="32"/>
        </w:rPr>
      </w:pPr>
      <w:r>
        <w:rPr>
          <w:rFonts w:hint="eastAsia" w:ascii="仿宋" w:hAnsi="仿宋" w:eastAsia="仿宋" w:cs="仿宋"/>
          <w:szCs w:val="32"/>
        </w:rPr>
        <w:t>2023年度高新区企服中心逐步优化制度建设。一是内部管理制度进一步完善。印发了《遂宁高新区企业发展服务中心工作人员考核管理办法（暂行）》，确保各项重点工作的顺利推进，党政办全年下达目督任务89条，中心正常推进率达到95.00%，获得加分16.45分。二是履约监管机制进一步完善。针对正常履约的项目，及时兑现产业扶持资金。针对履约滞后的项目，进行约谈或发放督促函，适时督促跟进项目建设进度和履约力度；针对履约不力或不能履约的项目，提前进行研判并暂缓拨付过审的扶持资金或停止兑现相关扶持资金，直至启动退出机制。三是内控制度进一步完善。完善财务制度、制定“三重一大”制度，规范工作流程和请示报告制度，进一步提升中心议事决策的科学性和规范性，增强工作的透明度，加强对决策重大事项的风险防控和监督管理。</w:t>
      </w:r>
    </w:p>
    <w:p>
      <w:pPr>
        <w:pStyle w:val="5"/>
        <w:bidi w:val="0"/>
        <w:rPr>
          <w:rFonts w:hint="eastAsia"/>
        </w:rPr>
      </w:pPr>
      <w:r>
        <w:rPr>
          <w:rFonts w:hint="eastAsia"/>
        </w:rPr>
        <w:t>（3）职责履行</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1）工作发展</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eastAsia="仿宋" w:cs="仿宋"/>
          <w:kern w:val="0"/>
          <w:sz w:val="32"/>
          <w:szCs w:val="32"/>
          <w:lang w:bidi="ar"/>
        </w:rPr>
      </w:pPr>
      <w:r>
        <w:rPr>
          <w:rFonts w:hint="eastAsia" w:ascii="仿宋" w:hAnsi="仿宋" w:eastAsia="仿宋" w:cs="仿宋"/>
          <w:kern w:val="0"/>
          <w:sz w:val="32"/>
          <w:szCs w:val="32"/>
          <w:lang w:bidi="ar"/>
        </w:rPr>
        <w:t>本项考核本部门常规工作在工作能力、工作影响、工作业绩等方面是否积极向前发展。</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szCs w:val="32"/>
        </w:rPr>
      </w:pPr>
      <w:r>
        <w:rPr>
          <w:rFonts w:hint="eastAsia" w:ascii="仿宋" w:hAnsi="仿宋" w:eastAsia="仿宋" w:cs="仿宋"/>
          <w:szCs w:val="32"/>
        </w:rPr>
        <w:t>高新区企服中心在工作中存在一些不足：部分项目的投资主体因受市场大环境、资金等因素制约，出现投资实力削弱、建设进度滞后甚至暂停建设的现象，项目整体推进不理想；受要素保障跟进不及时的影响导致部分项目建设或运营时间滞后，部分项目建成后，因厂区内部规划调整等因素导致竣工验收滞后；部分项目存在招工困难，影响项目的顺利投产运营；受经济下行影响，本级财政资金紧张，难以及时按约兑付产业扶持资金。</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szCs w:val="32"/>
        </w:rPr>
      </w:pPr>
      <w:r>
        <w:rPr>
          <w:rFonts w:hint="eastAsia" w:ascii="仿宋" w:hAnsi="仿宋" w:eastAsia="仿宋" w:cs="仿宋"/>
          <w:szCs w:val="32"/>
        </w:rPr>
        <w:t>对于高新区企服中心在工作过程中存在的不足，中心积极调整思路，优化服务流程，确保各项目稳步推进。首先密切关注市场动态，加强与企业沟通，帮助企业及时调整策略，以适应市场变化。其次积极衔接相关职能部门，开展现场办公，并邀请相关专家现场指导3次，帮助华创项目解决地基处理、秀强玻璃消防整改、规划核实、上达电子员工招聘难等实际问题30余个。为推动企业持续健康发展，及时协助企业解决资金难题，积极对接金融机构，协助中科华联在建设银行融资贷款4.00亿元，目前正在完善流程。</w:t>
      </w:r>
    </w:p>
    <w:p>
      <w:pPr>
        <w:keepNext w:val="0"/>
        <w:keepLines w:val="0"/>
        <w:pageBreakBefore w:val="0"/>
        <w:kinsoku/>
        <w:wordWrap/>
        <w:overflowPunct/>
        <w:topLinePunct w:val="0"/>
        <w:autoSpaceDE/>
        <w:autoSpaceDN/>
        <w:bidi w:val="0"/>
        <w:adjustRightInd/>
        <w:ind w:firstLine="640"/>
        <w:textAlignment w:val="auto"/>
        <w:rPr>
          <w:rFonts w:hint="eastAsia" w:ascii="仿宋" w:hAnsi="仿宋" w:eastAsia="仿宋" w:cs="仿宋"/>
        </w:rPr>
      </w:pPr>
      <w:r>
        <w:rPr>
          <w:rFonts w:hint="eastAsia" w:ascii="仿宋" w:hAnsi="仿宋" w:eastAsia="仿宋" w:cs="仿宋"/>
        </w:rPr>
        <w:t>2）重点工作办理情况</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eastAsia="仿宋" w:cs="仿宋"/>
          <w:szCs w:val="32"/>
        </w:rPr>
      </w:pPr>
      <w:r>
        <w:rPr>
          <w:rFonts w:hint="eastAsia" w:ascii="仿宋" w:hAnsi="仿宋" w:eastAsia="仿宋" w:cs="仿宋"/>
          <w:kern w:val="0"/>
          <w:szCs w:val="32"/>
          <w:lang w:bidi="ar"/>
        </w:rPr>
        <w:t>2023年度</w:t>
      </w:r>
      <w:r>
        <w:rPr>
          <w:rFonts w:hint="eastAsia" w:ascii="仿宋" w:hAnsi="仿宋" w:eastAsia="仿宋" w:cs="仿宋"/>
          <w:szCs w:val="32"/>
        </w:rPr>
        <w:t>高新区企服中心</w:t>
      </w:r>
      <w:r>
        <w:rPr>
          <w:rFonts w:hint="eastAsia" w:ascii="仿宋" w:hAnsi="仿宋" w:eastAsia="仿宋" w:cs="仿宋"/>
          <w:kern w:val="0"/>
          <w:szCs w:val="32"/>
          <w:lang w:bidi="ar"/>
        </w:rPr>
        <w:t>不存在涉及党委、政府、人大、相关部门交办重点工作（重点工作是指党委、政府、人大、相关部门交办或下达的工作任务）。</w:t>
      </w:r>
    </w:p>
    <w:p>
      <w:pPr>
        <w:pStyle w:val="4"/>
        <w:ind w:firstLine="643"/>
        <w:rPr>
          <w:rFonts w:hint="eastAsia"/>
        </w:rPr>
      </w:pPr>
      <w:bookmarkStart w:id="393" w:name="_Toc32588"/>
      <w:r>
        <w:rPr>
          <w:rFonts w:hint="eastAsia"/>
        </w:rPr>
        <w:t>4.效益指标</w:t>
      </w:r>
      <w:bookmarkEnd w:id="393"/>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结合2023年度</w:t>
      </w:r>
      <w:r>
        <w:rPr>
          <w:rFonts w:hint="eastAsia" w:ascii="仿宋" w:hAnsi="仿宋" w:cs="仿宋"/>
          <w:szCs w:val="32"/>
        </w:rPr>
        <w:t>高新区企服中心</w:t>
      </w:r>
      <w:r>
        <w:rPr>
          <w:rFonts w:hint="eastAsia" w:ascii="仿宋" w:hAnsi="仿宋" w:cs="仿宋"/>
          <w:color w:val="000000"/>
          <w:kern w:val="0"/>
          <w:szCs w:val="32"/>
          <w:lang w:bidi="ar"/>
        </w:rPr>
        <w:t>绩效目标设定情况，此次评价对本部门工作完成情况和效益实现进行评价，2023年</w:t>
      </w:r>
      <w:r>
        <w:rPr>
          <w:rFonts w:hint="eastAsia" w:ascii="仿宋" w:hAnsi="仿宋" w:cs="仿宋"/>
          <w:szCs w:val="32"/>
        </w:rPr>
        <w:t>高新区企服中心</w:t>
      </w:r>
      <w:r>
        <w:rPr>
          <w:rFonts w:hint="eastAsia" w:ascii="仿宋" w:hAnsi="仿宋" w:cs="仿宋"/>
          <w:color w:val="000000"/>
          <w:kern w:val="0"/>
          <w:szCs w:val="32"/>
          <w:lang w:bidi="ar"/>
        </w:rPr>
        <w:t>工作计划内所做的工作和实施的政策，增加了就业岗位，提高民众可支配收入水平，潜在的拉动了其他社会性消费增长。综合评价分析，2023年度</w:t>
      </w:r>
      <w:r>
        <w:rPr>
          <w:rFonts w:hint="eastAsia" w:ascii="仿宋" w:hAnsi="仿宋" w:cs="仿宋"/>
          <w:szCs w:val="32"/>
        </w:rPr>
        <w:t>高新区企服中心</w:t>
      </w:r>
      <w:r>
        <w:rPr>
          <w:rFonts w:hint="eastAsia" w:ascii="仿宋" w:hAnsi="仿宋" w:cs="仿宋"/>
          <w:color w:val="000000"/>
          <w:kern w:val="0"/>
          <w:szCs w:val="32"/>
          <w:lang w:bidi="ar"/>
        </w:rPr>
        <w:t>的工作开展和政策施行产生了一定的经济效益，招商引资引进新企业，建设学校等对增进民生福祉、保持社会稳定的具有很好的社会效益。总体满意度较高。该指标分值20.00分，得分1</w:t>
      </w:r>
      <w:r>
        <w:rPr>
          <w:rFonts w:hint="eastAsia" w:ascii="仿宋" w:hAnsi="仿宋" w:cs="仿宋"/>
          <w:color w:val="000000"/>
          <w:kern w:val="0"/>
          <w:szCs w:val="32"/>
          <w:lang w:val="en-US" w:eastAsia="zh-CN" w:bidi="ar"/>
        </w:rPr>
        <w:t>9.50</w:t>
      </w:r>
      <w:r>
        <w:rPr>
          <w:rFonts w:hint="eastAsia" w:ascii="仿宋" w:hAnsi="仿宋" w:cs="仿宋"/>
          <w:color w:val="000000"/>
          <w:kern w:val="0"/>
          <w:szCs w:val="32"/>
          <w:lang w:bidi="ar"/>
        </w:rPr>
        <w:t>分，得分率9</w:t>
      </w:r>
      <w:r>
        <w:rPr>
          <w:rFonts w:hint="eastAsia" w:ascii="仿宋" w:hAnsi="仿宋" w:cs="仿宋"/>
          <w:color w:val="000000"/>
          <w:kern w:val="0"/>
          <w:szCs w:val="32"/>
          <w:lang w:val="en-US" w:eastAsia="zh-CN" w:bidi="ar"/>
        </w:rPr>
        <w:t>7.50</w:t>
      </w:r>
      <w:r>
        <w:rPr>
          <w:rFonts w:hint="eastAsia" w:ascii="仿宋" w:hAnsi="仿宋" w:cs="仿宋"/>
          <w:color w:val="000000"/>
          <w:kern w:val="0"/>
          <w:szCs w:val="32"/>
          <w:lang w:bidi="ar"/>
        </w:rPr>
        <w:t>%。评分见下表：</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效益指标设定及评分情况表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2156"/>
        <w:gridCol w:w="3375"/>
        <w:gridCol w:w="860"/>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53"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2156"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二级指标</w:t>
            </w:r>
          </w:p>
        </w:tc>
        <w:tc>
          <w:tcPr>
            <w:tcW w:w="337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三级指标</w:t>
            </w:r>
          </w:p>
        </w:tc>
        <w:tc>
          <w:tcPr>
            <w:tcW w:w="86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879"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53" w:type="dxa"/>
            <w:vMerge w:val="restart"/>
            <w:noWrap w:val="0"/>
            <w:vAlign w:val="center"/>
          </w:tcPr>
          <w:p>
            <w:pPr>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效益指标</w:t>
            </w:r>
          </w:p>
          <w:p>
            <w:pPr>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（20分）</w:t>
            </w:r>
          </w:p>
        </w:tc>
        <w:tc>
          <w:tcPr>
            <w:tcW w:w="2156"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经济效益（5分）</w:t>
            </w:r>
          </w:p>
        </w:tc>
        <w:tc>
          <w:tcPr>
            <w:tcW w:w="337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经济效益</w:t>
            </w:r>
          </w:p>
        </w:tc>
        <w:tc>
          <w:tcPr>
            <w:tcW w:w="86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5.00</w:t>
            </w:r>
          </w:p>
        </w:tc>
        <w:tc>
          <w:tcPr>
            <w:tcW w:w="87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53"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2156"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社会效益（5分）</w:t>
            </w:r>
          </w:p>
        </w:tc>
        <w:tc>
          <w:tcPr>
            <w:tcW w:w="337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社会效益</w:t>
            </w:r>
          </w:p>
        </w:tc>
        <w:tc>
          <w:tcPr>
            <w:tcW w:w="86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5.00</w:t>
            </w:r>
          </w:p>
        </w:tc>
        <w:tc>
          <w:tcPr>
            <w:tcW w:w="87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53"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2156"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可持续影响（5分）</w:t>
            </w:r>
          </w:p>
        </w:tc>
        <w:tc>
          <w:tcPr>
            <w:tcW w:w="337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可持续影响</w:t>
            </w:r>
          </w:p>
        </w:tc>
        <w:tc>
          <w:tcPr>
            <w:tcW w:w="86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5.00</w:t>
            </w:r>
          </w:p>
        </w:tc>
        <w:tc>
          <w:tcPr>
            <w:tcW w:w="87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53"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2156" w:type="dxa"/>
            <w:vMerge w:val="restart"/>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满意度（5分）</w:t>
            </w:r>
          </w:p>
        </w:tc>
        <w:tc>
          <w:tcPr>
            <w:tcW w:w="337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社会公众或服务对象满意度</w:t>
            </w:r>
          </w:p>
        </w:tc>
        <w:tc>
          <w:tcPr>
            <w:tcW w:w="86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w:t>
            </w:r>
          </w:p>
        </w:tc>
        <w:tc>
          <w:tcPr>
            <w:tcW w:w="879" w:type="dxa"/>
            <w:noWrap w:val="0"/>
            <w:vAlign w:val="center"/>
          </w:tcPr>
          <w:p>
            <w:pPr>
              <w:pStyle w:val="29"/>
              <w:spacing w:line="240" w:lineRule="auto"/>
              <w:ind w:firstLine="0" w:firstLine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253"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2156" w:type="dxa"/>
            <w:vMerge w:val="continue"/>
            <w:noWrap w:val="0"/>
            <w:vAlign w:val="center"/>
          </w:tcPr>
          <w:p>
            <w:pPr>
              <w:pStyle w:val="29"/>
              <w:spacing w:line="240" w:lineRule="auto"/>
              <w:ind w:firstLine="480"/>
              <w:jc w:val="center"/>
              <w:rPr>
                <w:rFonts w:hint="eastAsia" w:ascii="宋体" w:hAnsi="宋体" w:eastAsia="宋体" w:cs="宋体"/>
                <w:sz w:val="24"/>
                <w:szCs w:val="24"/>
              </w:rPr>
            </w:pPr>
          </w:p>
        </w:tc>
        <w:tc>
          <w:tcPr>
            <w:tcW w:w="337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评价配合情况满意度</w:t>
            </w:r>
          </w:p>
        </w:tc>
        <w:tc>
          <w:tcPr>
            <w:tcW w:w="860"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c>
          <w:tcPr>
            <w:tcW w:w="879"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6784" w:type="dxa"/>
            <w:gridSpan w:val="3"/>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本项分数合计</w:t>
            </w:r>
          </w:p>
        </w:tc>
        <w:tc>
          <w:tcPr>
            <w:tcW w:w="860"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20.00</w:t>
            </w:r>
          </w:p>
        </w:tc>
        <w:tc>
          <w:tcPr>
            <w:tcW w:w="879" w:type="dxa"/>
            <w:noWrap w:val="0"/>
            <w:vAlign w:val="center"/>
          </w:tcPr>
          <w:p>
            <w:pPr>
              <w:pStyle w:val="29"/>
              <w:spacing w:line="240" w:lineRule="auto"/>
              <w:ind w:firstLine="0" w:firstLineChars="0"/>
              <w:jc w:val="cente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19.50</w:t>
            </w:r>
          </w:p>
        </w:tc>
      </w:tr>
    </w:tbl>
    <w:p>
      <w:pPr>
        <w:pStyle w:val="5"/>
        <w:bidi w:val="0"/>
        <w:rPr>
          <w:rFonts w:hint="eastAsia"/>
        </w:rPr>
      </w:pPr>
      <w:r>
        <w:rPr>
          <w:rFonts w:hint="eastAsia"/>
        </w:rPr>
        <w:t>（1）经济效益</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cs="仿宋"/>
          <w:sz w:val="32"/>
          <w:szCs w:val="32"/>
        </w:rPr>
      </w:pPr>
      <w:r>
        <w:rPr>
          <w:rFonts w:hint="eastAsia" w:ascii="仿宋" w:hAnsi="仿宋" w:cs="仿宋"/>
          <w:sz w:val="32"/>
          <w:szCs w:val="32"/>
        </w:rPr>
        <w:t>高新区企服中心通过支持企业的发展壮大，直接推动地区经济的增长。企业的发展不仅增加了税收贡献，还带动了上下游产业链的发展，形成经济增长的良性循环。</w:t>
      </w:r>
    </w:p>
    <w:p>
      <w:pPr>
        <w:pStyle w:val="30"/>
        <w:keepNext w:val="0"/>
        <w:keepLines w:val="0"/>
        <w:pageBreakBefore w:val="0"/>
        <w:kinsoku/>
        <w:wordWrap/>
        <w:overflowPunct/>
        <w:topLinePunct w:val="0"/>
        <w:autoSpaceDE/>
        <w:autoSpaceDN/>
        <w:bidi w:val="0"/>
        <w:adjustRightInd/>
        <w:ind w:firstLine="640"/>
        <w:jc w:val="both"/>
        <w:textAlignment w:val="auto"/>
        <w:rPr>
          <w:rFonts w:hint="eastAsia" w:ascii="仿宋" w:hAnsi="仿宋" w:cs="仿宋"/>
          <w:sz w:val="32"/>
          <w:szCs w:val="32"/>
        </w:rPr>
      </w:pPr>
      <w:r>
        <w:rPr>
          <w:rFonts w:hint="eastAsia" w:ascii="仿宋" w:hAnsi="仿宋" w:cs="仿宋"/>
          <w:sz w:val="32"/>
          <w:szCs w:val="32"/>
        </w:rPr>
        <w:t>随着企业的发展壮大，对劳动力的需求也随之增加。高新区企服中心通过支持企业扩大生产规模、提升生产效率，间接促进了就业市场的繁荣，为社会提供了更多的就业机会。</w:t>
      </w:r>
    </w:p>
    <w:p>
      <w:pPr>
        <w:pStyle w:val="5"/>
        <w:bidi w:val="0"/>
        <w:rPr>
          <w:rFonts w:hint="eastAsia"/>
        </w:rPr>
      </w:pPr>
      <w:r>
        <w:rPr>
          <w:rFonts w:hint="eastAsia"/>
        </w:rPr>
        <w:t>（2）社会效益</w:t>
      </w:r>
    </w:p>
    <w:p>
      <w:pPr>
        <w:keepNext w:val="0"/>
        <w:keepLines w:val="0"/>
        <w:pageBreakBefore w:val="0"/>
        <w:kinsoku/>
        <w:wordWrap/>
        <w:overflowPunct/>
        <w:topLinePunct w:val="0"/>
        <w:autoSpaceDE/>
        <w:autoSpaceDN/>
        <w:bidi w:val="0"/>
        <w:adjustRightInd/>
        <w:ind w:firstLine="640"/>
        <w:textAlignment w:val="auto"/>
        <w:rPr>
          <w:rFonts w:hint="eastAsia"/>
        </w:rPr>
      </w:pPr>
      <w:r>
        <w:rPr>
          <w:rFonts w:hint="eastAsia"/>
        </w:rPr>
        <w:t>企</w:t>
      </w:r>
      <w:r>
        <w:rPr>
          <w:rFonts w:hint="eastAsia" w:ascii="仿宋" w:hAnsi="仿宋" w:cs="仿宋"/>
          <w:szCs w:val="32"/>
        </w:rPr>
        <w:t>高新区企服中心</w:t>
      </w:r>
      <w:r>
        <w:rPr>
          <w:rFonts w:hint="eastAsia"/>
        </w:rPr>
        <w:t>作为企业与政府之间的桥梁，通过收集企业的意见、建议和需求，及时向政府反馈，同时向企业传达政府的政策、法规和支持措施，确保信息畅通无阻。通过协调解决企业在建设、生产、经营过程中遇到的问题，帮助企业解决实际困难，优化营商环境，提升企业的满意度和获得感。协助企业申报相关项目建设、发展资金、生产要素等事项，并提供政策宣传、咨询培训等服务，帮助企业充分享受政策红利，推动企业创新发展。</w:t>
      </w:r>
    </w:p>
    <w:p>
      <w:pPr>
        <w:pStyle w:val="5"/>
        <w:bidi w:val="0"/>
        <w:rPr>
          <w:rFonts w:hint="eastAsia"/>
        </w:rPr>
      </w:pPr>
      <w:r>
        <w:rPr>
          <w:rFonts w:hint="eastAsia"/>
        </w:rPr>
        <w:t>（3）可持续性影响</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color w:val="000000"/>
          <w:kern w:val="0"/>
          <w:szCs w:val="32"/>
          <w:lang w:bidi="ar"/>
        </w:rPr>
      </w:pPr>
      <w:r>
        <w:rPr>
          <w:rFonts w:hint="eastAsia" w:ascii="仿宋" w:hAnsi="仿宋" w:cs="仿宋"/>
          <w:szCs w:val="32"/>
        </w:rPr>
        <w:t>高新区企服中心</w:t>
      </w:r>
      <w:r>
        <w:rPr>
          <w:rFonts w:hint="eastAsia" w:ascii="仿宋" w:hAnsi="仿宋" w:cs="仿宋"/>
          <w:color w:val="000000"/>
          <w:kern w:val="0"/>
          <w:szCs w:val="32"/>
          <w:lang w:bidi="ar"/>
        </w:rPr>
        <w:t>为企业提供全方位的服务和支持，包括政策指导、行政服务、技术支持和市场拓展等，确保企业日常运营的顺利进行。</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通过推广绿色生产、节能减排等环保理念和技术手段，</w:t>
      </w:r>
      <w:r>
        <w:rPr>
          <w:rFonts w:hint="eastAsia" w:ascii="仿宋" w:hAnsi="仿宋" w:cs="仿宋"/>
          <w:szCs w:val="32"/>
        </w:rPr>
        <w:t>高新区企服中心</w:t>
      </w:r>
      <w:r>
        <w:rPr>
          <w:rFonts w:hint="eastAsia" w:ascii="仿宋" w:hAnsi="仿宋" w:cs="仿宋"/>
          <w:color w:val="000000"/>
          <w:kern w:val="0"/>
          <w:szCs w:val="32"/>
          <w:lang w:bidi="ar"/>
        </w:rPr>
        <w:t>可以协助企业实现可持续发展目标，减少对环境的影响，推动经济社会的可持续发展。</w:t>
      </w:r>
    </w:p>
    <w:p>
      <w:pPr>
        <w:pStyle w:val="5"/>
        <w:bidi w:val="0"/>
        <w:rPr>
          <w:rFonts w:hint="eastAsia"/>
        </w:rPr>
      </w:pPr>
      <w:r>
        <w:rPr>
          <w:rFonts w:hint="eastAsia"/>
        </w:rPr>
        <w:t>（4）满意度指标</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szCs w:val="32"/>
        </w:rPr>
      </w:pPr>
      <w:r>
        <w:rPr>
          <w:rFonts w:hint="eastAsia" w:ascii="仿宋" w:hAnsi="仿宋" w:cs="仿宋"/>
          <w:color w:val="000000"/>
          <w:kern w:val="0"/>
          <w:szCs w:val="32"/>
          <w:lang w:bidi="ar"/>
        </w:rPr>
        <w:t>1）服务对象满意度</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szCs w:val="32"/>
        </w:rPr>
      </w:pPr>
      <w:r>
        <w:rPr>
          <w:rFonts w:hint="eastAsia" w:ascii="仿宋" w:hAnsi="仿宋" w:cs="仿宋"/>
          <w:color w:val="000000"/>
          <w:kern w:val="0"/>
          <w:szCs w:val="32"/>
          <w:lang w:bidi="ar"/>
        </w:rPr>
        <w:t>本次绩效评价，针对</w:t>
      </w:r>
      <w:r>
        <w:rPr>
          <w:rFonts w:hint="eastAsia" w:ascii="仿宋" w:hAnsi="仿宋" w:cs="仿宋"/>
          <w:szCs w:val="32"/>
        </w:rPr>
        <w:t>高新区企服中心</w:t>
      </w:r>
      <w:r>
        <w:rPr>
          <w:rFonts w:hint="eastAsia" w:ascii="仿宋" w:hAnsi="仿宋" w:cs="仿宋"/>
          <w:color w:val="000000"/>
          <w:kern w:val="0"/>
          <w:szCs w:val="32"/>
          <w:lang w:bidi="ar"/>
        </w:rPr>
        <w:t>的职能和工作内容，结合企业发展服务政策，设计了本次绩效评价满意度指标调查的问卷。调查问卷采用不记名的形式，共计设计10个问题，问题内容涵盖了对投资政策宣传、意见收集、服务态度和服务质量等方面。</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szCs w:val="32"/>
        </w:rPr>
      </w:pPr>
      <w:r>
        <w:rPr>
          <w:rFonts w:hint="eastAsia" w:ascii="仿宋" w:hAnsi="仿宋" w:cs="仿宋"/>
          <w:color w:val="000000"/>
          <w:kern w:val="0"/>
          <w:szCs w:val="32"/>
          <w:lang w:bidi="ar"/>
        </w:rPr>
        <w:t>本次调查主要针对受益对象、社会群众和</w:t>
      </w:r>
      <w:r>
        <w:rPr>
          <w:rFonts w:hint="eastAsia" w:ascii="仿宋" w:hAnsi="仿宋" w:cs="仿宋"/>
          <w:szCs w:val="32"/>
        </w:rPr>
        <w:t>高新区企服中心</w:t>
      </w:r>
      <w:r>
        <w:rPr>
          <w:rFonts w:hint="eastAsia" w:ascii="仿宋" w:hAnsi="仿宋" w:cs="仿宋"/>
          <w:color w:val="000000"/>
          <w:kern w:val="0"/>
          <w:szCs w:val="32"/>
          <w:lang w:bidi="ar"/>
        </w:rPr>
        <w:t>工作人员三类群体，为保障调查的全面性和客观性，受益对象和群众占比70</w:t>
      </w:r>
      <w:r>
        <w:rPr>
          <w:rFonts w:hint="eastAsia" w:ascii="仿宋" w:hAnsi="仿宋" w:cs="仿宋"/>
          <w:szCs w:val="32"/>
        </w:rPr>
        <w:t>.00</w:t>
      </w:r>
      <w:r>
        <w:rPr>
          <w:rFonts w:hint="eastAsia" w:ascii="仿宋" w:hAnsi="仿宋" w:cs="仿宋"/>
          <w:color w:val="000000"/>
          <w:kern w:val="0"/>
          <w:szCs w:val="32"/>
          <w:lang w:bidi="ar"/>
        </w:rPr>
        <w:t>%，</w:t>
      </w:r>
      <w:r>
        <w:rPr>
          <w:rFonts w:hint="eastAsia" w:ascii="仿宋" w:hAnsi="仿宋" w:cs="仿宋"/>
          <w:szCs w:val="32"/>
        </w:rPr>
        <w:t>高新区企服中心</w:t>
      </w:r>
      <w:r>
        <w:rPr>
          <w:rFonts w:hint="eastAsia" w:ascii="仿宋" w:hAnsi="仿宋" w:cs="仿宋"/>
          <w:color w:val="000000"/>
          <w:kern w:val="0"/>
          <w:szCs w:val="32"/>
          <w:lang w:bidi="ar"/>
        </w:rPr>
        <w:t>工作人员占比30</w:t>
      </w:r>
      <w:r>
        <w:rPr>
          <w:rFonts w:hint="eastAsia" w:ascii="仿宋" w:hAnsi="仿宋" w:cs="仿宋"/>
          <w:szCs w:val="32"/>
        </w:rPr>
        <w:t>.00</w:t>
      </w:r>
      <w:r>
        <w:rPr>
          <w:rFonts w:hint="eastAsia" w:ascii="仿宋" w:hAnsi="仿宋" w:cs="仿宋"/>
          <w:color w:val="000000"/>
          <w:kern w:val="0"/>
          <w:szCs w:val="32"/>
          <w:lang w:bidi="ar"/>
        </w:rPr>
        <w:t>%。共进行了3次满意度调查，调查地方分别为：</w:t>
      </w:r>
      <w:r>
        <w:rPr>
          <w:rFonts w:hint="eastAsia" w:ascii="仿宋" w:hAnsi="仿宋" w:cs="仿宋"/>
          <w:szCs w:val="32"/>
        </w:rPr>
        <w:t>高新区企服中心</w:t>
      </w:r>
      <w:r>
        <w:rPr>
          <w:rFonts w:hint="eastAsia" w:ascii="仿宋" w:hAnsi="仿宋" w:cs="仿宋"/>
          <w:color w:val="000000"/>
          <w:kern w:val="0"/>
          <w:szCs w:val="32"/>
          <w:lang w:bidi="ar"/>
        </w:rPr>
        <w:t>、商场、</w:t>
      </w:r>
      <w:r>
        <w:rPr>
          <w:rFonts w:hint="eastAsia" w:ascii="仿宋" w:hAnsi="仿宋" w:cs="仿宋"/>
          <w:szCs w:val="32"/>
        </w:rPr>
        <w:t>高新区企服中心办公大厅</w:t>
      </w:r>
      <w:r>
        <w:rPr>
          <w:rFonts w:hint="eastAsia" w:ascii="仿宋" w:hAnsi="仿宋" w:cs="仿宋"/>
          <w:color w:val="000000"/>
          <w:kern w:val="0"/>
          <w:szCs w:val="32"/>
          <w:lang w:bidi="ar"/>
        </w:rPr>
        <w:t>。共计发放调查问卷30份，回收30份。经过对回收问卷统计，确定有效问卷为30份。经统计，最高分100.00分，最低分54.00分，平均分数</w:t>
      </w:r>
      <w:r>
        <w:rPr>
          <w:rFonts w:hint="eastAsia" w:ascii="仿宋" w:hAnsi="仿宋" w:cs="仿宋"/>
          <w:color w:val="000000"/>
          <w:kern w:val="0"/>
          <w:szCs w:val="32"/>
          <w:lang w:val="en-US" w:eastAsia="zh-CN" w:bidi="ar"/>
        </w:rPr>
        <w:t>90.0</w:t>
      </w:r>
      <w:r>
        <w:rPr>
          <w:rFonts w:hint="eastAsia" w:ascii="仿宋" w:hAnsi="仿宋" w:cs="仿宋"/>
          <w:color w:val="000000"/>
          <w:kern w:val="0"/>
          <w:szCs w:val="32"/>
          <w:lang w:bidi="ar"/>
        </w:rPr>
        <w:t>0分，本次满意度指标综合得分为</w:t>
      </w:r>
      <w:r>
        <w:rPr>
          <w:rFonts w:hint="eastAsia" w:ascii="仿宋" w:hAnsi="仿宋" w:cs="仿宋"/>
          <w:color w:val="000000"/>
          <w:kern w:val="0"/>
          <w:szCs w:val="32"/>
          <w:lang w:val="en-US" w:eastAsia="zh-CN" w:bidi="ar"/>
        </w:rPr>
        <w:t>90.00</w:t>
      </w:r>
      <w:r>
        <w:rPr>
          <w:rFonts w:hint="eastAsia" w:ascii="仿宋" w:hAnsi="仿宋" w:cs="仿宋"/>
          <w:color w:val="000000"/>
          <w:kern w:val="0"/>
          <w:szCs w:val="32"/>
          <w:lang w:bidi="ar"/>
        </w:rPr>
        <w:t>分（满分100.00分）。</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szCs w:val="32"/>
        </w:rPr>
      </w:pPr>
      <w:r>
        <w:rPr>
          <w:rFonts w:hint="eastAsia" w:ascii="仿宋" w:hAnsi="仿宋" w:cs="仿宋"/>
          <w:color w:val="000000"/>
          <w:kern w:val="0"/>
          <w:szCs w:val="32"/>
          <w:lang w:bidi="ar"/>
        </w:rPr>
        <w:t>本次绩效评价满意度调查问卷中，针对宣传效果一项设置的问题选项，经过满意度调查问卷的收集和整理，回收的问卷显示群众对于</w:t>
      </w:r>
      <w:r>
        <w:rPr>
          <w:rFonts w:hint="eastAsia" w:ascii="仿宋" w:hAnsi="仿宋" w:cs="仿宋"/>
          <w:szCs w:val="32"/>
        </w:rPr>
        <w:t>高新区企服中心</w:t>
      </w:r>
      <w:r>
        <w:rPr>
          <w:rFonts w:hint="eastAsia" w:ascii="仿宋" w:hAnsi="仿宋" w:cs="仿宋"/>
          <w:color w:val="000000"/>
          <w:kern w:val="0"/>
          <w:szCs w:val="32"/>
          <w:lang w:bidi="ar"/>
        </w:rPr>
        <w:t>政策知悉程度并不高，虽然问卷受样本群体和问卷数量的限制并不能客观真实地反映出本地区整体民众的真实数据，但还是能真实地反映出宣传效果方面的不理想。受调查群体不同的影响，调查分数呈现出的差异较大，主要原因分析如下：一方面不同群体对于本次调查关注度不一样，社会群体的认真度和体验了解程度都与受益对象和</w:t>
      </w:r>
      <w:r>
        <w:rPr>
          <w:rFonts w:hint="eastAsia" w:ascii="仿宋" w:hAnsi="仿宋" w:cs="仿宋"/>
          <w:szCs w:val="32"/>
        </w:rPr>
        <w:t>高新区企服中心</w:t>
      </w:r>
      <w:r>
        <w:rPr>
          <w:rFonts w:hint="eastAsia" w:ascii="仿宋" w:hAnsi="仿宋" w:cs="仿宋"/>
          <w:color w:val="000000"/>
          <w:kern w:val="0"/>
          <w:szCs w:val="32"/>
          <w:lang w:bidi="ar"/>
        </w:rPr>
        <w:t>相关人员存在差异，相比之下，在评分上存在个人感情成分较高，在客观程度上不如后两者，导致分数分布上显示较随意；另一方面</w:t>
      </w:r>
      <w:r>
        <w:rPr>
          <w:rFonts w:hint="eastAsia" w:ascii="仿宋" w:hAnsi="仿宋" w:cs="仿宋"/>
          <w:szCs w:val="32"/>
        </w:rPr>
        <w:t>高新区企服中心</w:t>
      </w:r>
      <w:r>
        <w:rPr>
          <w:rFonts w:hint="eastAsia" w:ascii="仿宋" w:hAnsi="仿宋" w:cs="仿宋"/>
          <w:color w:val="000000"/>
          <w:kern w:val="0"/>
          <w:szCs w:val="32"/>
          <w:lang w:bidi="ar"/>
        </w:rPr>
        <w:t>工作者在分数把控上，存在主观情感的倾向，普遍打分较高，这一点又不如社会群众和受益对象客观。</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szCs w:val="32"/>
        </w:rPr>
      </w:pPr>
      <w:r>
        <w:rPr>
          <w:rFonts w:hint="eastAsia" w:ascii="仿宋" w:hAnsi="仿宋" w:cs="仿宋"/>
          <w:color w:val="000000"/>
          <w:kern w:val="0"/>
          <w:szCs w:val="32"/>
          <w:lang w:bidi="ar"/>
        </w:rPr>
        <w:t>从调查问卷群众反馈结果来看，回收的问卷对于投资政策宣传及效果一项反馈效果不是特别理想，群众对于投资政策知悉程度并不高。客观反映了本年宣传工作虽然保质保量完成，但是宣传效果还是不够普及大众。</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cs="仿宋"/>
          <w:szCs w:val="32"/>
        </w:rPr>
      </w:pPr>
      <w:r>
        <w:rPr>
          <w:rFonts w:hint="eastAsia" w:ascii="仿宋" w:hAnsi="仿宋" w:cs="仿宋"/>
          <w:color w:val="000000"/>
          <w:kern w:val="0"/>
          <w:szCs w:val="32"/>
          <w:lang w:bidi="ar"/>
        </w:rPr>
        <w:t>2）评价配合情况满意度</w:t>
      </w:r>
    </w:p>
    <w:p>
      <w:pPr>
        <w:keepNext w:val="0"/>
        <w:keepLines w:val="0"/>
        <w:pageBreakBefore w:val="0"/>
        <w:widowControl/>
        <w:kinsoku/>
        <w:wordWrap/>
        <w:overflowPunct/>
        <w:topLinePunct w:val="0"/>
        <w:autoSpaceDE/>
        <w:autoSpaceDN/>
        <w:bidi w:val="0"/>
        <w:adjustRightInd/>
        <w:ind w:firstLine="640"/>
        <w:textAlignment w:val="auto"/>
        <w:rPr>
          <w:rFonts w:hint="eastAsia" w:ascii="仿宋" w:hAnsi="仿宋" w:eastAsia="仿宋" w:cs="仿宋"/>
          <w:szCs w:val="32"/>
          <w:lang w:eastAsia="zh-CN"/>
        </w:rPr>
      </w:pPr>
      <w:r>
        <w:rPr>
          <w:rFonts w:hint="eastAsia" w:ascii="仿宋" w:hAnsi="仿宋" w:cs="仿宋"/>
          <w:color w:val="000000"/>
          <w:kern w:val="0"/>
          <w:szCs w:val="32"/>
          <w:lang w:bidi="ar"/>
        </w:rPr>
        <w:t>本次绩效评价工作得到</w:t>
      </w:r>
      <w:r>
        <w:rPr>
          <w:rFonts w:hint="eastAsia" w:ascii="仿宋" w:hAnsi="仿宋" w:cs="仿宋"/>
          <w:szCs w:val="32"/>
        </w:rPr>
        <w:t>高新区企服中心</w:t>
      </w:r>
      <w:r>
        <w:rPr>
          <w:rFonts w:hint="eastAsia" w:ascii="仿宋" w:hAnsi="仿宋" w:cs="仿宋"/>
          <w:color w:val="000000"/>
          <w:kern w:val="0"/>
          <w:szCs w:val="32"/>
          <w:lang w:bidi="ar"/>
        </w:rPr>
        <w:t>全力支持，部门领导统一部署，组织人员布置了工作场地，选派了专门的人员负责协调工作。特别指示财务部门和业务部门积极配合，做到安排专人负责联系协调；各组室和下属单位人员积极准备并提供了资料，资料相对较为齐全，少部分资料提供有困难的也能克服难通过其他方式搜寻后提供；资料报送及时，准备充分，资料的及时有效提供，保证评价小组的绩效评价工作顺利</w:t>
      </w:r>
      <w:r>
        <w:rPr>
          <w:rFonts w:hint="eastAsia" w:ascii="仿宋" w:hAnsi="仿宋" w:cs="仿宋"/>
          <w:color w:val="000000"/>
          <w:kern w:val="0"/>
          <w:szCs w:val="32"/>
          <w:lang w:eastAsia="zh-CN" w:bidi="ar"/>
        </w:rPr>
        <w:t>。</w:t>
      </w:r>
    </w:p>
    <w:p>
      <w:pPr>
        <w:pStyle w:val="2"/>
        <w:bidi w:val="0"/>
        <w:rPr>
          <w:rFonts w:hint="eastAsia"/>
        </w:rPr>
      </w:pPr>
      <w:bookmarkStart w:id="394" w:name="_Toc2109"/>
      <w:bookmarkStart w:id="395" w:name="_Toc15142"/>
      <w:bookmarkStart w:id="396" w:name="_Toc27830"/>
      <w:bookmarkStart w:id="397" w:name="_Toc29865"/>
      <w:bookmarkStart w:id="398" w:name="_Toc19007"/>
      <w:bookmarkStart w:id="399" w:name="_Toc24483"/>
      <w:bookmarkStart w:id="400" w:name="_Toc24105"/>
      <w:r>
        <w:rPr>
          <w:rFonts w:hint="eastAsia"/>
        </w:rPr>
        <w:t>六、主要经验及做法、存在问题和建议</w:t>
      </w:r>
      <w:bookmarkEnd w:id="394"/>
      <w:bookmarkEnd w:id="395"/>
      <w:bookmarkEnd w:id="396"/>
      <w:bookmarkEnd w:id="397"/>
      <w:bookmarkEnd w:id="398"/>
      <w:bookmarkEnd w:id="399"/>
      <w:bookmarkEnd w:id="400"/>
    </w:p>
    <w:p>
      <w:pPr>
        <w:pStyle w:val="3"/>
        <w:bidi w:val="0"/>
        <w:rPr>
          <w:rFonts w:hint="eastAsia"/>
        </w:rPr>
      </w:pPr>
      <w:bookmarkStart w:id="401" w:name="_Toc25888"/>
      <w:bookmarkStart w:id="402" w:name="_Toc16628"/>
      <w:bookmarkStart w:id="403" w:name="_Toc30348"/>
      <w:bookmarkStart w:id="404" w:name="_Toc22600"/>
      <w:bookmarkStart w:id="405" w:name="_Toc14051"/>
      <w:bookmarkStart w:id="406" w:name="_Toc22097"/>
      <w:bookmarkStart w:id="407" w:name="_Toc18442"/>
      <w:r>
        <w:rPr>
          <w:rFonts w:hint="eastAsia"/>
        </w:rPr>
        <w:t>（一）存在的问题</w:t>
      </w:r>
      <w:bookmarkEnd w:id="401"/>
      <w:bookmarkEnd w:id="402"/>
      <w:bookmarkEnd w:id="403"/>
      <w:bookmarkEnd w:id="404"/>
      <w:bookmarkEnd w:id="405"/>
      <w:bookmarkEnd w:id="406"/>
      <w:bookmarkEnd w:id="407"/>
    </w:p>
    <w:p>
      <w:pPr>
        <w:pStyle w:val="4"/>
        <w:bidi w:val="0"/>
        <w:rPr>
          <w:rFonts w:hint="eastAsia"/>
        </w:rPr>
      </w:pPr>
      <w:bookmarkStart w:id="408" w:name="_Toc1997"/>
      <w:bookmarkStart w:id="409" w:name="_Toc29681"/>
      <w:r>
        <w:rPr>
          <w:rFonts w:hint="eastAsia"/>
        </w:rPr>
        <w:t>1.</w:t>
      </w:r>
      <w:bookmarkEnd w:id="408"/>
      <w:r>
        <w:rPr>
          <w:rFonts w:hint="eastAsia"/>
        </w:rPr>
        <w:t>预算编制</w:t>
      </w:r>
      <w:bookmarkEnd w:id="409"/>
      <w:r>
        <w:rPr>
          <w:rFonts w:hint="eastAsia"/>
        </w:rPr>
        <w:t>不科学</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单位年初预算编制不科学，</w:t>
      </w:r>
      <w:r>
        <w:rPr>
          <w:rFonts w:hint="eastAsia"/>
        </w:rPr>
        <w:t>未能对年度内支出事项充分准确预估</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年初预算金额与预算调整额差距较大，造成预算调整率较高。预算的编制应该符合部门的实际情况，按照部门职能和工作安排情况，按照科学合理规范的方法测算并编制预算额，测算的过程要有理有据，使得预算编制趋近于单位年度支出额。</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cs="仿宋"/>
          <w:szCs w:val="32"/>
        </w:rPr>
      </w:pPr>
      <w:r>
        <w:rPr>
          <w:rFonts w:hint="eastAsia" w:ascii="仿宋" w:hAnsi="仿宋" w:cs="仿宋"/>
          <w:color w:val="000000"/>
          <w:kern w:val="0"/>
          <w:szCs w:val="32"/>
          <w:lang w:bidi="ar"/>
        </w:rPr>
        <w:t>单位</w:t>
      </w:r>
      <w:r>
        <w:rPr>
          <w:rFonts w:hint="eastAsia" w:ascii="仿宋" w:hAnsi="仿宋" w:cs="仿宋"/>
          <w:szCs w:val="32"/>
        </w:rPr>
        <w:t>预算编制项目不准确，办公场地租用及运行维护专项工作经费年初预算15.00万元，2023年度未使用。</w:t>
      </w:r>
    </w:p>
    <w:p>
      <w:pPr>
        <w:pStyle w:val="4"/>
        <w:bidi w:val="0"/>
        <w:rPr>
          <w:rFonts w:hint="eastAsia"/>
        </w:rPr>
      </w:pPr>
      <w:r>
        <w:rPr>
          <w:rFonts w:hint="eastAsia"/>
        </w:rPr>
        <w:t>2.绩效评价指标值设置不合理</w:t>
      </w:r>
    </w:p>
    <w:p>
      <w:pPr>
        <w:pStyle w:val="29"/>
        <w:rPr>
          <w:rFonts w:hint="eastAsia" w:ascii="仿宋" w:hAnsi="仿宋" w:eastAsia="仿宋" w:cs="仿宋"/>
          <w:color w:val="000000"/>
          <w:kern w:val="0"/>
          <w:sz w:val="32"/>
          <w:lang w:bidi="ar"/>
        </w:rPr>
      </w:pPr>
      <w:r>
        <w:rPr>
          <w:rFonts w:hint="eastAsia" w:ascii="仿宋" w:hAnsi="仿宋" w:eastAsia="仿宋" w:cs="仿宋"/>
          <w:color w:val="000000"/>
          <w:kern w:val="0"/>
          <w:sz w:val="32"/>
          <w:lang w:bidi="ar"/>
        </w:rPr>
        <w:t>单位绩效目标表中的指标值设置不合理，不能准确反映2023年度绩效目标完成情况。如2023年度招商引资项目质量指标：资金完成情况≥100.00%；经济效益指标：完成金额≥15.00万元；时效指标：完成时间≥2023年；社会效益指标：社会保障指标值定性为优良等。</w:t>
      </w:r>
    </w:p>
    <w:p>
      <w:pPr>
        <w:pStyle w:val="4"/>
        <w:bidi w:val="0"/>
        <w:rPr>
          <w:rFonts w:hint="eastAsia"/>
        </w:rPr>
      </w:pPr>
      <w:r>
        <w:rPr>
          <w:rFonts w:hint="eastAsia"/>
          <w:lang w:val="en-US" w:eastAsia="zh-CN"/>
        </w:rPr>
        <w:t>3</w:t>
      </w:r>
      <w:r>
        <w:rPr>
          <w:rFonts w:hint="eastAsia"/>
        </w:rPr>
        <w:t>.财务报销流程不规范</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存在记账凭证会计信息登记不够真实</w:t>
      </w:r>
      <w:r>
        <w:rPr>
          <w:rFonts w:hint="eastAsia" w:ascii="仿宋" w:hAnsi="仿宋" w:eastAsia="仿宋" w:cs="仿宋"/>
          <w:color w:val="000000"/>
          <w:kern w:val="0"/>
          <w:szCs w:val="32"/>
          <w:lang w:val="en-US" w:eastAsia="zh-CN" w:bidi="ar"/>
        </w:rPr>
        <w:t>完整</w:t>
      </w:r>
      <w:r>
        <w:rPr>
          <w:rFonts w:hint="eastAsia" w:ascii="仿宋" w:hAnsi="仿宋" w:eastAsia="仿宋" w:cs="仿宋"/>
          <w:color w:val="000000"/>
          <w:kern w:val="0"/>
          <w:szCs w:val="32"/>
          <w:lang w:bidi="ar"/>
        </w:rPr>
        <w:t>，记账凭证下方信息如会计主管、审核、记账、制单、出纳等未落款具体操作人员，影响了会计信息质量的真实性。</w:t>
      </w:r>
      <w:r>
        <w:rPr>
          <w:rFonts w:hint="eastAsia" w:ascii="仿宋" w:hAnsi="仿宋" w:eastAsia="仿宋" w:cs="仿宋"/>
        </w:rPr>
        <w:t>1,000.00元以上费用未使用公户支付或者公务卡支付，而是由个人垫付，相关支付凭证缺失</w:t>
      </w:r>
      <w:r>
        <w:rPr>
          <w:rFonts w:hint="eastAsia" w:ascii="仿宋" w:hAnsi="仿宋" w:eastAsia="仿宋" w:cs="仿宋"/>
          <w:lang w:eastAsia="zh-CN"/>
        </w:rPr>
        <w:t>，</w:t>
      </w:r>
      <w:r>
        <w:rPr>
          <w:rFonts w:hint="eastAsia" w:ascii="仿宋" w:hAnsi="仿宋" w:eastAsia="仿宋" w:cs="仿宋"/>
          <w:color w:val="000000"/>
          <w:kern w:val="0"/>
          <w:szCs w:val="32"/>
          <w:lang w:bidi="ar"/>
        </w:rPr>
        <w:t>会计登记信息不能如实可靠反映记账实际情况。</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rPr>
      </w:pPr>
      <w:r>
        <w:rPr>
          <w:rFonts w:hint="eastAsia" w:ascii="仿宋" w:hAnsi="仿宋" w:eastAsia="仿宋" w:cs="仿宋"/>
        </w:rPr>
        <w:t>个人垫付单位支出，无付款凭证或支付证据资料，</w:t>
      </w:r>
      <w:r>
        <w:rPr>
          <w:rFonts w:hint="eastAsia" w:ascii="仿宋" w:hAnsi="仿宋" w:eastAsia="仿宋" w:cs="仿宋"/>
          <w:color w:val="000000"/>
          <w:kern w:val="0"/>
          <w:sz w:val="32"/>
          <w:szCs w:val="32"/>
          <w:lang w:bidi="ar"/>
        </w:rPr>
        <w:t>如：2023年3月27日记账4号凭证，支出金额1,430.00元，</w:t>
      </w:r>
      <w:r>
        <w:rPr>
          <w:rFonts w:hint="eastAsia" w:ascii="仿宋" w:hAnsi="仿宋" w:eastAsia="仿宋" w:cs="仿宋"/>
          <w:sz w:val="32"/>
          <w:szCs w:val="32"/>
        </w:rPr>
        <w:t>用于支付</w:t>
      </w:r>
      <w:r>
        <w:rPr>
          <w:rFonts w:hint="eastAsia" w:ascii="仿宋" w:hAnsi="仿宋" w:cs="仿宋"/>
          <w:sz w:val="32"/>
          <w:szCs w:val="32"/>
          <w:lang w:val="en-US" w:eastAsia="zh-CN"/>
        </w:rPr>
        <w:t>个人</w:t>
      </w:r>
      <w:r>
        <w:rPr>
          <w:rFonts w:hint="eastAsia" w:ascii="仿宋" w:hAnsi="仿宋" w:eastAsia="仿宋" w:cs="仿宋"/>
          <w:sz w:val="32"/>
          <w:szCs w:val="32"/>
        </w:rPr>
        <w:t>垫支的党组织活动产生的讲解费、横幅费、用餐费用；</w:t>
      </w:r>
    </w:p>
    <w:p>
      <w:pPr>
        <w:pStyle w:val="29"/>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 w:val="32"/>
          <w:lang w:bidi="ar"/>
        </w:rPr>
      </w:pPr>
      <w:r>
        <w:rPr>
          <w:rFonts w:hint="eastAsia" w:ascii="仿宋" w:hAnsi="仿宋" w:eastAsia="仿宋" w:cs="仿宋"/>
          <w:color w:val="000000"/>
          <w:kern w:val="0"/>
          <w:sz w:val="32"/>
          <w:lang w:bidi="ar"/>
        </w:rPr>
        <w:t>2023年3月27日记账10号凭证，支出金额1,100.00元，用于支付</w:t>
      </w:r>
      <w:r>
        <w:rPr>
          <w:rFonts w:hint="eastAsia" w:ascii="仿宋" w:hAnsi="仿宋" w:eastAsia="仿宋" w:cs="仿宋"/>
          <w:color w:val="000000"/>
          <w:kern w:val="0"/>
          <w:sz w:val="32"/>
          <w:lang w:val="en-US" w:eastAsia="zh-CN" w:bidi="ar"/>
        </w:rPr>
        <w:t>个人</w:t>
      </w:r>
      <w:r>
        <w:rPr>
          <w:rFonts w:hint="eastAsia" w:ascii="仿宋" w:hAnsi="仿宋" w:eastAsia="仿宋" w:cs="仿宋"/>
          <w:color w:val="000000"/>
          <w:kern w:val="0"/>
          <w:sz w:val="32"/>
          <w:lang w:bidi="ar"/>
        </w:rPr>
        <w:t>垫支商务接待供销冷链物流赴遂宁高新区交流产生的用餐费用。</w:t>
      </w:r>
    </w:p>
    <w:p>
      <w:pPr>
        <w:pStyle w:val="4"/>
        <w:bidi w:val="0"/>
        <w:rPr>
          <w:rFonts w:hint="eastAsia"/>
        </w:rPr>
      </w:pPr>
      <w:r>
        <w:rPr>
          <w:rFonts w:hint="eastAsia"/>
          <w:lang w:val="en-US" w:eastAsia="zh-CN"/>
        </w:rPr>
        <w:t>4</w:t>
      </w:r>
      <w:r>
        <w:rPr>
          <w:rFonts w:hint="eastAsia"/>
        </w:rPr>
        <w:t>.财务制度执行力不够</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部门人员对于财务制度的执行力度不够。</w:t>
      </w:r>
      <w:r>
        <w:rPr>
          <w:rFonts w:hint="eastAsia" w:ascii="仿宋" w:hAnsi="仿宋" w:cs="仿宋"/>
          <w:szCs w:val="32"/>
        </w:rPr>
        <w:t>高新区企服中心</w:t>
      </w:r>
      <w:r>
        <w:rPr>
          <w:rFonts w:hint="eastAsia" w:ascii="仿宋" w:hAnsi="仿宋" w:cs="仿宋"/>
          <w:color w:val="000000"/>
          <w:kern w:val="0"/>
          <w:szCs w:val="32"/>
          <w:lang w:bidi="ar"/>
        </w:rPr>
        <w:t>未严格按照《机关财务管理制度（试行）》中办公用品管理“所购办公用品或其他物品交保管人员查收后，双方在购置发票和入库清单上签字确认，按审批程序报账。严格办公用品发放领用制度，办公用品管理部门应建立办公用品领用和库存台账，严格领用签字手续”定执行。如：</w:t>
      </w:r>
    </w:p>
    <w:p>
      <w:pPr>
        <w:pStyle w:val="30"/>
        <w:ind w:firstLine="640"/>
        <w:jc w:val="both"/>
        <w:rPr>
          <w:rFonts w:hint="eastAsia" w:ascii="仿宋" w:hAnsi="仿宋" w:cs="仿宋"/>
          <w:color w:val="000000"/>
          <w:kern w:val="0"/>
          <w:sz w:val="32"/>
          <w:szCs w:val="32"/>
          <w:lang w:bidi="ar"/>
        </w:rPr>
      </w:pPr>
      <w:r>
        <w:rPr>
          <w:rFonts w:hint="eastAsia" w:ascii="仿宋" w:hAnsi="仿宋" w:cs="仿宋"/>
          <w:color w:val="000000"/>
          <w:kern w:val="0"/>
          <w:sz w:val="32"/>
          <w:szCs w:val="32"/>
          <w:lang w:bidi="ar"/>
        </w:rPr>
        <w:t>2023年6月15日记账15号凭证，支出金额1,100.00元，用于支付在遂宁市河东新区华瑞办公用品经营部购买的办公椅和走珠笔的办公费用；</w:t>
      </w:r>
    </w:p>
    <w:p>
      <w:pPr>
        <w:pStyle w:val="30"/>
        <w:ind w:firstLine="640"/>
        <w:jc w:val="both"/>
        <w:rPr>
          <w:rFonts w:hint="eastAsia" w:ascii="仿宋" w:hAnsi="仿宋" w:cs="仿宋"/>
          <w:color w:val="000000"/>
          <w:kern w:val="0"/>
          <w:sz w:val="32"/>
          <w:szCs w:val="32"/>
          <w:lang w:bidi="ar"/>
        </w:rPr>
      </w:pPr>
      <w:r>
        <w:rPr>
          <w:rFonts w:hint="eastAsia" w:ascii="仿宋" w:hAnsi="仿宋" w:cs="仿宋"/>
          <w:color w:val="000000"/>
          <w:kern w:val="0"/>
          <w:sz w:val="32"/>
          <w:szCs w:val="32"/>
          <w:lang w:bidi="ar"/>
        </w:rPr>
        <w:t>2023年10月27日记账11号凭证，支出金额2,560.00元，用于支付在遂宁高新区鸿一科技经营部购买打印纸、墨盒等办公用品费用。</w:t>
      </w:r>
    </w:p>
    <w:p>
      <w:pPr>
        <w:pStyle w:val="4"/>
        <w:bidi w:val="0"/>
        <w:rPr>
          <w:rFonts w:hint="eastAsia"/>
        </w:rPr>
      </w:pPr>
      <w:bookmarkStart w:id="410" w:name="_Toc31922"/>
      <w:r>
        <w:rPr>
          <w:rFonts w:hint="eastAsia"/>
          <w:lang w:val="en-US" w:eastAsia="zh-CN"/>
        </w:rPr>
        <w:t>5</w:t>
      </w:r>
      <w:r>
        <w:rPr>
          <w:rFonts w:hint="eastAsia"/>
        </w:rPr>
        <w:t>.固定资产管理</w:t>
      </w:r>
      <w:bookmarkEnd w:id="410"/>
    </w:p>
    <w:p>
      <w:pPr>
        <w:widowControl/>
        <w:ind w:firstLine="640"/>
        <w:rPr>
          <w:rFonts w:hint="eastAsia" w:ascii="仿宋" w:hAnsi="仿宋" w:eastAsia="仿宋" w:cs="仿宋"/>
          <w:szCs w:val="32"/>
        </w:rPr>
      </w:pPr>
      <w:r>
        <w:rPr>
          <w:rFonts w:hint="eastAsia" w:ascii="仿宋" w:hAnsi="仿宋" w:eastAsia="仿宋" w:cs="仿宋"/>
          <w:color w:val="000000"/>
          <w:kern w:val="0"/>
          <w:szCs w:val="32"/>
          <w:lang w:bidi="ar"/>
        </w:rPr>
        <w:t>（1）未做到账账相符，固定资产核算不规范，存在财务账固定资产与固定资产台账不相符的情况。</w:t>
      </w:r>
    </w:p>
    <w:p>
      <w:pPr>
        <w:widowControl/>
        <w:ind w:firstLine="640"/>
        <w:rPr>
          <w:rFonts w:hint="eastAsia" w:ascii="仿宋" w:hAnsi="仿宋" w:eastAsia="仿宋" w:cs="仿宋"/>
          <w:szCs w:val="32"/>
        </w:rPr>
      </w:pPr>
      <w:r>
        <w:rPr>
          <w:rFonts w:hint="eastAsia" w:ascii="仿宋" w:hAnsi="仿宋" w:eastAsia="仿宋" w:cs="仿宋"/>
          <w:color w:val="000000"/>
          <w:kern w:val="0"/>
          <w:szCs w:val="32"/>
          <w:lang w:bidi="ar"/>
        </w:rPr>
        <w:t>2023年报表显示单位固定资产账面原值为1,100.00元，单位固定资产台账8项原值7,228.00元，其余118项原值未知。单位财务账面固定资产净值1,057.23元，固定资产台账资产净值未知。账账不符。</w:t>
      </w:r>
    </w:p>
    <w:p>
      <w:pPr>
        <w:ind w:firstLine="640"/>
        <w:rPr>
          <w:rFonts w:hint="eastAsia" w:ascii="仿宋" w:hAnsi="仿宋" w:eastAsia="仿宋" w:cs="仿宋"/>
          <w:color w:val="000000"/>
          <w:kern w:val="0"/>
          <w:szCs w:val="32"/>
          <w:lang w:bidi="ar"/>
        </w:rPr>
      </w:pPr>
      <w:r>
        <w:rPr>
          <w:rFonts w:hint="eastAsia" w:ascii="仿宋" w:hAnsi="仿宋" w:eastAsia="仿宋" w:cs="仿宋"/>
        </w:rPr>
        <w:t>（2）固定资产日常管理不到位</w:t>
      </w:r>
      <w:bookmarkStart w:id="411" w:name="_Toc28797"/>
      <w:bookmarkStart w:id="412" w:name="_Toc30528"/>
      <w:r>
        <w:rPr>
          <w:rFonts w:hint="eastAsia" w:ascii="仿宋" w:hAnsi="仿宋" w:cs="仿宋"/>
          <w:lang w:eastAsia="zh-CN"/>
        </w:rPr>
        <w:t>。</w:t>
      </w:r>
      <w:r>
        <w:rPr>
          <w:rFonts w:hint="eastAsia" w:ascii="仿宋" w:hAnsi="仿宋" w:eastAsia="仿宋" w:cs="仿宋"/>
          <w:szCs w:val="32"/>
        </w:rPr>
        <w:t>经现场查看，发现部门无相关的管理制度、</w:t>
      </w:r>
      <w:r>
        <w:rPr>
          <w:rFonts w:hint="eastAsia" w:ascii="仿宋" w:hAnsi="仿宋" w:eastAsia="仿宋" w:cs="仿宋"/>
          <w:color w:val="000000"/>
          <w:kern w:val="0"/>
          <w:szCs w:val="32"/>
          <w:lang w:bidi="ar"/>
        </w:rPr>
        <w:t>未建资产卡片、正常盘点工作和账实核对工作缺失、未落实资产使用人保管机制。</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kern w:val="0"/>
          <w:szCs w:val="32"/>
          <w:lang w:bidi="ar"/>
        </w:rPr>
      </w:pPr>
      <w:r>
        <w:rPr>
          <w:rFonts w:hint="eastAsia" w:ascii="仿宋" w:hAnsi="仿宋" w:cs="仿宋"/>
          <w:color w:val="000000"/>
          <w:kern w:val="0"/>
          <w:szCs w:val="32"/>
          <w:lang w:eastAsia="zh-CN" w:bidi="ar"/>
        </w:rPr>
        <w:t>（</w:t>
      </w:r>
      <w:r>
        <w:rPr>
          <w:rFonts w:hint="eastAsia" w:ascii="仿宋" w:hAnsi="仿宋" w:cs="仿宋"/>
          <w:color w:val="000000"/>
          <w:kern w:val="0"/>
          <w:szCs w:val="32"/>
          <w:lang w:val="en-US" w:eastAsia="zh-CN" w:bidi="ar"/>
        </w:rPr>
        <w:t>3</w:t>
      </w:r>
      <w:r>
        <w:rPr>
          <w:rFonts w:hint="eastAsia" w:ascii="仿宋" w:hAnsi="仿宋" w:cs="仿宋"/>
          <w:color w:val="000000"/>
          <w:kern w:val="0"/>
          <w:szCs w:val="32"/>
          <w:lang w:eastAsia="zh-CN" w:bidi="ar"/>
        </w:rPr>
        <w:t>）</w:t>
      </w:r>
      <w:r>
        <w:rPr>
          <w:rFonts w:hint="eastAsia" w:ascii="仿宋" w:hAnsi="仿宋" w:eastAsia="仿宋" w:cs="仿宋"/>
          <w:color w:val="000000"/>
          <w:kern w:val="0"/>
          <w:szCs w:val="32"/>
          <w:lang w:bidi="ar"/>
        </w:rPr>
        <w:t>存在账外资产</w:t>
      </w:r>
      <w:r>
        <w:rPr>
          <w:rFonts w:hint="eastAsia" w:ascii="仿宋" w:hAnsi="仿宋" w:cs="仿宋"/>
          <w:color w:val="000000"/>
          <w:kern w:val="0"/>
          <w:szCs w:val="32"/>
          <w:lang w:eastAsia="zh-CN" w:bidi="ar"/>
        </w:rPr>
        <w:t>，</w:t>
      </w:r>
      <w:r>
        <w:rPr>
          <w:rFonts w:hint="eastAsia" w:ascii="仿宋" w:hAnsi="仿宋" w:eastAsia="仿宋" w:cs="仿宋"/>
          <w:color w:val="000000"/>
          <w:kern w:val="0"/>
          <w:szCs w:val="32"/>
          <w:lang w:bidi="ar"/>
        </w:rPr>
        <w:t>未做到账实相符，固定资产账目不准确，未能全面客观如实反映单位资产信息情况。评价组发现单位存在</w:t>
      </w:r>
      <w:r>
        <w:rPr>
          <w:rFonts w:hint="eastAsia" w:ascii="仿宋" w:hAnsi="仿宋" w:eastAsia="仿宋" w:cs="仿宋"/>
          <w:color w:val="000000"/>
          <w:kern w:val="0"/>
          <w:sz w:val="32"/>
          <w:szCs w:val="32"/>
          <w:lang w:bidi="ar"/>
        </w:rPr>
        <w:t>台式电脑1台、打印机1台、空调6台</w:t>
      </w:r>
      <w:r>
        <w:rPr>
          <w:rFonts w:hint="eastAsia" w:ascii="仿宋" w:hAnsi="仿宋" w:eastAsia="仿宋" w:cs="仿宋"/>
          <w:color w:val="000000"/>
          <w:kern w:val="0"/>
          <w:szCs w:val="32"/>
          <w:lang w:bidi="ar"/>
        </w:rPr>
        <w:t>等73项资产属于单位账外资产，未纳入财务账和实物资产台账核算，存在资产监管漏洞。单位固定资产账和《预算支出相关信息表》《主要指标变动表》未显示出这些资产的价值。</w:t>
      </w:r>
    </w:p>
    <w:p>
      <w:pPr>
        <w:pStyle w:val="3"/>
        <w:numPr>
          <w:ilvl w:val="0"/>
          <w:numId w:val="1"/>
        </w:numPr>
        <w:bidi w:val="0"/>
        <w:rPr>
          <w:rFonts w:hint="eastAsia"/>
        </w:rPr>
      </w:pPr>
      <w:bookmarkStart w:id="413" w:name="_Toc30874"/>
      <w:bookmarkStart w:id="414" w:name="_Toc16794"/>
      <w:bookmarkStart w:id="415" w:name="_Toc21571"/>
      <w:bookmarkStart w:id="416" w:name="_Toc14420"/>
      <w:bookmarkStart w:id="417" w:name="_Toc16281"/>
      <w:r>
        <w:rPr>
          <w:rFonts w:hint="eastAsia"/>
        </w:rPr>
        <w:t>建议和改进举措</w:t>
      </w:r>
      <w:bookmarkEnd w:id="411"/>
      <w:bookmarkEnd w:id="412"/>
      <w:bookmarkEnd w:id="413"/>
      <w:bookmarkEnd w:id="414"/>
      <w:bookmarkEnd w:id="415"/>
      <w:bookmarkEnd w:id="416"/>
      <w:bookmarkEnd w:id="417"/>
      <w:bookmarkStart w:id="418" w:name="_Toc15350"/>
      <w:bookmarkStart w:id="419" w:name="_Toc4260"/>
    </w:p>
    <w:p>
      <w:pPr>
        <w:pStyle w:val="4"/>
        <w:bidi w:val="0"/>
        <w:rPr>
          <w:rFonts w:hint="eastAsia"/>
          <w:lang w:val="zh-CN"/>
        </w:rPr>
      </w:pPr>
      <w:r>
        <w:rPr>
          <w:rFonts w:hint="eastAsia"/>
        </w:rPr>
        <w:t>1.</w:t>
      </w:r>
      <w:r>
        <w:rPr>
          <w:rFonts w:hint="eastAsia"/>
          <w:lang w:val="zh-CN"/>
        </w:rPr>
        <w:t>提高预算编制的准确性</w:t>
      </w:r>
      <w:bookmarkEnd w:id="418"/>
      <w:bookmarkEnd w:id="419"/>
    </w:p>
    <w:p>
      <w:pPr>
        <w:ind w:firstLine="640"/>
        <w:rPr>
          <w:rFonts w:hint="eastAsia" w:ascii="仿宋" w:hAnsi="仿宋" w:cs="仿宋"/>
          <w:szCs w:val="32"/>
        </w:rPr>
      </w:pPr>
      <w:r>
        <w:rPr>
          <w:rFonts w:hint="eastAsia" w:ascii="仿宋" w:hAnsi="仿宋" w:cs="仿宋"/>
          <w:szCs w:val="32"/>
        </w:rPr>
        <w:t>在预算期初，结合上年度资金使用情况及预计业务水平来编制预算，并在预算实施的过程中，根据情况调整预算，不断提高预算编制的准确性和精细性。</w:t>
      </w:r>
    </w:p>
    <w:p>
      <w:pPr>
        <w:pStyle w:val="4"/>
        <w:bidi w:val="0"/>
        <w:rPr>
          <w:rFonts w:hint="eastAsia"/>
        </w:rPr>
      </w:pPr>
      <w:r>
        <w:rPr>
          <w:rFonts w:hint="eastAsia"/>
        </w:rPr>
        <w:t>2.提升</w:t>
      </w:r>
      <w:r>
        <w:rPr>
          <w:rFonts w:hint="eastAsia"/>
          <w:lang w:val="en-US" w:eastAsia="zh-CN"/>
        </w:rPr>
        <w:t>绩效</w:t>
      </w:r>
      <w:r>
        <w:rPr>
          <w:rFonts w:hint="eastAsia"/>
        </w:rPr>
        <w:t>管理能力</w:t>
      </w:r>
    </w:p>
    <w:p>
      <w:pPr>
        <w:ind w:firstLine="640"/>
        <w:rPr>
          <w:rFonts w:hint="eastAsia" w:ascii="仿宋" w:hAnsi="仿宋" w:cs="仿宋"/>
          <w:szCs w:val="32"/>
        </w:rPr>
      </w:pPr>
      <w:r>
        <w:rPr>
          <w:rFonts w:hint="eastAsia" w:ascii="仿宋" w:hAnsi="仿宋" w:cs="仿宋"/>
          <w:szCs w:val="32"/>
        </w:rPr>
        <w:t>建立科学合理的绩效指标框架。健全绩效指标和规范体系，采用科学合理的评价指标和评价规范。</w:t>
      </w:r>
    </w:p>
    <w:p>
      <w:pPr>
        <w:ind w:firstLine="640"/>
        <w:rPr>
          <w:rFonts w:hint="eastAsia" w:ascii="仿宋" w:hAnsi="仿宋" w:cs="仿宋"/>
          <w:szCs w:val="32"/>
        </w:rPr>
      </w:pPr>
      <w:r>
        <w:rPr>
          <w:rFonts w:hint="eastAsia" w:ascii="仿宋" w:hAnsi="仿宋" w:cs="仿宋"/>
          <w:szCs w:val="32"/>
        </w:rPr>
        <w:t>加强绩效目标管理，对业务部门进行项目绩效目标申报、绩效目标实施与检查、绩效目标自评等全过程的业务培训，包括指标值的选取与设置、过程的监控和事后的绩效目标评价等内容，增强预算单位绩效目标管理意识和能力。</w:t>
      </w:r>
    </w:p>
    <w:p>
      <w:pPr>
        <w:pStyle w:val="4"/>
        <w:bidi w:val="0"/>
        <w:rPr>
          <w:rFonts w:hint="eastAsia"/>
        </w:rPr>
      </w:pPr>
      <w:r>
        <w:rPr>
          <w:rFonts w:hint="eastAsia"/>
          <w:lang w:val="en-US" w:eastAsia="zh-CN"/>
        </w:rPr>
        <w:t>3.</w:t>
      </w:r>
      <w:r>
        <w:rPr>
          <w:rFonts w:hint="eastAsia"/>
        </w:rPr>
        <w:t>规范报销流程</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熟悉公司的报销政策和标准，包括可报销的费用类型报销限额、所需单据等</w:t>
      </w:r>
      <w:r>
        <w:rPr>
          <w:rFonts w:hint="eastAsia" w:ascii="仿宋" w:hAnsi="仿宋" w:cs="仿宋"/>
          <w:b w:val="0"/>
          <w:bCs w:val="0"/>
          <w:sz w:val="32"/>
          <w:szCs w:val="32"/>
          <w:lang w:eastAsia="zh-CN"/>
        </w:rPr>
        <w:t>；</w:t>
      </w:r>
      <w:r>
        <w:rPr>
          <w:rFonts w:hint="eastAsia" w:ascii="仿宋" w:hAnsi="仿宋" w:eastAsia="仿宋" w:cs="仿宋"/>
          <w:b w:val="0"/>
          <w:bCs w:val="0"/>
          <w:sz w:val="32"/>
          <w:szCs w:val="32"/>
        </w:rPr>
        <w:t>确保所有相关费用单据齐全，如发票、收据、行程单等，并检查其真实性和有效性</w:t>
      </w:r>
      <w:r>
        <w:rPr>
          <w:rFonts w:hint="eastAsia" w:ascii="仿宋" w:hAnsi="仿宋" w:cs="仿宋"/>
          <w:b w:val="0"/>
          <w:bCs w:val="0"/>
          <w:sz w:val="32"/>
          <w:szCs w:val="32"/>
          <w:lang w:eastAsia="zh-CN"/>
        </w:rPr>
        <w:t>；</w:t>
      </w:r>
      <w:r>
        <w:rPr>
          <w:rFonts w:hint="eastAsia" w:ascii="仿宋" w:hAnsi="仿宋" w:eastAsia="仿宋" w:cs="仿宋"/>
          <w:b w:val="0"/>
          <w:bCs w:val="0"/>
          <w:sz w:val="32"/>
          <w:szCs w:val="32"/>
        </w:rPr>
        <w:t>定期对报销流程进行内部审计，确保合规性和效率</w:t>
      </w:r>
      <w:r>
        <w:rPr>
          <w:rFonts w:hint="eastAsia" w:ascii="仿宋" w:hAnsi="仿宋" w:eastAsia="仿宋" w:cs="仿宋"/>
          <w:b w:val="0"/>
          <w:bCs w:val="0"/>
          <w:sz w:val="32"/>
          <w:szCs w:val="32"/>
          <w:lang w:eastAsia="zh-CN"/>
        </w:rPr>
        <w:t>。</w:t>
      </w:r>
    </w:p>
    <w:p>
      <w:pPr>
        <w:pStyle w:val="4"/>
        <w:bidi w:val="0"/>
        <w:rPr>
          <w:rFonts w:hint="eastAsia"/>
        </w:rPr>
      </w:pPr>
      <w:bookmarkStart w:id="420" w:name="_Toc22259"/>
      <w:r>
        <w:rPr>
          <w:rFonts w:hint="eastAsia"/>
          <w:lang w:val="en-US" w:eastAsia="zh-CN"/>
        </w:rPr>
        <w:t>4.</w:t>
      </w:r>
      <w:r>
        <w:rPr>
          <w:rFonts w:hint="eastAsia"/>
        </w:rPr>
        <w:t>加强固定资产管理工作</w:t>
      </w:r>
      <w:bookmarkEnd w:id="420"/>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color w:val="000000"/>
          <w:kern w:val="0"/>
          <w:szCs w:val="32"/>
          <w:lang w:bidi="ar"/>
        </w:rPr>
        <w:t>建议完善单位国有资产管理办法，强化和落实资产管理责任；建议单位每季度、半年和年末组织开展资产清查，摸清行政事业单位国有资产家底，清点资产，及时调整账目，保障资产账账、账实相符，盘活闲置资产，提高资产利用率。</w:t>
      </w:r>
    </w:p>
    <w:p>
      <w:pPr>
        <w:pStyle w:val="2"/>
        <w:ind w:firstLine="640"/>
        <w:rPr>
          <w:rFonts w:hint="eastAsia"/>
        </w:rPr>
      </w:pPr>
      <w:bookmarkStart w:id="421" w:name="_Toc28380"/>
      <w:bookmarkStart w:id="422" w:name="_Toc18866"/>
      <w:bookmarkStart w:id="423" w:name="_Toc25438"/>
      <w:bookmarkStart w:id="424" w:name="_Toc27505"/>
      <w:bookmarkStart w:id="425" w:name="_Toc26803"/>
      <w:bookmarkStart w:id="426" w:name="_Toc12735"/>
      <w:bookmarkStart w:id="427" w:name="_Toc17837"/>
      <w:r>
        <w:rPr>
          <w:rFonts w:hint="eastAsia"/>
        </w:rPr>
        <w:fldChar w:fldCharType="begin"/>
      </w:r>
      <w:r>
        <w:rPr>
          <w:rFonts w:hint="eastAsia"/>
        </w:rPr>
        <w:instrText xml:space="preserve"> HYPERLINK \l "_Toc455996735" </w:instrText>
      </w:r>
      <w:r>
        <w:rPr>
          <w:rFonts w:hint="eastAsia"/>
        </w:rPr>
        <w:fldChar w:fldCharType="separate"/>
      </w:r>
      <w:r>
        <w:rPr>
          <w:rFonts w:hint="eastAsia"/>
        </w:rPr>
        <w:t>七、相关附件</w:t>
      </w:r>
      <w:r>
        <w:rPr>
          <w:rFonts w:hint="eastAsia"/>
        </w:rPr>
        <w:fldChar w:fldCharType="end"/>
      </w:r>
      <w:bookmarkEnd w:id="421"/>
      <w:bookmarkEnd w:id="422"/>
      <w:bookmarkEnd w:id="423"/>
      <w:bookmarkEnd w:id="424"/>
      <w:bookmarkEnd w:id="425"/>
      <w:bookmarkEnd w:id="426"/>
      <w:bookmarkEnd w:id="427"/>
    </w:p>
    <w:p>
      <w:pPr>
        <w:ind w:firstLine="640"/>
        <w:rPr>
          <w:rFonts w:hint="eastAsia" w:ascii="仿宋" w:hAnsi="仿宋" w:cs="仿宋"/>
          <w:szCs w:val="32"/>
        </w:rPr>
      </w:pPr>
      <w:r>
        <w:rPr>
          <w:rFonts w:hint="eastAsia" w:ascii="仿宋" w:hAnsi="仿宋" w:cs="仿宋"/>
          <w:szCs w:val="32"/>
        </w:rPr>
        <w:t>附件：遂宁高新区企业发展服务中心2023年度部门整体支出绩效</w:t>
      </w:r>
      <w:r>
        <w:rPr>
          <w:rFonts w:hint="eastAsia" w:ascii="仿宋" w:hAnsi="仿宋" w:cs="仿宋"/>
          <w:szCs w:val="32"/>
          <w:lang w:val="en-US" w:eastAsia="zh-CN"/>
        </w:rPr>
        <w:t>评分</w:t>
      </w:r>
      <w:r>
        <w:rPr>
          <w:rFonts w:hint="eastAsia" w:ascii="仿宋" w:hAnsi="仿宋" w:cs="仿宋"/>
          <w:szCs w:val="32"/>
        </w:rPr>
        <w:t>表</w:t>
      </w:r>
    </w:p>
    <w:p>
      <w:pPr>
        <w:pStyle w:val="25"/>
      </w:pPr>
    </w:p>
    <w:p>
      <w:pPr>
        <w:pStyle w:val="25"/>
      </w:pPr>
    </w:p>
    <w:p>
      <w:pPr>
        <w:pStyle w:val="17"/>
        <w:spacing w:before="0" w:beforeLines="0" w:after="0" w:afterLines="0" w:line="600" w:lineRule="exact"/>
        <w:rPr>
          <w:rFonts w:hint="eastAsia" w:ascii="宋体" w:hAnsi="宋体"/>
        </w:rPr>
      </w:pPr>
      <w:bookmarkStart w:id="428" w:name="_Toc20879"/>
      <w:bookmarkStart w:id="429" w:name="_Toc19821"/>
      <w:bookmarkStart w:id="430" w:name="_Toc15073"/>
      <w:bookmarkStart w:id="431" w:name="_Toc17268"/>
      <w:bookmarkStart w:id="432" w:name="_Toc21876"/>
      <w:bookmarkStart w:id="433" w:name="_Toc14015"/>
      <w:bookmarkStart w:id="434" w:name="_Toc22934"/>
      <w:bookmarkStart w:id="435" w:name="_Toc10160"/>
      <w:bookmarkStart w:id="436" w:name="_Toc18049"/>
      <w:r>
        <w:rPr>
          <w:rFonts w:hint="eastAsia" w:ascii="宋体" w:hAnsi="宋体"/>
        </w:rPr>
        <w:t>遂宁市船山区保升乡初级中学校</w:t>
      </w:r>
      <w:bookmarkEnd w:id="428"/>
      <w:bookmarkEnd w:id="429"/>
      <w:bookmarkEnd w:id="430"/>
    </w:p>
    <w:p>
      <w:pPr>
        <w:pStyle w:val="17"/>
        <w:spacing w:before="0" w:beforeLines="0" w:after="0" w:afterLines="0" w:line="600" w:lineRule="exact"/>
        <w:rPr>
          <w:rFonts w:hint="eastAsia" w:ascii="宋体" w:hAnsi="宋体"/>
        </w:rPr>
      </w:pPr>
      <w:bookmarkStart w:id="437" w:name="_Toc16236"/>
      <w:bookmarkStart w:id="438" w:name="_Toc8225"/>
      <w:bookmarkStart w:id="439" w:name="_Toc13827"/>
      <w:r>
        <w:rPr>
          <w:rFonts w:hint="eastAsia" w:ascii="宋体" w:hAnsi="宋体"/>
        </w:rPr>
        <w:t>2023年度部门整体支出</w:t>
      </w:r>
      <w:bookmarkEnd w:id="431"/>
      <w:bookmarkEnd w:id="432"/>
      <w:bookmarkEnd w:id="433"/>
      <w:bookmarkEnd w:id="434"/>
      <w:bookmarkEnd w:id="435"/>
      <w:bookmarkEnd w:id="436"/>
      <w:bookmarkEnd w:id="437"/>
      <w:bookmarkEnd w:id="438"/>
      <w:bookmarkEnd w:id="439"/>
    </w:p>
    <w:p>
      <w:pPr>
        <w:pStyle w:val="17"/>
        <w:spacing w:before="0" w:beforeLines="0" w:after="240" w:line="600" w:lineRule="exact"/>
        <w:rPr>
          <w:rFonts w:hint="eastAsia" w:ascii="宋体" w:hAnsi="宋体"/>
        </w:rPr>
      </w:pPr>
      <w:bookmarkStart w:id="440" w:name="_Toc10198"/>
      <w:bookmarkStart w:id="441" w:name="_Toc683"/>
      <w:bookmarkStart w:id="442" w:name="_Toc9862"/>
      <w:bookmarkStart w:id="443" w:name="_Toc19224"/>
      <w:bookmarkStart w:id="444" w:name="_Toc10247"/>
      <w:bookmarkStart w:id="445" w:name="_Toc12319"/>
      <w:bookmarkStart w:id="446" w:name="_Toc27292"/>
      <w:bookmarkStart w:id="447" w:name="_Toc20382"/>
      <w:bookmarkStart w:id="448" w:name="_Toc6408"/>
      <w:r>
        <w:rPr>
          <w:rFonts w:hint="eastAsia" w:ascii="宋体" w:hAnsi="宋体"/>
        </w:rPr>
        <w:t>绩效评价报告</w:t>
      </w:r>
      <w:bookmarkEnd w:id="440"/>
      <w:bookmarkEnd w:id="441"/>
      <w:bookmarkEnd w:id="442"/>
      <w:bookmarkEnd w:id="443"/>
      <w:bookmarkEnd w:id="444"/>
      <w:bookmarkEnd w:id="445"/>
      <w:bookmarkEnd w:id="446"/>
      <w:bookmarkEnd w:id="447"/>
      <w:bookmarkEnd w:id="448"/>
    </w:p>
    <w:p>
      <w:pPr>
        <w:pStyle w:val="17"/>
        <w:spacing w:before="0" w:beforeLines="0" w:after="0" w:afterLines="0"/>
        <w:rPr>
          <w:rFonts w:hint="eastAsia" w:ascii="黑体" w:hAnsi="黑体" w:eastAsia="黑体" w:cs="黑体"/>
          <w:szCs w:val="44"/>
        </w:rPr>
      </w:pPr>
      <w:bookmarkStart w:id="449" w:name="_Toc705"/>
      <w:bookmarkStart w:id="450" w:name="_Toc16433"/>
      <w:bookmarkStart w:id="451" w:name="_Toc3307"/>
      <w:bookmarkStart w:id="452" w:name="_Toc30722"/>
      <w:r>
        <w:rPr>
          <w:rFonts w:hint="eastAsia" w:ascii="黑体" w:hAnsi="黑体" w:eastAsia="黑体" w:cs="黑体"/>
          <w:szCs w:val="44"/>
        </w:rPr>
        <w:t>摘要</w:t>
      </w:r>
      <w:bookmarkEnd w:id="449"/>
      <w:bookmarkEnd w:id="450"/>
      <w:bookmarkEnd w:id="451"/>
      <w:bookmarkEnd w:id="452"/>
    </w:p>
    <w:p>
      <w:pPr>
        <w:ind w:firstLine="668"/>
        <w:rPr>
          <w:rFonts w:ascii="黑体" w:hAnsi="黑体" w:eastAsia="黑体" w:cs="宋体"/>
          <w:spacing w:val="7"/>
          <w:szCs w:val="32"/>
        </w:rPr>
      </w:pPr>
      <w:r>
        <w:rPr>
          <w:rFonts w:ascii="黑体" w:hAnsi="黑体" w:eastAsia="黑体" w:cs="宋体"/>
          <w:spacing w:val="7"/>
          <w:szCs w:val="32"/>
        </w:rPr>
        <w:t>部门概述</w:t>
      </w:r>
    </w:p>
    <w:p>
      <w:pPr>
        <w:bidi w:val="0"/>
        <w:rPr>
          <w:rFonts w:hint="eastAsia" w:ascii="仿宋" w:hAnsi="仿宋" w:eastAsia="仿宋" w:cs="仿宋"/>
        </w:rPr>
      </w:pPr>
      <w:r>
        <w:rPr>
          <w:rFonts w:hint="eastAsia" w:ascii="仿宋" w:hAnsi="仿宋" w:eastAsia="仿宋" w:cs="仿宋"/>
        </w:rPr>
        <w:t>遂宁市船山区保升乡初级中学校，是经遂宁市机构编制委员会批准成立的独立法人机构。是遂宁高新技术产业园区管理委员会社会事业与群众管理局领导下的一所单设公立初中学校。学校性质为公益一类事业单位。学校位于遂宁市高新区保升镇保升街125号。</w:t>
      </w:r>
    </w:p>
    <w:p>
      <w:pPr>
        <w:ind w:firstLine="640"/>
        <w:rPr>
          <w:rFonts w:hint="eastAsia" w:ascii="仿宋" w:hAnsi="仿宋" w:cs="仿宋"/>
          <w:lang w:val="zh-CN"/>
        </w:rPr>
      </w:pPr>
      <w:r>
        <w:rPr>
          <w:rFonts w:hint="eastAsia" w:ascii="仿宋" w:hAnsi="仿宋" w:cs="仿宋"/>
        </w:rPr>
        <w:t>遂宁市船山区保升乡初级中学校</w:t>
      </w:r>
      <w:r>
        <w:rPr>
          <w:rFonts w:hint="eastAsia" w:ascii="仿宋" w:hAnsi="仿宋" w:cs="仿宋"/>
          <w:lang w:val="zh-CN"/>
        </w:rPr>
        <w:t>内设行政办公室、财务室、教导处、教研室、德育处、体艺部、安全办等</w:t>
      </w:r>
      <w:r>
        <w:rPr>
          <w:rFonts w:hint="eastAsia" w:ascii="仿宋" w:hAnsi="仿宋" w:cs="仿宋"/>
        </w:rPr>
        <w:t>7</w:t>
      </w:r>
      <w:r>
        <w:rPr>
          <w:rFonts w:hint="eastAsia" w:ascii="仿宋" w:hAnsi="仿宋" w:cs="仿宋"/>
          <w:lang w:val="zh-CN"/>
        </w:rPr>
        <w:t>个部门。</w:t>
      </w:r>
    </w:p>
    <w:p>
      <w:pPr>
        <w:ind w:firstLine="668"/>
        <w:rPr>
          <w:rFonts w:ascii="黑体" w:hAnsi="黑体" w:eastAsia="黑体" w:cs="宋体"/>
          <w:spacing w:val="7"/>
          <w:szCs w:val="32"/>
        </w:rPr>
      </w:pPr>
      <w:r>
        <w:rPr>
          <w:rFonts w:ascii="黑体" w:hAnsi="黑体" w:eastAsia="黑体" w:cs="宋体"/>
          <w:spacing w:val="7"/>
          <w:szCs w:val="32"/>
        </w:rPr>
        <w:t>评价结论</w:t>
      </w:r>
    </w:p>
    <w:p>
      <w:pPr>
        <w:ind w:firstLine="640"/>
        <w:rPr>
          <w:rFonts w:hint="eastAsia" w:ascii="仿宋" w:hAnsi="仿宋" w:cs="仿宋"/>
        </w:rPr>
      </w:pPr>
      <w:r>
        <w:rPr>
          <w:rFonts w:hint="eastAsia" w:ascii="仿宋" w:hAnsi="仿宋" w:cs="仿宋"/>
        </w:rPr>
        <w:t>2023年度遂宁市船山区保升乡初级中学校按规定编报了部门绩效目标，目标设立合理，符合绩效管理相关规定，与地区发展规划的目标方向一致，相应工作内容与三定方案确定的职责相契合。目标管理不足，个别指标设置不够明确、细化和量化。遂宁市船山区保升乡初级中学校制定了中长期发展规划和年度工作任务及目标，截至年底完成了年度各项工作任务，实现了部门绩效总体目标和各项指标。遂宁市船山区保升乡初级中学校紧抓预算管理和执行，2023年度较好地完成了部门预算支出。三公经费未做预算安排，无实际支出，控制良好。遂宁市船山区保升乡初级中学校制定了各项内部管理制度，基本能够得到实施，但部分制度未完全执行，制度执行的有效性还有待加强。财务核算能够做到完整、准确、合规，但财务资料需要进一步规范。相关资产管理工作存在不足。2023年度遂宁市船山区保升乡初级中学校各项工作任务均已顺利完成，较好地履行了部门工作职责。遂宁市船山区保升乡初级中学校工作的完成发挥了相应的社会效益，群众满意度总体较高。</w:t>
      </w:r>
    </w:p>
    <w:p>
      <w:pPr>
        <w:ind w:firstLine="640"/>
        <w:rPr>
          <w:rFonts w:hint="eastAsia" w:ascii="仿宋" w:hAnsi="仿宋" w:cs="仿宋"/>
          <w:szCs w:val="32"/>
        </w:rPr>
      </w:pPr>
      <w:r>
        <w:rPr>
          <w:rFonts w:hint="eastAsia" w:ascii="仿宋" w:hAnsi="仿宋" w:cs="仿宋"/>
          <w:szCs w:val="32"/>
        </w:rPr>
        <w:t>经综合评议，</w:t>
      </w:r>
      <w:r>
        <w:rPr>
          <w:rFonts w:hint="eastAsia" w:ascii="仿宋" w:hAnsi="仿宋" w:cs="仿宋"/>
          <w:bCs/>
          <w:kern w:val="0"/>
          <w:szCs w:val="32"/>
          <w:shd w:val="clear" w:color="auto" w:fill="FFFFFF"/>
        </w:rPr>
        <w:t>遂宁市船山区保升乡初级中学校</w:t>
      </w:r>
      <w:r>
        <w:rPr>
          <w:rFonts w:hint="eastAsia" w:ascii="仿宋" w:hAnsi="仿宋" w:cs="仿宋"/>
          <w:szCs w:val="32"/>
        </w:rPr>
        <w:t>2023年度部门整体支出绩效评价综合得分88.00分，综合绩效评定结论为“良”。</w:t>
      </w:r>
    </w:p>
    <w:p>
      <w:pPr>
        <w:ind w:firstLine="668"/>
        <w:rPr>
          <w:rFonts w:ascii="黑体" w:hAnsi="黑体" w:eastAsia="黑体" w:cs="宋体"/>
          <w:spacing w:val="7"/>
          <w:szCs w:val="32"/>
        </w:rPr>
      </w:pPr>
      <w:r>
        <w:rPr>
          <w:rFonts w:ascii="黑体" w:hAnsi="黑体" w:eastAsia="黑体" w:cs="宋体"/>
          <w:spacing w:val="7"/>
          <w:szCs w:val="32"/>
        </w:rPr>
        <w:t>绩效分析</w:t>
      </w:r>
    </w:p>
    <w:p>
      <w:pPr>
        <w:ind w:firstLine="640"/>
        <w:rPr>
          <w:rFonts w:hint="eastAsia" w:ascii="仿宋" w:hAnsi="仿宋" w:cs="仿宋"/>
          <w:spacing w:val="5"/>
          <w:szCs w:val="32"/>
          <w:highlight w:val="yellow"/>
        </w:rPr>
      </w:pPr>
      <w:r>
        <w:rPr>
          <w:rFonts w:hint="eastAsia" w:ascii="仿宋" w:hAnsi="仿宋" w:cs="仿宋"/>
          <w:bCs/>
          <w:kern w:val="0"/>
          <w:szCs w:val="32"/>
          <w:shd w:val="clear" w:color="auto" w:fill="FFFFFF"/>
        </w:rPr>
        <w:t>遂宁市船山区保升乡初级中学校2023年度投入指标预算编制程序合规，能够按照管理要求申报，预算配置科学合理，能够较好完成全年预算，预算执行情况良好。</w:t>
      </w:r>
      <w:r>
        <w:rPr>
          <w:rFonts w:hint="eastAsia"/>
        </w:rPr>
        <w:t>但是也发现个别指标设置</w:t>
      </w:r>
      <w:r>
        <w:rPr>
          <w:rFonts w:hint="eastAsia" w:ascii="仿宋" w:hAnsi="仿宋" w:cs="仿宋"/>
          <w:bCs/>
          <w:kern w:val="0"/>
          <w:szCs w:val="32"/>
          <w:shd w:val="clear" w:color="auto" w:fill="FFFFFF"/>
        </w:rPr>
        <w:t>不够细化、量化、可衡量。投入指标总分20.00分，得分为17.00分，得分率85.00%。过程指标预算执行总体</w:t>
      </w:r>
      <w:r>
        <w:rPr>
          <w:rFonts w:hint="eastAsia"/>
        </w:rPr>
        <w:t>情况较好</w:t>
      </w:r>
      <w:r>
        <w:rPr>
          <w:rFonts w:hint="eastAsia" w:ascii="仿宋" w:hAnsi="仿宋" w:cs="仿宋"/>
          <w:bCs/>
          <w:kern w:val="0"/>
          <w:szCs w:val="32"/>
          <w:shd w:val="clear" w:color="auto" w:fill="FFFFFF"/>
        </w:rPr>
        <w:t>，预算管理工作能够做到管理有效控制到位，预算准确性有待提高，会计信息质量控制有待提高，基本达到客观真实核算和监督单位实际收支</w:t>
      </w:r>
      <w:r>
        <w:rPr>
          <w:rFonts w:hint="eastAsia"/>
        </w:rPr>
        <w:t>的要求</w:t>
      </w:r>
      <w:r>
        <w:rPr>
          <w:rFonts w:hint="eastAsia" w:ascii="仿宋" w:hAnsi="仿宋" w:cs="仿宋"/>
          <w:bCs/>
          <w:kern w:val="0"/>
          <w:szCs w:val="32"/>
          <w:shd w:val="clear" w:color="auto" w:fill="FFFFFF"/>
        </w:rPr>
        <w:t>，资产管理工作存在不足。过程指标总分30.00分，得分为24.00分，得分率80.00%。产出指标完成情况良好。遂宁市船山区保升乡初级中学校2023年度圆满地完成了当年工作任务，相关成果数量和质量都达到绩效目标值。单位履职管理工作成绩稳中有进，</w:t>
      </w:r>
      <w:r>
        <w:rPr>
          <w:rFonts w:hint="eastAsia" w:ascii="仿宋" w:hAnsi="仿宋" w:cs="仿宋"/>
          <w:szCs w:val="32"/>
          <w:lang w:bidi="ar"/>
        </w:rPr>
        <w:t>学校硬件得到较大改善，教师及学生素养获得提升，社会美誉度和影响力得到较好彰显</w:t>
      </w:r>
      <w:r>
        <w:rPr>
          <w:rFonts w:hint="eastAsia" w:ascii="仿宋" w:hAnsi="仿宋" w:cs="仿宋"/>
          <w:bCs/>
          <w:kern w:val="0"/>
          <w:szCs w:val="32"/>
          <w:shd w:val="clear" w:color="auto" w:fill="FFFFFF"/>
        </w:rPr>
        <w:t>。</w:t>
      </w:r>
      <w:r>
        <w:rPr>
          <w:rFonts w:hint="eastAsia" w:ascii="仿宋" w:hAnsi="仿宋" w:cs="仿宋"/>
          <w:spacing w:val="5"/>
          <w:szCs w:val="32"/>
        </w:rPr>
        <w:t>产出指标总分30.00分，得分为30.00分，得分率100.00%。效益指标实现情况良好，</w:t>
      </w:r>
      <w:r>
        <w:rPr>
          <w:rFonts w:hint="eastAsia" w:ascii="仿宋" w:hAnsi="仿宋" w:cs="仿宋"/>
          <w:bCs/>
          <w:kern w:val="0"/>
          <w:szCs w:val="32"/>
          <w:shd w:val="clear" w:color="auto" w:fill="FFFFFF"/>
        </w:rPr>
        <w:t>遂宁市船山区保升乡初级中学校2023</w:t>
      </w:r>
      <w:r>
        <w:rPr>
          <w:rFonts w:hint="eastAsia" w:ascii="仿宋" w:hAnsi="仿宋" w:cs="仿宋"/>
          <w:spacing w:val="5"/>
          <w:szCs w:val="32"/>
        </w:rPr>
        <w:t>年度的工作开展和政策施行产生了一定的社会效益，调查对象总体满意度较高。但</w:t>
      </w:r>
      <w:r>
        <w:rPr>
          <w:rFonts w:hint="eastAsia" w:ascii="仿宋" w:hAnsi="仿宋" w:cs="仿宋"/>
          <w:szCs w:val="32"/>
          <w:lang w:bidi="ar"/>
        </w:rPr>
        <w:t>品牌影响力较弱，社会</w:t>
      </w:r>
      <w:r>
        <w:rPr>
          <w:rFonts w:hint="eastAsia"/>
        </w:rPr>
        <w:t>认可度</w:t>
      </w:r>
      <w:r>
        <w:rPr>
          <w:rFonts w:hint="eastAsia" w:ascii="仿宋" w:hAnsi="仿宋" w:cs="仿宋"/>
          <w:szCs w:val="32"/>
          <w:lang w:bidi="ar"/>
        </w:rPr>
        <w:t>有待进一步提升。教育改革滞后，需更新教育理念。</w:t>
      </w:r>
      <w:r>
        <w:rPr>
          <w:rFonts w:hint="eastAsia" w:ascii="仿宋" w:hAnsi="仿宋" w:cs="仿宋"/>
          <w:spacing w:val="5"/>
          <w:szCs w:val="32"/>
        </w:rPr>
        <w:t>效益指标总分20.00分，得分17.00分，得分率85.00%。</w:t>
      </w:r>
    </w:p>
    <w:p>
      <w:pPr>
        <w:ind w:firstLine="640"/>
        <w:rPr>
          <w:rFonts w:hint="eastAsia" w:ascii="黑体" w:hAnsi="黑体" w:eastAsia="黑体" w:cs="黑体"/>
        </w:rPr>
      </w:pPr>
      <w:r>
        <w:rPr>
          <w:rFonts w:hint="eastAsia" w:ascii="黑体" w:hAnsi="黑体" w:eastAsia="黑体" w:cs="黑体"/>
        </w:rPr>
        <w:t>存在问题及建议</w:t>
      </w:r>
    </w:p>
    <w:p>
      <w:pPr>
        <w:ind w:firstLine="640"/>
        <w:rPr>
          <w:rFonts w:hint="eastAsia"/>
        </w:rPr>
      </w:pPr>
      <w:r>
        <w:rPr>
          <w:rFonts w:hint="eastAsia"/>
        </w:rPr>
        <w:t>主要存在三个方面问题：一是年</w:t>
      </w:r>
      <w:r>
        <w:rPr>
          <w:rFonts w:hint="eastAsia"/>
          <w:lang w:eastAsia="zh-Hans"/>
        </w:rPr>
        <w:t>初预算编制不</w:t>
      </w:r>
      <w:r>
        <w:rPr>
          <w:rFonts w:hint="eastAsia"/>
        </w:rPr>
        <w:t>够</w:t>
      </w:r>
      <w:r>
        <w:rPr>
          <w:rFonts w:hint="eastAsia"/>
          <w:lang w:eastAsia="zh-Hans"/>
        </w:rPr>
        <w:t>准确</w:t>
      </w:r>
      <w:r>
        <w:rPr>
          <w:rFonts w:hint="eastAsia"/>
        </w:rPr>
        <w:t>、绩效目标指标设置不够细化量化可衡量；二是</w:t>
      </w:r>
      <w:r>
        <w:rPr>
          <w:rFonts w:hint="eastAsia"/>
          <w:lang w:eastAsia="zh-Hans"/>
        </w:rPr>
        <w:t>固定资产管理不规范</w:t>
      </w:r>
      <w:r>
        <w:rPr>
          <w:rFonts w:hint="eastAsia"/>
        </w:rPr>
        <w:t>；三是会计信息质量控制有待提高。</w:t>
      </w:r>
    </w:p>
    <w:p>
      <w:pPr>
        <w:ind w:firstLine="640"/>
        <w:rPr>
          <w:rFonts w:hint="eastAsia"/>
        </w:rPr>
      </w:pPr>
      <w:r>
        <w:rPr>
          <w:rFonts w:hint="eastAsia"/>
        </w:rPr>
        <w:t>建议科学精准</w:t>
      </w:r>
      <w:r>
        <w:rPr>
          <w:rFonts w:hint="eastAsia"/>
          <w:lang w:eastAsia="zh-Hans"/>
        </w:rPr>
        <w:t>编制预算，加强资金</w:t>
      </w:r>
      <w:r>
        <w:rPr>
          <w:rFonts w:hint="eastAsia"/>
        </w:rPr>
        <w:t>收支</w:t>
      </w:r>
      <w:r>
        <w:rPr>
          <w:rFonts w:hint="eastAsia"/>
          <w:lang w:eastAsia="zh-Hans"/>
        </w:rPr>
        <w:t>管理</w:t>
      </w:r>
      <w:r>
        <w:rPr>
          <w:rFonts w:hint="eastAsia"/>
        </w:rPr>
        <w:t>，细化工作内容，量化工作目标；</w:t>
      </w:r>
      <w:r>
        <w:rPr>
          <w:rFonts w:hint="eastAsia"/>
          <w:lang w:eastAsia="zh-Hans"/>
        </w:rPr>
        <w:t>规范</w:t>
      </w:r>
      <w:r>
        <w:rPr>
          <w:rFonts w:hint="eastAsia"/>
        </w:rPr>
        <w:t>固定</w:t>
      </w:r>
      <w:r>
        <w:rPr>
          <w:rFonts w:hint="eastAsia"/>
          <w:lang w:eastAsia="zh-Hans"/>
        </w:rPr>
        <w:t>资产管理</w:t>
      </w:r>
      <w:r>
        <w:rPr>
          <w:rFonts w:hint="eastAsia"/>
        </w:rPr>
        <w:t>工作；加强会计信息质量控制</w:t>
      </w:r>
      <w:r>
        <w:rPr>
          <w:rFonts w:hint="eastAsia"/>
          <w:lang w:eastAsia="zh-Hans"/>
        </w:rPr>
        <w:t>。</w:t>
      </w:r>
    </w:p>
    <w:p>
      <w:pPr>
        <w:spacing w:before="240" w:beforeLines="100"/>
        <w:ind w:firstLine="0" w:firstLineChars="0"/>
        <w:jc w:val="center"/>
        <w:outlineLvl w:val="0"/>
        <w:rPr>
          <w:rFonts w:hint="eastAsia" w:ascii="宋体" w:hAnsi="宋体" w:eastAsia="宋体" w:cs="宋体"/>
          <w:b/>
          <w:kern w:val="0"/>
          <w:sz w:val="44"/>
          <w:szCs w:val="44"/>
          <w:shd w:val="clear" w:color="auto" w:fill="FFFFFF"/>
        </w:rPr>
      </w:pPr>
      <w:r>
        <w:rPr>
          <w:rFonts w:hint="eastAsia" w:ascii="仿宋" w:hAnsi="仿宋" w:cs="仿宋"/>
          <w:spacing w:val="5"/>
          <w:szCs w:val="32"/>
        </w:rPr>
        <w:br w:type="page"/>
      </w:r>
      <w:bookmarkStart w:id="453" w:name="_Toc12677"/>
      <w:r>
        <w:rPr>
          <w:rFonts w:hint="eastAsia" w:ascii="宋体" w:hAnsi="宋体" w:eastAsia="宋体" w:cs="宋体"/>
          <w:b/>
          <w:kern w:val="0"/>
          <w:sz w:val="44"/>
          <w:szCs w:val="44"/>
          <w:shd w:val="clear" w:color="auto" w:fill="FFFFFF"/>
        </w:rPr>
        <w:t>遂宁市船山区保升乡初级中学校</w:t>
      </w:r>
      <w:bookmarkEnd w:id="453"/>
    </w:p>
    <w:p>
      <w:pPr>
        <w:ind w:firstLine="0" w:firstLineChars="0"/>
        <w:jc w:val="center"/>
        <w:rPr>
          <w:rFonts w:ascii="宋体" w:hAnsi="宋体" w:eastAsia="宋体" w:cs="黑体"/>
          <w:b/>
          <w:spacing w:val="8"/>
          <w:position w:val="2"/>
          <w:sz w:val="44"/>
          <w:szCs w:val="44"/>
        </w:rPr>
      </w:pPr>
      <w:r>
        <w:rPr>
          <w:rFonts w:hint="eastAsia" w:ascii="宋体" w:hAnsi="宋体" w:eastAsia="宋体" w:cs="宋体"/>
          <w:b/>
          <w:kern w:val="0"/>
          <w:sz w:val="44"/>
          <w:szCs w:val="44"/>
          <w:shd w:val="clear" w:color="auto" w:fill="FFFFFF"/>
        </w:rPr>
        <w:t>2023</w:t>
      </w:r>
      <w:r>
        <w:rPr>
          <w:rFonts w:hint="eastAsia" w:ascii="宋体" w:hAnsi="宋体" w:eastAsia="宋体" w:cs="黑体"/>
          <w:b/>
          <w:spacing w:val="8"/>
          <w:position w:val="2"/>
          <w:sz w:val="44"/>
          <w:szCs w:val="44"/>
        </w:rPr>
        <w:t>年度</w:t>
      </w:r>
      <w:r>
        <w:rPr>
          <w:rFonts w:ascii="宋体" w:hAnsi="宋体" w:eastAsia="宋体" w:cs="黑体"/>
          <w:b/>
          <w:spacing w:val="8"/>
          <w:position w:val="2"/>
          <w:sz w:val="44"/>
          <w:szCs w:val="44"/>
        </w:rPr>
        <w:t>部门整体支出</w:t>
      </w:r>
    </w:p>
    <w:p>
      <w:pPr>
        <w:spacing w:after="240" w:afterLines="100"/>
        <w:ind w:firstLine="0" w:firstLineChars="0"/>
        <w:jc w:val="center"/>
        <w:rPr>
          <w:rFonts w:ascii="宋体" w:hAnsi="宋体" w:eastAsia="宋体" w:cs="黑体"/>
          <w:b/>
          <w:spacing w:val="8"/>
          <w:position w:val="2"/>
          <w:sz w:val="44"/>
          <w:szCs w:val="44"/>
        </w:rPr>
      </w:pPr>
      <w:r>
        <w:rPr>
          <w:rFonts w:ascii="宋体" w:hAnsi="宋体" w:eastAsia="宋体" w:cs="黑体"/>
          <w:b/>
          <w:spacing w:val="8"/>
          <w:position w:val="2"/>
          <w:sz w:val="44"/>
          <w:szCs w:val="44"/>
        </w:rPr>
        <w:t>绩效评价报告</w:t>
      </w:r>
    </w:p>
    <w:p>
      <w:pPr>
        <w:pStyle w:val="2"/>
        <w:numPr>
          <w:ilvl w:val="0"/>
          <w:numId w:val="2"/>
        </w:numPr>
        <w:ind w:firstLine="640"/>
        <w:rPr>
          <w:rFonts w:hint="eastAsia"/>
          <w:b w:val="0"/>
          <w:bCs w:val="0"/>
        </w:rPr>
      </w:pPr>
      <w:bookmarkStart w:id="454" w:name="_Toc20825"/>
      <w:bookmarkStart w:id="455" w:name="_Toc32356"/>
      <w:bookmarkStart w:id="456" w:name="_Toc31777"/>
      <w:bookmarkStart w:id="457" w:name="_Toc569"/>
      <w:r>
        <w:rPr>
          <w:rFonts w:hint="eastAsia"/>
          <w:b w:val="0"/>
          <w:bCs w:val="0"/>
        </w:rPr>
        <w:t>单位基本情况</w:t>
      </w:r>
      <w:bookmarkEnd w:id="454"/>
      <w:bookmarkEnd w:id="455"/>
      <w:bookmarkEnd w:id="456"/>
      <w:bookmarkEnd w:id="457"/>
    </w:p>
    <w:p>
      <w:pPr>
        <w:pStyle w:val="3"/>
        <w:ind w:firstLine="643"/>
        <w:rPr>
          <w:rFonts w:hint="eastAsia"/>
        </w:rPr>
      </w:pPr>
      <w:bookmarkStart w:id="458" w:name="_Toc18816"/>
      <w:bookmarkStart w:id="459" w:name="_Toc3185"/>
      <w:bookmarkStart w:id="460" w:name="_Toc26907"/>
      <w:bookmarkStart w:id="461" w:name="_Toc28946"/>
      <w:r>
        <w:rPr>
          <w:rFonts w:hint="eastAsia"/>
        </w:rPr>
        <w:t>（一）部门（单位）概况</w:t>
      </w:r>
      <w:bookmarkEnd w:id="458"/>
      <w:bookmarkEnd w:id="459"/>
      <w:bookmarkEnd w:id="460"/>
      <w:bookmarkEnd w:id="461"/>
    </w:p>
    <w:p>
      <w:pPr>
        <w:pStyle w:val="4"/>
        <w:ind w:firstLine="643"/>
        <w:rPr>
          <w:rFonts w:hint="eastAsia"/>
        </w:rPr>
      </w:pPr>
      <w:bookmarkStart w:id="462" w:name="_Toc13802"/>
      <w:bookmarkStart w:id="463" w:name="_Toc27440"/>
      <w:bookmarkStart w:id="464" w:name="_Toc1095"/>
      <w:r>
        <w:rPr>
          <w:rFonts w:hint="eastAsia" w:ascii="楷体" w:hAnsi="楷体" w:cs="楷体"/>
        </w:rPr>
        <w:t>1.</w:t>
      </w:r>
      <w:r>
        <w:rPr>
          <w:rFonts w:hint="eastAsia"/>
        </w:rPr>
        <w:t>单位概况</w:t>
      </w:r>
      <w:bookmarkEnd w:id="462"/>
      <w:bookmarkEnd w:id="463"/>
      <w:bookmarkEnd w:id="464"/>
    </w:p>
    <w:p>
      <w:pPr>
        <w:ind w:firstLine="640"/>
        <w:rPr>
          <w:rFonts w:hint="eastAsia" w:ascii="仿宋" w:hAnsi="仿宋" w:cs="仿宋"/>
        </w:rPr>
      </w:pPr>
      <w:r>
        <w:rPr>
          <w:rFonts w:hint="eastAsia" w:ascii="仿宋" w:hAnsi="仿宋" w:cs="仿宋"/>
        </w:rPr>
        <w:t>遂宁市船山区保升乡初级中学校（以下简称“保升初中”）</w:t>
      </w:r>
      <w:r>
        <w:rPr>
          <w:rFonts w:hint="eastAsia" w:ascii="仿宋" w:hAnsi="仿宋" w:cs="仿宋"/>
          <w:lang w:val="zh-CN"/>
        </w:rPr>
        <w:t>为</w:t>
      </w:r>
      <w:r>
        <w:rPr>
          <w:rFonts w:hint="eastAsia" w:ascii="仿宋" w:hAnsi="仿宋" w:cs="仿宋"/>
        </w:rPr>
        <w:t>遂宁市机构编制委员会批准成立的独立法人机构，</w:t>
      </w:r>
      <w:r>
        <w:rPr>
          <w:rFonts w:hint="eastAsia" w:ascii="仿宋" w:hAnsi="仿宋" w:cs="仿宋"/>
          <w:lang w:val="zh-CN"/>
        </w:rPr>
        <w:t>属</w:t>
      </w:r>
      <w:r>
        <w:rPr>
          <w:rFonts w:hint="eastAsia" w:ascii="仿宋" w:hAnsi="仿宋" w:cs="仿宋"/>
        </w:rPr>
        <w:t>公益一类事业单位，是经费独立核算单位</w:t>
      </w:r>
      <w:r>
        <w:rPr>
          <w:rFonts w:hint="eastAsia" w:ascii="仿宋" w:hAnsi="仿宋" w:cs="仿宋"/>
          <w:lang w:val="zh-CN"/>
        </w:rPr>
        <w:t>，</w:t>
      </w:r>
      <w:r>
        <w:rPr>
          <w:rFonts w:hint="eastAsia" w:ascii="仿宋" w:hAnsi="仿宋" w:cs="仿宋"/>
        </w:rPr>
        <w:t>无下属二级预算单位。保升初中坐落于遂宁市</w:t>
      </w:r>
      <w:r>
        <w:rPr>
          <w:rFonts w:hint="eastAsia" w:ascii="仿宋" w:hAnsi="仿宋" w:cs="仿宋"/>
          <w:lang w:val="zh-CN"/>
        </w:rPr>
        <w:t>高新区</w:t>
      </w:r>
      <w:r>
        <w:rPr>
          <w:rFonts w:hint="eastAsia" w:ascii="仿宋" w:hAnsi="仿宋" w:cs="仿宋"/>
        </w:rPr>
        <w:t>保升镇保升街125号。是遂宁高新技术产业园区管理委员会社会事业与群众管理局领导下的一所单设初中学校。</w:t>
      </w:r>
    </w:p>
    <w:p>
      <w:pPr>
        <w:pStyle w:val="4"/>
        <w:ind w:firstLine="643"/>
        <w:rPr>
          <w:rFonts w:hint="eastAsia"/>
        </w:rPr>
      </w:pPr>
      <w:bookmarkStart w:id="465" w:name="_Toc3235"/>
      <w:bookmarkStart w:id="466" w:name="_Toc21099"/>
      <w:bookmarkStart w:id="467" w:name="_Toc7314"/>
      <w:r>
        <w:rPr>
          <w:rFonts w:hint="eastAsia" w:ascii="楷体" w:hAnsi="楷体" w:cs="楷体"/>
        </w:rPr>
        <w:t>2.</w:t>
      </w:r>
      <w:r>
        <w:rPr>
          <w:rFonts w:hint="eastAsia"/>
        </w:rPr>
        <w:t>单位机构设置及职能</w:t>
      </w:r>
      <w:bookmarkEnd w:id="465"/>
      <w:bookmarkEnd w:id="466"/>
      <w:bookmarkEnd w:id="467"/>
    </w:p>
    <w:p>
      <w:pPr>
        <w:ind w:firstLine="640"/>
        <w:rPr>
          <w:rFonts w:hint="eastAsia" w:ascii="仿宋" w:hAnsi="仿宋" w:cs="仿宋"/>
          <w:lang w:val="zh-CN"/>
        </w:rPr>
      </w:pPr>
      <w:r>
        <w:rPr>
          <w:rFonts w:hint="eastAsia"/>
        </w:rPr>
        <w:t>保升初中</w:t>
      </w:r>
      <w:r>
        <w:rPr>
          <w:rFonts w:hint="eastAsia" w:ascii="仿宋" w:hAnsi="仿宋" w:cs="仿宋"/>
          <w:lang w:val="zh-CN"/>
        </w:rPr>
        <w:t>内设行政办公室、财务室、教导处、教研室、德育处、体艺部、安全办等</w:t>
      </w:r>
      <w:r>
        <w:rPr>
          <w:rFonts w:hint="eastAsia" w:ascii="仿宋" w:hAnsi="仿宋" w:cs="仿宋"/>
        </w:rPr>
        <w:t>7</w:t>
      </w:r>
      <w:r>
        <w:rPr>
          <w:rFonts w:hint="eastAsia" w:ascii="仿宋" w:hAnsi="仿宋" w:cs="仿宋"/>
          <w:lang w:val="zh-CN"/>
        </w:rPr>
        <w:t>个部门。</w:t>
      </w:r>
    </w:p>
    <w:p>
      <w:pPr>
        <w:ind w:firstLine="0" w:firstLineChars="0"/>
        <w:jc w:val="center"/>
        <w:outlineLvl w:val="3"/>
        <w:rPr>
          <w:rFonts w:hint="eastAsia" w:ascii="宋体" w:hAnsi="宋体" w:eastAsia="宋体" w:cs="宋体"/>
          <w:b/>
          <w:bCs/>
          <w:color w:val="444444"/>
          <w:spacing w:val="-3"/>
          <w:w w:val="95"/>
          <w:sz w:val="28"/>
          <w:szCs w:val="28"/>
        </w:rPr>
      </w:pPr>
      <w:r>
        <w:rPr>
          <w:rFonts w:hint="eastAsia" w:ascii="宋体" w:hAnsi="宋体" w:eastAsia="宋体" w:cs="宋体"/>
          <w:b/>
          <w:bCs/>
          <w:color w:val="444444"/>
          <w:spacing w:val="-3"/>
          <w:w w:val="95"/>
          <w:sz w:val="28"/>
          <w:szCs w:val="28"/>
        </w:rPr>
        <w:t>机构组成情况</w:t>
      </w:r>
    </w:p>
    <w:tbl>
      <w:tblPr>
        <w:tblStyle w:val="18"/>
        <w:tblW w:w="8159" w:type="dxa"/>
        <w:tblInd w:w="0" w:type="dxa"/>
        <w:tblLayout w:type="fixed"/>
        <w:tblCellMar>
          <w:top w:w="0" w:type="dxa"/>
          <w:left w:w="0" w:type="dxa"/>
          <w:bottom w:w="0" w:type="dxa"/>
          <w:right w:w="0" w:type="dxa"/>
        </w:tblCellMar>
      </w:tblPr>
      <w:tblGrid>
        <w:gridCol w:w="2809"/>
        <w:gridCol w:w="5350"/>
      </w:tblGrid>
      <w:tr>
        <w:tblPrEx>
          <w:tblCellMar>
            <w:top w:w="0" w:type="dxa"/>
            <w:left w:w="0" w:type="dxa"/>
            <w:bottom w:w="0" w:type="dxa"/>
            <w:right w:w="0" w:type="dxa"/>
          </w:tblCellMar>
        </w:tblPrEx>
        <w:trPr>
          <w:trHeight w:val="563" w:hRule="atLeast"/>
        </w:trPr>
        <w:tc>
          <w:tcPr>
            <w:tcW w:w="28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bookmarkStart w:id="468" w:name="_Toc25999"/>
            <w:r>
              <w:rPr>
                <w:rFonts w:hint="eastAsia" w:ascii="宋体" w:hAnsi="宋体" w:eastAsia="宋体" w:cs="宋体"/>
                <w:sz w:val="24"/>
                <w:lang w:val="zh-CN"/>
              </w:rPr>
              <w:t>单位名称</w:t>
            </w: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内设办公室</w:t>
            </w:r>
          </w:p>
        </w:tc>
      </w:tr>
      <w:tr>
        <w:tblPrEx>
          <w:tblCellMar>
            <w:top w:w="0" w:type="dxa"/>
            <w:left w:w="0" w:type="dxa"/>
            <w:bottom w:w="0" w:type="dxa"/>
            <w:right w:w="0" w:type="dxa"/>
          </w:tblCellMar>
        </w:tblPrEx>
        <w:trPr>
          <w:trHeight w:val="469" w:hRule="atLeast"/>
        </w:trPr>
        <w:tc>
          <w:tcPr>
            <w:tcW w:w="280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保升初中</w:t>
            </w: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rPr>
            </w:pPr>
            <w:r>
              <w:rPr>
                <w:rFonts w:hint="eastAsia" w:ascii="宋体" w:hAnsi="宋体" w:eastAsia="宋体" w:cs="宋体"/>
                <w:sz w:val="24"/>
                <w:lang w:val="zh-CN"/>
              </w:rPr>
              <w:t>行政办公室</w:t>
            </w:r>
          </w:p>
        </w:tc>
      </w:tr>
      <w:tr>
        <w:tblPrEx>
          <w:tblCellMar>
            <w:top w:w="0" w:type="dxa"/>
            <w:left w:w="0" w:type="dxa"/>
            <w:bottom w:w="0" w:type="dxa"/>
            <w:right w:w="0" w:type="dxa"/>
          </w:tblCellMar>
        </w:tblPrEx>
        <w:trPr>
          <w:trHeight w:val="452" w:hRule="atLeast"/>
        </w:trPr>
        <w:tc>
          <w:tcPr>
            <w:tcW w:w="2809" w:type="dxa"/>
            <w:vMerge w:val="continue"/>
            <w:tcBorders>
              <w:left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财务室</w:t>
            </w:r>
          </w:p>
        </w:tc>
      </w:tr>
      <w:tr>
        <w:tblPrEx>
          <w:tblCellMar>
            <w:top w:w="0" w:type="dxa"/>
            <w:left w:w="0" w:type="dxa"/>
            <w:bottom w:w="0" w:type="dxa"/>
            <w:right w:w="0" w:type="dxa"/>
          </w:tblCellMar>
        </w:tblPrEx>
        <w:trPr>
          <w:trHeight w:val="452" w:hRule="atLeast"/>
        </w:trPr>
        <w:tc>
          <w:tcPr>
            <w:tcW w:w="2809" w:type="dxa"/>
            <w:vMerge w:val="continue"/>
            <w:tcBorders>
              <w:left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教导处</w:t>
            </w:r>
          </w:p>
        </w:tc>
      </w:tr>
      <w:tr>
        <w:tblPrEx>
          <w:tblCellMar>
            <w:top w:w="0" w:type="dxa"/>
            <w:left w:w="0" w:type="dxa"/>
            <w:bottom w:w="0" w:type="dxa"/>
            <w:right w:w="0" w:type="dxa"/>
          </w:tblCellMar>
        </w:tblPrEx>
        <w:trPr>
          <w:trHeight w:val="450" w:hRule="atLeast"/>
        </w:trPr>
        <w:tc>
          <w:tcPr>
            <w:tcW w:w="2809" w:type="dxa"/>
            <w:vMerge w:val="continue"/>
            <w:tcBorders>
              <w:left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教研室</w:t>
            </w:r>
          </w:p>
        </w:tc>
      </w:tr>
      <w:tr>
        <w:tblPrEx>
          <w:tblCellMar>
            <w:top w:w="0" w:type="dxa"/>
            <w:left w:w="0" w:type="dxa"/>
            <w:bottom w:w="0" w:type="dxa"/>
            <w:right w:w="0" w:type="dxa"/>
          </w:tblCellMar>
        </w:tblPrEx>
        <w:trPr>
          <w:trHeight w:val="452" w:hRule="atLeast"/>
        </w:trPr>
        <w:tc>
          <w:tcPr>
            <w:tcW w:w="2809" w:type="dxa"/>
            <w:vMerge w:val="continue"/>
            <w:tcBorders>
              <w:left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德育处</w:t>
            </w:r>
          </w:p>
        </w:tc>
      </w:tr>
      <w:tr>
        <w:tblPrEx>
          <w:tblCellMar>
            <w:top w:w="0" w:type="dxa"/>
            <w:left w:w="0" w:type="dxa"/>
            <w:bottom w:w="0" w:type="dxa"/>
            <w:right w:w="0" w:type="dxa"/>
          </w:tblCellMar>
        </w:tblPrEx>
        <w:trPr>
          <w:trHeight w:val="452" w:hRule="atLeast"/>
        </w:trPr>
        <w:tc>
          <w:tcPr>
            <w:tcW w:w="2809" w:type="dxa"/>
            <w:vMerge w:val="continue"/>
            <w:tcBorders>
              <w:left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体艺部</w:t>
            </w:r>
          </w:p>
        </w:tc>
      </w:tr>
      <w:tr>
        <w:tblPrEx>
          <w:tblCellMar>
            <w:top w:w="0" w:type="dxa"/>
            <w:left w:w="0" w:type="dxa"/>
            <w:bottom w:w="0" w:type="dxa"/>
            <w:right w:w="0" w:type="dxa"/>
          </w:tblCellMar>
        </w:tblPrEx>
        <w:trPr>
          <w:trHeight w:val="484" w:hRule="atLeast"/>
        </w:trPr>
        <w:tc>
          <w:tcPr>
            <w:tcW w:w="280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p>
        </w:tc>
        <w:tc>
          <w:tcPr>
            <w:tcW w:w="5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30"/>
              <w:spacing w:line="240" w:lineRule="auto"/>
              <w:ind w:firstLine="0" w:firstLineChars="0"/>
              <w:jc w:val="center"/>
              <w:rPr>
                <w:rFonts w:hint="eastAsia" w:ascii="宋体" w:hAnsi="宋体" w:eastAsia="宋体" w:cs="宋体"/>
                <w:sz w:val="24"/>
                <w:lang w:val="zh-CN"/>
              </w:rPr>
            </w:pPr>
            <w:r>
              <w:rPr>
                <w:rFonts w:hint="eastAsia" w:ascii="宋体" w:hAnsi="宋体" w:eastAsia="宋体" w:cs="宋体"/>
                <w:sz w:val="24"/>
                <w:lang w:val="zh-CN"/>
              </w:rPr>
              <w:t>安全办</w:t>
            </w:r>
          </w:p>
        </w:tc>
      </w:tr>
      <w:bookmarkEnd w:id="468"/>
    </w:tbl>
    <w:p>
      <w:pPr>
        <w:pStyle w:val="4"/>
        <w:ind w:firstLine="643"/>
        <w:rPr>
          <w:rFonts w:hint="eastAsia"/>
        </w:rPr>
      </w:pPr>
      <w:bookmarkStart w:id="469" w:name="_Toc26098"/>
      <w:bookmarkStart w:id="470" w:name="_Toc30525"/>
      <w:bookmarkStart w:id="471" w:name="_Toc24876"/>
      <w:r>
        <w:rPr>
          <w:rFonts w:hint="eastAsia" w:ascii="楷体" w:hAnsi="楷体" w:cs="楷体"/>
        </w:rPr>
        <w:t>3.</w:t>
      </w:r>
      <w:r>
        <w:rPr>
          <w:rFonts w:hint="eastAsia"/>
        </w:rPr>
        <w:t>人员编制</w:t>
      </w:r>
      <w:bookmarkEnd w:id="469"/>
      <w:bookmarkEnd w:id="470"/>
      <w:bookmarkEnd w:id="471"/>
    </w:p>
    <w:p>
      <w:pPr>
        <w:snapToGrid w:val="0"/>
        <w:ind w:firstLine="640"/>
        <w:rPr>
          <w:rFonts w:hint="eastAsia" w:ascii="仿宋" w:hAnsi="仿宋" w:cs="仿宋"/>
          <w:bCs/>
          <w:kern w:val="0"/>
          <w:szCs w:val="32"/>
          <w:shd w:val="clear" w:color="auto" w:fill="FFFFFF"/>
        </w:rPr>
      </w:pPr>
      <w:r>
        <w:rPr>
          <w:rFonts w:hint="eastAsia" w:ascii="仿宋" w:hAnsi="仿宋" w:cs="仿宋"/>
        </w:rPr>
        <w:t>保升初中</w:t>
      </w:r>
      <w:r>
        <w:rPr>
          <w:rFonts w:hint="eastAsia" w:ascii="仿宋" w:hAnsi="仿宋" w:cs="仿宋"/>
          <w:bCs/>
          <w:kern w:val="0"/>
          <w:szCs w:val="32"/>
          <w:shd w:val="clear" w:color="auto" w:fill="FFFFFF"/>
          <w:lang w:val="zh-CN"/>
        </w:rPr>
        <w:t>教职工编制数</w:t>
      </w:r>
      <w:r>
        <w:rPr>
          <w:rFonts w:hint="eastAsia" w:ascii="仿宋" w:hAnsi="仿宋" w:cs="仿宋"/>
          <w:bCs/>
          <w:kern w:val="0"/>
          <w:szCs w:val="32"/>
          <w:shd w:val="clear" w:color="auto" w:fill="FFFFFF"/>
        </w:rPr>
        <w:t>23名，设校长1名，副校长1名。</w:t>
      </w:r>
      <w:r>
        <w:rPr>
          <w:rFonts w:hint="eastAsia" w:ascii="仿宋" w:hAnsi="仿宋" w:cs="仿宋"/>
          <w:color w:val="000000"/>
          <w:szCs w:val="32"/>
        </w:rPr>
        <w:t>截至2023年12月31日实际在职</w:t>
      </w:r>
      <w:r>
        <w:rPr>
          <w:rFonts w:hint="eastAsia" w:ascii="仿宋" w:hAnsi="仿宋" w:cs="仿宋"/>
          <w:bCs/>
          <w:kern w:val="0"/>
          <w:szCs w:val="32"/>
          <w:shd w:val="clear" w:color="auto" w:fill="FFFFFF"/>
        </w:rPr>
        <w:t>28人（其中：</w:t>
      </w:r>
      <w:r>
        <w:rPr>
          <w:rFonts w:hint="eastAsia" w:ascii="仿宋" w:hAnsi="仿宋" w:cs="仿宋"/>
          <w:szCs w:val="32"/>
        </w:rPr>
        <w:t>上派社事群工局2</w:t>
      </w:r>
      <w:r>
        <w:rPr>
          <w:rFonts w:hint="eastAsia" w:ascii="仿宋" w:hAnsi="仿宋" w:cs="仿宋"/>
          <w:szCs w:val="32"/>
          <w:lang w:val="zh-CN"/>
        </w:rPr>
        <w:t>人），</w:t>
      </w:r>
      <w:r>
        <w:rPr>
          <w:rFonts w:hint="eastAsia" w:ascii="仿宋" w:hAnsi="仿宋" w:cs="仿宋"/>
          <w:bCs/>
          <w:kern w:val="0"/>
          <w:szCs w:val="32"/>
          <w:shd w:val="clear" w:color="auto" w:fill="FFFFFF"/>
        </w:rPr>
        <w:t>退休人员13人，遗属人员4人。</w:t>
      </w:r>
    </w:p>
    <w:p>
      <w:pPr>
        <w:pStyle w:val="4"/>
        <w:ind w:firstLine="643"/>
        <w:rPr>
          <w:rFonts w:hint="eastAsia"/>
        </w:rPr>
      </w:pPr>
      <w:bookmarkStart w:id="472" w:name="_Toc28029"/>
      <w:bookmarkStart w:id="473" w:name="_Toc16973"/>
      <w:bookmarkStart w:id="474" w:name="_Toc20603"/>
      <w:r>
        <w:rPr>
          <w:rFonts w:hint="eastAsia" w:ascii="楷体" w:hAnsi="楷体" w:cs="楷体"/>
        </w:rPr>
        <w:t>4.</w:t>
      </w:r>
      <w:r>
        <w:rPr>
          <w:rFonts w:hint="eastAsia"/>
        </w:rPr>
        <w:t>职能定位</w:t>
      </w:r>
      <w:bookmarkEnd w:id="472"/>
      <w:bookmarkEnd w:id="473"/>
      <w:bookmarkEnd w:id="474"/>
    </w:p>
    <w:p>
      <w:pPr>
        <w:ind w:firstLine="640"/>
        <w:rPr>
          <w:rFonts w:hint="eastAsia" w:ascii="仿宋" w:hAnsi="仿宋" w:cs="仿宋"/>
          <w:bCs/>
          <w:kern w:val="0"/>
          <w:szCs w:val="32"/>
          <w:shd w:val="clear" w:color="auto" w:fill="FFFFFF"/>
        </w:rPr>
      </w:pPr>
      <w:r>
        <w:rPr>
          <w:rFonts w:hint="eastAsia" w:ascii="仿宋" w:hAnsi="仿宋" w:cs="仿宋"/>
          <w:bCs/>
          <w:kern w:val="0"/>
          <w:szCs w:val="32"/>
          <w:shd w:val="clear" w:color="auto" w:fill="FFFFFF"/>
          <w:lang w:val="zh-CN"/>
        </w:rPr>
        <w:t>（</w:t>
      </w:r>
      <w:r>
        <w:rPr>
          <w:rFonts w:hint="eastAsia" w:ascii="仿宋" w:hAnsi="仿宋" w:cs="仿宋"/>
          <w:bCs/>
          <w:kern w:val="0"/>
          <w:szCs w:val="32"/>
          <w:shd w:val="clear" w:color="auto" w:fill="FFFFFF"/>
        </w:rPr>
        <w:t>1）</w:t>
      </w:r>
      <w:r>
        <w:rPr>
          <w:rFonts w:hint="eastAsia" w:ascii="仿宋" w:hAnsi="仿宋" w:cs="仿宋"/>
          <w:bCs/>
          <w:kern w:val="0"/>
          <w:szCs w:val="32"/>
          <w:shd w:val="clear" w:color="auto" w:fill="FFFFFF"/>
          <w:lang w:val="zh-CN"/>
        </w:rPr>
        <w:t>行政办公室：</w:t>
      </w:r>
      <w:r>
        <w:rPr>
          <w:rFonts w:hint="eastAsia" w:ascii="仿宋" w:hAnsi="仿宋" w:cs="仿宋"/>
          <w:bCs/>
          <w:kern w:val="0"/>
          <w:szCs w:val="32"/>
          <w:shd w:val="clear" w:color="auto" w:fill="FFFFFF"/>
        </w:rPr>
        <w:t>负责召集学校行政会议，教工大会；督促、检查、执行会议决议。做好校内会议，特别是临时性会议的准备工作。负责学校各种会议的记录工作。</w:t>
      </w:r>
    </w:p>
    <w:p>
      <w:pPr>
        <w:ind w:firstLine="640"/>
        <w:rPr>
          <w:rFonts w:hint="eastAsia" w:ascii="仿宋" w:hAnsi="仿宋" w:cs="仿宋"/>
          <w:bCs/>
          <w:kern w:val="0"/>
          <w:szCs w:val="32"/>
          <w:shd w:val="clear" w:color="auto" w:fill="FFFFFF"/>
          <w:lang w:val="zh-CN"/>
        </w:rPr>
      </w:pPr>
      <w:r>
        <w:rPr>
          <w:rFonts w:hint="eastAsia" w:ascii="仿宋" w:hAnsi="仿宋" w:cs="仿宋"/>
          <w:bCs/>
          <w:kern w:val="0"/>
          <w:szCs w:val="32"/>
          <w:shd w:val="clear" w:color="auto" w:fill="FFFFFF"/>
          <w:lang w:val="zh-CN"/>
        </w:rPr>
        <w:t>（</w:t>
      </w:r>
      <w:r>
        <w:rPr>
          <w:rFonts w:hint="eastAsia" w:ascii="仿宋" w:hAnsi="仿宋" w:cs="仿宋"/>
          <w:bCs/>
          <w:kern w:val="0"/>
          <w:szCs w:val="32"/>
          <w:shd w:val="clear" w:color="auto" w:fill="FFFFFF"/>
        </w:rPr>
        <w:t>2）</w:t>
      </w:r>
      <w:r>
        <w:rPr>
          <w:rFonts w:hint="eastAsia" w:ascii="仿宋" w:hAnsi="仿宋" w:cs="仿宋"/>
          <w:bCs/>
          <w:kern w:val="0"/>
          <w:szCs w:val="32"/>
          <w:shd w:val="clear" w:color="auto" w:fill="FFFFFF"/>
          <w:lang w:val="zh-CN"/>
        </w:rPr>
        <w:t>财务室：</w:t>
      </w:r>
      <w:r>
        <w:rPr>
          <w:rFonts w:hint="eastAsia" w:ascii="仿宋" w:hAnsi="仿宋" w:cs="仿宋"/>
          <w:bCs/>
          <w:kern w:val="0"/>
          <w:szCs w:val="32"/>
          <w:shd w:val="clear" w:color="auto" w:fill="FFFFFF"/>
        </w:rPr>
        <w:t>负责组织编制学校各项财务收支计划、经费预决算，监督检查计划、预算的执行情况</w:t>
      </w:r>
      <w:r>
        <w:rPr>
          <w:rFonts w:hint="eastAsia" w:ascii="仿宋" w:hAnsi="仿宋" w:cs="仿宋"/>
          <w:bCs/>
          <w:kern w:val="0"/>
          <w:szCs w:val="32"/>
          <w:shd w:val="clear" w:color="auto" w:fill="FFFFFF"/>
          <w:lang w:val="zh-CN"/>
        </w:rPr>
        <w:t>。</w:t>
      </w:r>
    </w:p>
    <w:p>
      <w:pPr>
        <w:ind w:firstLine="640"/>
        <w:rPr>
          <w:rFonts w:hint="eastAsia" w:ascii="仿宋" w:hAnsi="仿宋" w:cs="仿宋"/>
        </w:rPr>
      </w:pPr>
      <w:r>
        <w:rPr>
          <w:rFonts w:hint="eastAsia" w:ascii="仿宋" w:hAnsi="仿宋" w:cs="仿宋"/>
          <w:lang w:val="zh-CN"/>
        </w:rPr>
        <w:t>（</w:t>
      </w:r>
      <w:r>
        <w:rPr>
          <w:rFonts w:hint="eastAsia" w:ascii="仿宋" w:hAnsi="仿宋" w:cs="仿宋"/>
        </w:rPr>
        <w:t>3）</w:t>
      </w:r>
      <w:r>
        <w:rPr>
          <w:rFonts w:hint="eastAsia" w:ascii="仿宋" w:hAnsi="仿宋" w:cs="仿宋"/>
          <w:lang w:val="zh-CN"/>
        </w:rPr>
        <w:t>教导处：</w:t>
      </w:r>
      <w:r>
        <w:rPr>
          <w:rFonts w:hint="eastAsia" w:ascii="仿宋" w:hAnsi="仿宋" w:cs="仿宋"/>
        </w:rPr>
        <w:t>认真完成上级及校长下达的各项工作任务。根据学校工作计划制定教务工作计划并组织实施。</w:t>
      </w:r>
    </w:p>
    <w:p>
      <w:pPr>
        <w:ind w:firstLine="640"/>
        <w:rPr>
          <w:rFonts w:hint="eastAsia" w:ascii="仿宋" w:hAnsi="仿宋" w:cs="仿宋"/>
          <w:lang w:val="zh-CN"/>
        </w:rPr>
      </w:pPr>
      <w:r>
        <w:rPr>
          <w:rFonts w:hint="eastAsia" w:ascii="仿宋" w:hAnsi="仿宋" w:cs="仿宋"/>
          <w:bCs/>
          <w:kern w:val="0"/>
          <w:szCs w:val="32"/>
          <w:shd w:val="clear" w:color="auto" w:fill="FFFFFF"/>
          <w:lang w:val="zh-CN"/>
        </w:rPr>
        <w:t>（</w:t>
      </w:r>
      <w:r>
        <w:rPr>
          <w:rFonts w:hint="eastAsia" w:ascii="仿宋" w:hAnsi="仿宋" w:cs="仿宋"/>
          <w:bCs/>
          <w:kern w:val="0"/>
          <w:szCs w:val="32"/>
          <w:shd w:val="clear" w:color="auto" w:fill="FFFFFF"/>
        </w:rPr>
        <w:t>4）</w:t>
      </w:r>
      <w:r>
        <w:rPr>
          <w:rFonts w:hint="eastAsia" w:ascii="仿宋" w:hAnsi="仿宋" w:cs="仿宋"/>
          <w:bCs/>
          <w:kern w:val="0"/>
          <w:szCs w:val="32"/>
          <w:shd w:val="clear" w:color="auto" w:fill="FFFFFF"/>
          <w:lang w:val="zh-CN"/>
        </w:rPr>
        <w:t>教研室：</w:t>
      </w:r>
      <w:r>
        <w:rPr>
          <w:rFonts w:hint="eastAsia" w:ascii="仿宋" w:hAnsi="仿宋" w:cs="仿宋"/>
        </w:rPr>
        <w:t>提出各学科教学、教辅人员工作安排方案，经校长办公会议审定后具体组织落实</w:t>
      </w:r>
      <w:r>
        <w:rPr>
          <w:rFonts w:hint="eastAsia" w:ascii="仿宋" w:hAnsi="仿宋" w:cs="仿宋"/>
          <w:lang w:val="zh-CN"/>
        </w:rPr>
        <w:t>。</w:t>
      </w:r>
    </w:p>
    <w:p>
      <w:pPr>
        <w:ind w:firstLine="640"/>
        <w:rPr>
          <w:rFonts w:hint="eastAsia" w:ascii="仿宋" w:hAnsi="仿宋" w:cs="仿宋"/>
          <w:bCs/>
          <w:kern w:val="0"/>
          <w:szCs w:val="32"/>
          <w:shd w:val="clear" w:color="auto" w:fill="FFFFFF"/>
          <w:lang w:val="zh-CN"/>
        </w:rPr>
      </w:pPr>
      <w:r>
        <w:rPr>
          <w:rFonts w:hint="eastAsia" w:ascii="仿宋" w:hAnsi="仿宋" w:cs="仿宋"/>
          <w:bCs/>
          <w:kern w:val="0"/>
          <w:szCs w:val="32"/>
          <w:shd w:val="clear" w:color="auto" w:fill="FFFFFF"/>
          <w:lang w:val="zh-CN"/>
        </w:rPr>
        <w:t>（</w:t>
      </w:r>
      <w:r>
        <w:rPr>
          <w:rFonts w:hint="eastAsia" w:ascii="仿宋" w:hAnsi="仿宋" w:cs="仿宋"/>
          <w:bCs/>
          <w:kern w:val="0"/>
          <w:szCs w:val="32"/>
          <w:shd w:val="clear" w:color="auto" w:fill="FFFFFF"/>
        </w:rPr>
        <w:t>5）</w:t>
      </w:r>
      <w:r>
        <w:rPr>
          <w:rFonts w:hint="eastAsia" w:ascii="仿宋" w:hAnsi="仿宋" w:cs="仿宋"/>
          <w:bCs/>
          <w:kern w:val="0"/>
          <w:szCs w:val="32"/>
          <w:shd w:val="clear" w:color="auto" w:fill="FFFFFF"/>
          <w:lang w:val="zh-CN"/>
        </w:rPr>
        <w:t>德育处：</w:t>
      </w:r>
      <w:r>
        <w:rPr>
          <w:rFonts w:hint="eastAsia" w:ascii="仿宋" w:hAnsi="仿宋" w:cs="仿宋"/>
          <w:bCs/>
          <w:kern w:val="0"/>
          <w:szCs w:val="32"/>
          <w:shd w:val="clear" w:color="auto" w:fill="FFFFFF"/>
        </w:rPr>
        <w:t>研究德育工作的要求、内容、方法，努力探索新时期德育工作规律，努力做好德育工作</w:t>
      </w:r>
      <w:r>
        <w:rPr>
          <w:rFonts w:hint="eastAsia" w:ascii="仿宋" w:hAnsi="仿宋" w:cs="仿宋"/>
          <w:bCs/>
          <w:kern w:val="0"/>
          <w:szCs w:val="32"/>
          <w:shd w:val="clear" w:color="auto" w:fill="FFFFFF"/>
          <w:lang w:val="zh-CN"/>
        </w:rPr>
        <w:t>。</w:t>
      </w:r>
    </w:p>
    <w:p>
      <w:pPr>
        <w:ind w:firstLine="640"/>
        <w:rPr>
          <w:rFonts w:hint="eastAsia" w:ascii="仿宋" w:hAnsi="仿宋" w:cs="仿宋"/>
          <w:bCs/>
          <w:kern w:val="0"/>
          <w:szCs w:val="32"/>
          <w:shd w:val="clear" w:color="auto" w:fill="FFFFFF"/>
          <w:lang w:val="zh-CN"/>
        </w:rPr>
      </w:pPr>
      <w:r>
        <w:rPr>
          <w:rFonts w:hint="eastAsia" w:ascii="仿宋" w:hAnsi="仿宋" w:cs="仿宋"/>
          <w:bCs/>
          <w:kern w:val="0"/>
          <w:szCs w:val="32"/>
          <w:shd w:val="clear" w:color="auto" w:fill="FFFFFF"/>
          <w:lang w:val="zh-CN"/>
        </w:rPr>
        <w:t>（</w:t>
      </w:r>
      <w:r>
        <w:rPr>
          <w:rFonts w:hint="eastAsia" w:ascii="仿宋" w:hAnsi="仿宋" w:cs="仿宋"/>
          <w:bCs/>
          <w:kern w:val="0"/>
          <w:szCs w:val="32"/>
          <w:shd w:val="clear" w:color="auto" w:fill="FFFFFF"/>
        </w:rPr>
        <w:t>6）</w:t>
      </w:r>
      <w:r>
        <w:rPr>
          <w:rFonts w:hint="eastAsia" w:ascii="仿宋" w:hAnsi="仿宋" w:cs="仿宋"/>
          <w:bCs/>
          <w:kern w:val="0"/>
          <w:szCs w:val="32"/>
          <w:shd w:val="clear" w:color="auto" w:fill="FFFFFF"/>
          <w:lang w:val="zh-CN"/>
        </w:rPr>
        <w:t>体艺部：</w:t>
      </w:r>
      <w:r>
        <w:rPr>
          <w:rFonts w:hint="eastAsia" w:ascii="仿宋" w:hAnsi="仿宋" w:cs="仿宋"/>
          <w:bCs/>
          <w:kern w:val="0"/>
          <w:szCs w:val="32"/>
          <w:shd w:val="clear" w:color="auto" w:fill="FFFFFF"/>
        </w:rPr>
        <w:t>负责全校艺体和科创、信息报道和外宣、现代信息技术教学与管理、校园网站和微信平台管理建设、智慧教育实践研究等</w:t>
      </w:r>
      <w:r>
        <w:rPr>
          <w:rFonts w:hint="eastAsia" w:ascii="仿宋" w:hAnsi="仿宋" w:cs="仿宋"/>
          <w:bCs/>
          <w:kern w:val="0"/>
          <w:szCs w:val="32"/>
          <w:shd w:val="clear" w:color="auto" w:fill="FFFFFF"/>
          <w:lang w:val="zh-CN"/>
        </w:rPr>
        <w:t>。</w:t>
      </w:r>
    </w:p>
    <w:p>
      <w:pPr>
        <w:ind w:firstLine="640"/>
        <w:rPr>
          <w:rFonts w:hint="eastAsia" w:ascii="仿宋" w:hAnsi="仿宋" w:cs="仿宋"/>
          <w:bCs/>
          <w:kern w:val="0"/>
          <w:szCs w:val="32"/>
          <w:shd w:val="clear" w:color="auto" w:fill="FFFFFF"/>
          <w:lang w:val="zh-CN"/>
        </w:rPr>
      </w:pPr>
      <w:r>
        <w:rPr>
          <w:rFonts w:hint="eastAsia" w:ascii="仿宋" w:hAnsi="仿宋" w:cs="仿宋"/>
          <w:bCs/>
          <w:kern w:val="0"/>
          <w:szCs w:val="32"/>
          <w:shd w:val="clear" w:color="auto" w:fill="FFFFFF"/>
          <w:lang w:val="zh-CN"/>
        </w:rPr>
        <w:t>（</w:t>
      </w:r>
      <w:r>
        <w:rPr>
          <w:rFonts w:hint="eastAsia" w:ascii="仿宋" w:hAnsi="仿宋" w:cs="仿宋"/>
          <w:bCs/>
          <w:kern w:val="0"/>
          <w:szCs w:val="32"/>
          <w:shd w:val="clear" w:color="auto" w:fill="FFFFFF"/>
        </w:rPr>
        <w:t>7）</w:t>
      </w:r>
      <w:r>
        <w:rPr>
          <w:rFonts w:hint="eastAsia" w:ascii="仿宋" w:hAnsi="仿宋" w:cs="仿宋"/>
          <w:bCs/>
          <w:kern w:val="0"/>
          <w:szCs w:val="32"/>
          <w:shd w:val="clear" w:color="auto" w:fill="FFFFFF"/>
          <w:lang w:val="zh-CN"/>
        </w:rPr>
        <w:t>安全办：</w:t>
      </w:r>
      <w:r>
        <w:rPr>
          <w:rFonts w:hint="eastAsia" w:ascii="仿宋" w:hAnsi="仿宋" w:cs="仿宋"/>
          <w:bCs/>
          <w:kern w:val="0"/>
          <w:szCs w:val="32"/>
          <w:shd w:val="clear" w:color="auto" w:fill="FFFFFF"/>
        </w:rPr>
        <w:t>负责全校的安全防火工作，建立消防制度、健全消防组织、定期进行业务训练，管理消防设备，开展防火宣传，进行防火检查，对火灾隐患提出整改意见</w:t>
      </w:r>
      <w:r>
        <w:rPr>
          <w:rFonts w:hint="eastAsia" w:ascii="仿宋" w:hAnsi="仿宋" w:cs="仿宋"/>
          <w:bCs/>
          <w:kern w:val="0"/>
          <w:szCs w:val="32"/>
          <w:shd w:val="clear" w:color="auto" w:fill="FFFFFF"/>
          <w:lang w:val="zh-CN"/>
        </w:rPr>
        <w:t>。</w:t>
      </w:r>
    </w:p>
    <w:p>
      <w:pPr>
        <w:pStyle w:val="3"/>
        <w:ind w:firstLine="643"/>
        <w:rPr>
          <w:rFonts w:hint="eastAsia" w:ascii="仿宋_GB2312" w:hAnsi="仿宋_GB2312" w:cs="仿宋_GB2312"/>
        </w:rPr>
      </w:pPr>
      <w:bookmarkStart w:id="475" w:name="_Toc19797"/>
      <w:bookmarkStart w:id="476" w:name="_Toc30504"/>
      <w:bookmarkStart w:id="477" w:name="_Toc14233"/>
      <w:bookmarkStart w:id="478" w:name="_Toc23533"/>
      <w:r>
        <w:rPr>
          <w:rFonts w:hint="eastAsia"/>
        </w:rPr>
        <w:t>（二）部门（单位）管理制度</w:t>
      </w:r>
      <w:bookmarkEnd w:id="475"/>
      <w:bookmarkEnd w:id="476"/>
      <w:bookmarkEnd w:id="477"/>
      <w:bookmarkEnd w:id="478"/>
    </w:p>
    <w:p>
      <w:pPr>
        <w:ind w:firstLine="640"/>
        <w:rPr>
          <w:rFonts w:hint="eastAsia"/>
        </w:rPr>
      </w:pPr>
      <w:r>
        <w:rPr>
          <w:rFonts w:hint="eastAsia"/>
        </w:rPr>
        <w:t>依据《行政事业单位内部控制规范（试行）》</w:t>
      </w:r>
      <w:bookmarkStart w:id="479" w:name="_Hlk75949523"/>
      <w:r>
        <w:rPr>
          <w:rFonts w:hint="eastAsia"/>
        </w:rPr>
        <w:t>及有关法律法规</w:t>
      </w:r>
      <w:bookmarkEnd w:id="479"/>
      <w:r>
        <w:rPr>
          <w:rFonts w:hint="eastAsia"/>
        </w:rPr>
        <w:t>。遂宁市船区保升乡初级中学校制定了相关制度文件保证日常业务有序开展，内部管理和业务管理制度建设详细情况如下：</w:t>
      </w:r>
    </w:p>
    <w:p>
      <w:pPr>
        <w:ind w:firstLine="640"/>
        <w:rPr>
          <w:rFonts w:hint="eastAsia"/>
        </w:rPr>
      </w:pPr>
      <w:r>
        <w:rPr>
          <w:rFonts w:hint="eastAsia"/>
        </w:rPr>
        <w:t>预算类、财务类：为加强财务管理，规范财务行为，保升初中财务工作由学校财务室集中归口管理，</w:t>
      </w:r>
      <w:r>
        <w:rPr>
          <w:rFonts w:hint="eastAsia"/>
          <w:lang w:eastAsia="zh-Hans"/>
        </w:rPr>
        <w:t>并</w:t>
      </w:r>
      <w:r>
        <w:rPr>
          <w:rFonts w:hint="eastAsia"/>
        </w:rPr>
        <w:t>根据《中华人民共和国预算法》以及中央和省市区关于财务管理的办法和意见，制订</w:t>
      </w:r>
      <w:r>
        <w:rPr>
          <w:rFonts w:hint="eastAsia"/>
          <w:lang w:eastAsia="zh-Hans"/>
        </w:rPr>
        <w:t>有</w:t>
      </w:r>
      <w:r>
        <w:rPr>
          <w:rFonts w:hint="eastAsia"/>
        </w:rPr>
        <w:t>《保升初中预算管理》《保升初中预算管理岗位职责说明书》《遂宁市船区保升乡初级中学校预决算信息公开制度》《保升初中政府采购管理岗位职责说明书》《保升初中专项审计制度》《遂宁市船山区保升初中校</w:t>
      </w:r>
      <w:r>
        <w:t>财务管理制度</w:t>
      </w:r>
      <w:r>
        <w:rPr>
          <w:rFonts w:hint="eastAsia"/>
        </w:rPr>
        <w:t>》《保升初中收支管理岗位职责说明书》《保升初中师生食堂财务管理暂行办法》《保升初中工会经费收支管理实施办法》《保升初中固定资产管理制度》《保升初中资产管理岗位职责说明书》。</w:t>
      </w:r>
    </w:p>
    <w:p>
      <w:pPr>
        <w:ind w:firstLine="640"/>
        <w:rPr>
          <w:rFonts w:hint="eastAsia" w:ascii="仿宋" w:hAnsi="仿宋" w:eastAsia="仿宋" w:cs="仿宋"/>
        </w:rPr>
      </w:pPr>
      <w:r>
        <w:rPr>
          <w:rFonts w:hint="eastAsia" w:ascii="仿宋" w:hAnsi="仿宋" w:eastAsia="仿宋" w:cs="仿宋"/>
        </w:rPr>
        <w:t>行政、人员类：《保升初中教师档案管理制度》《保升初中工会委员会选举办法》《保升初中干部轮岗管理制度》《保升初中</w:t>
      </w:r>
      <w:r>
        <w:rPr>
          <w:rFonts w:hint="eastAsia" w:ascii="仿宋" w:hAnsi="仿宋" w:eastAsia="仿宋" w:cs="仿宋"/>
          <w:color w:val="000000"/>
        </w:rPr>
        <w:t>&lt;</w:t>
      </w:r>
      <w:r>
        <w:rPr>
          <w:rFonts w:hint="eastAsia" w:ascii="仿宋" w:hAnsi="仿宋" w:eastAsia="仿宋" w:cs="仿宋"/>
        </w:rPr>
        <w:t>规范教育收费</w:t>
      </w:r>
      <w:r>
        <w:rPr>
          <w:rFonts w:hint="eastAsia" w:ascii="仿宋" w:hAnsi="仿宋" w:eastAsia="仿宋" w:cs="仿宋"/>
          <w:color w:val="000000"/>
        </w:rPr>
        <w:t>&gt;</w:t>
      </w:r>
      <w:r>
        <w:rPr>
          <w:rFonts w:hint="eastAsia" w:ascii="仿宋" w:hAnsi="仿宋" w:eastAsia="仿宋" w:cs="仿宋"/>
        </w:rPr>
        <w:t>制度》《保升初中保管员工作职责》。</w:t>
      </w:r>
    </w:p>
    <w:p>
      <w:pPr>
        <w:pStyle w:val="3"/>
        <w:ind w:firstLine="643"/>
        <w:rPr>
          <w:rFonts w:hint="eastAsia"/>
        </w:rPr>
      </w:pPr>
      <w:bookmarkStart w:id="480" w:name="_Toc18688"/>
      <w:bookmarkStart w:id="481" w:name="_Toc27956"/>
      <w:bookmarkStart w:id="482" w:name="_Toc10549"/>
      <w:bookmarkStart w:id="483" w:name="_Toc24059"/>
      <w:r>
        <w:rPr>
          <w:rFonts w:hint="eastAsia"/>
        </w:rPr>
        <w:t>（三）部门（单位）预算资金</w:t>
      </w:r>
      <w:bookmarkEnd w:id="480"/>
      <w:bookmarkEnd w:id="481"/>
      <w:bookmarkEnd w:id="482"/>
      <w:bookmarkEnd w:id="483"/>
    </w:p>
    <w:p>
      <w:pPr>
        <w:pStyle w:val="4"/>
        <w:ind w:firstLine="643"/>
        <w:rPr>
          <w:rFonts w:hint="eastAsia"/>
        </w:rPr>
      </w:pPr>
      <w:bookmarkStart w:id="484" w:name="_Toc29591"/>
      <w:bookmarkStart w:id="485" w:name="_Toc22034"/>
      <w:bookmarkStart w:id="486" w:name="_Toc8029"/>
      <w:r>
        <w:rPr>
          <w:rFonts w:hint="eastAsia" w:ascii="楷体" w:hAnsi="楷体" w:cs="楷体"/>
        </w:rPr>
        <w:t>1.</w:t>
      </w:r>
      <w:r>
        <w:rPr>
          <w:rFonts w:hint="eastAsia"/>
        </w:rPr>
        <w:t>预算安排和执行情况</w:t>
      </w:r>
      <w:bookmarkEnd w:id="484"/>
      <w:bookmarkEnd w:id="485"/>
      <w:bookmarkEnd w:id="486"/>
    </w:p>
    <w:p>
      <w:pPr>
        <w:widowControl/>
        <w:ind w:firstLine="640"/>
        <w:rPr>
          <w:rFonts w:hint="eastAsia" w:ascii="仿宋" w:hAnsi="仿宋" w:cs="仿宋"/>
          <w:color w:val="000000"/>
          <w:kern w:val="0"/>
          <w:szCs w:val="32"/>
        </w:rPr>
      </w:pPr>
      <w:r>
        <w:rPr>
          <w:rFonts w:hint="eastAsia" w:ascii="仿宋" w:hAnsi="仿宋" w:cs="仿宋"/>
          <w:color w:val="000000"/>
          <w:kern w:val="0"/>
          <w:szCs w:val="32"/>
        </w:rPr>
        <w:t>2023年</w:t>
      </w:r>
      <w:r>
        <w:rPr>
          <w:rFonts w:hint="eastAsia" w:ascii="仿宋" w:hAnsi="仿宋" w:cs="仿宋"/>
        </w:rPr>
        <w:t>保升初中</w:t>
      </w:r>
      <w:r>
        <w:rPr>
          <w:rFonts w:hint="eastAsia" w:ascii="仿宋" w:hAnsi="仿宋" w:cs="仿宋"/>
          <w:color w:val="000000"/>
          <w:kern w:val="0"/>
          <w:szCs w:val="32"/>
        </w:rPr>
        <w:t>年初预算总额652.19万元，其中资金来源于一般公共预算652.19万元，其他收入0.00万元。后经预算调整，预算总额为831.52万元，其中基本支出644.87万元（人员经费623.13万元、公用经费21.74万元），项目支出186.65万元。</w:t>
      </w:r>
    </w:p>
    <w:p>
      <w:pPr>
        <w:widowControl/>
        <w:ind w:firstLine="640"/>
        <w:rPr>
          <w:rFonts w:ascii="仿宋" w:hAnsi="仿宋" w:cs="仿宋"/>
          <w:color w:val="000000"/>
          <w:kern w:val="0"/>
          <w:szCs w:val="32"/>
        </w:rPr>
      </w:pPr>
      <w:r>
        <w:rPr>
          <w:rFonts w:hint="eastAsia" w:ascii="仿宋" w:hAnsi="仿宋" w:cs="仿宋"/>
          <w:color w:val="000000"/>
          <w:kern w:val="0"/>
          <w:szCs w:val="32"/>
        </w:rPr>
        <w:t>全年共支出831.52万元，其中人员经费支出623.13万元，占总支出的74.94%，公用经费支出21.74万元，占总支出的2.61%，项目支出186.65万元，占总支出的22.45%。</w:t>
      </w:r>
    </w:p>
    <w:p>
      <w:pPr>
        <w:ind w:firstLine="0" w:firstLineChars="0"/>
        <w:jc w:val="center"/>
        <w:outlineLvl w:val="3"/>
        <w:rPr>
          <w:rFonts w:hint="eastAsia" w:ascii="宋体" w:hAnsi="宋体" w:eastAsia="宋体" w:cs="宋体"/>
          <w:b/>
          <w:bCs/>
          <w:sz w:val="28"/>
          <w:szCs w:val="28"/>
        </w:rPr>
      </w:pPr>
      <w:bookmarkStart w:id="487" w:name="_Toc5523"/>
      <w:r>
        <w:rPr>
          <w:rFonts w:hint="eastAsia" w:ascii="宋体" w:hAnsi="宋体" w:eastAsia="宋体" w:cs="宋体"/>
          <w:b/>
          <w:bCs/>
          <w:sz w:val="28"/>
          <w:szCs w:val="28"/>
        </w:rPr>
        <w:t>预算安排与执行情况表</w:t>
      </w:r>
      <w:bookmarkEnd w:id="487"/>
    </w:p>
    <w:p>
      <w:pPr>
        <w:widowControl/>
        <w:ind w:firstLine="0" w:firstLineChars="0"/>
        <w:jc w:val="right"/>
        <w:rPr>
          <w:rFonts w:hint="eastAsia" w:ascii="宋体" w:hAnsi="宋体" w:eastAsia="宋体" w:cs="仿宋"/>
          <w:color w:val="000000"/>
          <w:kern w:val="0"/>
          <w:sz w:val="24"/>
        </w:rPr>
      </w:pPr>
      <w:r>
        <w:rPr>
          <w:rFonts w:hint="eastAsia" w:ascii="宋体" w:hAnsi="宋体" w:eastAsia="宋体" w:cs="仿宋"/>
          <w:color w:val="000000"/>
          <w:kern w:val="0"/>
          <w:sz w:val="24"/>
        </w:rPr>
        <w:t>单位：万元</w:t>
      </w:r>
    </w:p>
    <w:tbl>
      <w:tblPr>
        <w:tblStyle w:val="18"/>
        <w:tblW w:w="8996" w:type="dxa"/>
        <w:jc w:val="center"/>
        <w:tblLayout w:type="autofit"/>
        <w:tblCellMar>
          <w:top w:w="0" w:type="dxa"/>
          <w:left w:w="108" w:type="dxa"/>
          <w:bottom w:w="0" w:type="dxa"/>
          <w:right w:w="108" w:type="dxa"/>
        </w:tblCellMar>
      </w:tblPr>
      <w:tblGrid>
        <w:gridCol w:w="686"/>
        <w:gridCol w:w="306"/>
        <w:gridCol w:w="2688"/>
        <w:gridCol w:w="856"/>
        <w:gridCol w:w="952"/>
        <w:gridCol w:w="1034"/>
        <w:gridCol w:w="856"/>
        <w:gridCol w:w="671"/>
        <w:gridCol w:w="947"/>
      </w:tblGrid>
      <w:tr>
        <w:tblPrEx>
          <w:tblCellMar>
            <w:top w:w="0" w:type="dxa"/>
            <w:left w:w="108" w:type="dxa"/>
            <w:bottom w:w="0" w:type="dxa"/>
            <w:right w:w="108" w:type="dxa"/>
          </w:tblCellMar>
        </w:tblPrEx>
        <w:trPr>
          <w:trHeight w:val="545" w:hRule="atLeast"/>
          <w:tblHeader/>
          <w:jc w:val="center"/>
        </w:trPr>
        <w:tc>
          <w:tcPr>
            <w:tcW w:w="0" w:type="auto"/>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支出类别</w:t>
            </w:r>
          </w:p>
        </w:tc>
        <w:tc>
          <w:tcPr>
            <w:tcW w:w="0" w:type="auto"/>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项目名称</w:t>
            </w:r>
          </w:p>
        </w:tc>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年初预算</w:t>
            </w:r>
          </w:p>
        </w:tc>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调整后预算</w:t>
            </w:r>
          </w:p>
        </w:tc>
        <w:tc>
          <w:tcPr>
            <w:tcW w:w="0" w:type="auto"/>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预算调整率</w:t>
            </w:r>
          </w:p>
        </w:tc>
        <w:tc>
          <w:tcPr>
            <w:tcW w:w="0" w:type="auto"/>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执行金额</w:t>
            </w:r>
          </w:p>
        </w:tc>
        <w:tc>
          <w:tcPr>
            <w:tcW w:w="67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结余金额</w:t>
            </w:r>
          </w:p>
        </w:tc>
        <w:tc>
          <w:tcPr>
            <w:tcW w:w="94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执行率</w:t>
            </w:r>
          </w:p>
        </w:tc>
      </w:tr>
      <w:tr>
        <w:tblPrEx>
          <w:tblCellMar>
            <w:top w:w="0" w:type="dxa"/>
            <w:left w:w="108" w:type="dxa"/>
            <w:bottom w:w="0" w:type="dxa"/>
            <w:right w:w="108" w:type="dxa"/>
          </w:tblCellMar>
        </w:tblPrEx>
        <w:trPr>
          <w:trHeight w:val="545" w:hRule="atLeast"/>
          <w:tblHeader/>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67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9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r>
      <w:tr>
        <w:tblPrEx>
          <w:tblCellMar>
            <w:top w:w="0" w:type="dxa"/>
            <w:left w:w="108" w:type="dxa"/>
            <w:bottom w:w="0" w:type="dxa"/>
            <w:right w:w="108" w:type="dxa"/>
          </w:tblCellMar>
        </w:tblPrEx>
        <w:trPr>
          <w:trHeight w:val="421" w:hRule="atLeast"/>
          <w:jc w:val="center"/>
        </w:trPr>
        <w:tc>
          <w:tcPr>
            <w:tcW w:w="0" w:type="auto"/>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基本支出</w:t>
            </w:r>
          </w:p>
        </w:tc>
        <w:tc>
          <w:tcPr>
            <w:tcW w:w="0" w:type="auto"/>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人员经费</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571.78</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623.13</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8.98%</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623.13</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421"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公用经费</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24.21</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21.74</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-10.19%</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21.74</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421"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小计</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595.99</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644.87</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highlight w:val="yellow"/>
              </w:rPr>
            </w:pPr>
            <w:r>
              <w:rPr>
                <w:rFonts w:hint="eastAsia" w:ascii="宋体" w:hAnsi="宋体" w:eastAsia="宋体" w:cs="宋体"/>
                <w:b/>
                <w:bCs/>
                <w:color w:val="000000"/>
                <w:kern w:val="0"/>
                <w:sz w:val="18"/>
                <w:szCs w:val="18"/>
              </w:rPr>
              <w:t>8.20%</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644.87</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421" w:hRule="atLeast"/>
          <w:jc w:val="center"/>
        </w:trPr>
        <w:tc>
          <w:tcPr>
            <w:tcW w:w="0" w:type="auto"/>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项目支出</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校园改造项目（校舍安全保障）</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23.10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23.10</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421" w:hRule="atLeast"/>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保升初中2023年公用经费</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18.80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18.80</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787" w:hRule="atLeast"/>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保升初中师生食堂及厕所改扩建项目</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89.12</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89.12</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787" w:hRule="atLeast"/>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2023年城乡义务教育补助经费（公用经费）</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5.64</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5.64</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787" w:hRule="atLeast"/>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遂宁市船山区保升初中食堂及厕所改扩建项目提前下达</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50.00</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r>
      <w:tr>
        <w:tblPrEx>
          <w:tblCellMar>
            <w:top w:w="0" w:type="dxa"/>
            <w:left w:w="108" w:type="dxa"/>
            <w:bottom w:w="0" w:type="dxa"/>
            <w:right w:w="108" w:type="dxa"/>
          </w:tblCellMar>
        </w:tblPrEx>
        <w:trPr>
          <w:trHeight w:val="421" w:hRule="atLeast"/>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0" w:type="auto"/>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2023年教职工体检费</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6.20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-100.00%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0.00</w:t>
            </w:r>
          </w:p>
        </w:tc>
        <w:tc>
          <w:tcPr>
            <w:tcW w:w="671"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c>
          <w:tcPr>
            <w:tcW w:w="946"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0.00</w:t>
            </w:r>
          </w:p>
        </w:tc>
      </w:tr>
      <w:tr>
        <w:tblPrEx>
          <w:tblCellMar>
            <w:top w:w="0" w:type="dxa"/>
            <w:left w:w="108" w:type="dxa"/>
            <w:bottom w:w="0" w:type="dxa"/>
            <w:right w:w="108" w:type="dxa"/>
          </w:tblCellMar>
        </w:tblPrEx>
        <w:trPr>
          <w:trHeight w:val="421" w:hRule="atLeast"/>
          <w:jc w:val="center"/>
        </w:trPr>
        <w:tc>
          <w:tcPr>
            <w:tcW w:w="0" w:type="auto"/>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left"/>
              <w:rPr>
                <w:rFonts w:hint="eastAsia" w:ascii="宋体" w:hAnsi="宋体" w:eastAsia="宋体" w:cs="宋体"/>
                <w:b/>
                <w:bCs/>
                <w:color w:val="000000"/>
                <w:kern w:val="0"/>
                <w:sz w:val="18"/>
                <w:szCs w:val="18"/>
              </w:rPr>
            </w:pPr>
          </w:p>
        </w:tc>
        <w:tc>
          <w:tcPr>
            <w:tcW w:w="0" w:type="auto"/>
            <w:gridSpan w:val="2"/>
            <w:tcBorders>
              <w:top w:val="single" w:color="auto" w:sz="4" w:space="0"/>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小计</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56.20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186.65</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232.12%</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186.65</w:t>
            </w:r>
          </w:p>
        </w:tc>
        <w:tc>
          <w:tcPr>
            <w:tcW w:w="671"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0.00</w:t>
            </w:r>
          </w:p>
        </w:tc>
        <w:tc>
          <w:tcPr>
            <w:tcW w:w="946"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color w:val="000000"/>
                <w:kern w:val="0"/>
                <w:sz w:val="18"/>
                <w:szCs w:val="18"/>
              </w:rPr>
              <w:t>100.00%</w:t>
            </w:r>
          </w:p>
        </w:tc>
      </w:tr>
      <w:tr>
        <w:tblPrEx>
          <w:tblCellMar>
            <w:top w:w="0" w:type="dxa"/>
            <w:left w:w="108" w:type="dxa"/>
            <w:bottom w:w="0" w:type="dxa"/>
            <w:right w:w="108" w:type="dxa"/>
          </w:tblCellMar>
        </w:tblPrEx>
        <w:trPr>
          <w:trHeight w:val="473" w:hRule="atLeast"/>
          <w:jc w:val="center"/>
        </w:trPr>
        <w:tc>
          <w:tcPr>
            <w:tcW w:w="0" w:type="auto"/>
            <w:gridSpan w:val="3"/>
            <w:tcBorders>
              <w:top w:val="single" w:color="auto" w:sz="4" w:space="0"/>
              <w:left w:val="single" w:color="auto" w:sz="4" w:space="0"/>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合计</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652.19</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bookmarkStart w:id="488" w:name="OLE_LINK2"/>
            <w:r>
              <w:rPr>
                <w:rFonts w:hint="eastAsia" w:ascii="宋体" w:hAnsi="宋体" w:eastAsia="宋体" w:cs="宋体"/>
                <w:b/>
                <w:bCs/>
                <w:kern w:val="0"/>
                <w:sz w:val="18"/>
                <w:szCs w:val="18"/>
              </w:rPr>
              <w:t>831.52</w:t>
            </w:r>
            <w:bookmarkEnd w:id="488"/>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27.50%</w:t>
            </w:r>
          </w:p>
        </w:tc>
        <w:tc>
          <w:tcPr>
            <w:tcW w:w="0" w:type="auto"/>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831.52</w:t>
            </w:r>
          </w:p>
        </w:tc>
        <w:tc>
          <w:tcPr>
            <w:tcW w:w="671"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0.00</w:t>
            </w:r>
          </w:p>
        </w:tc>
        <w:tc>
          <w:tcPr>
            <w:tcW w:w="946"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100.00%</w:t>
            </w:r>
          </w:p>
        </w:tc>
      </w:tr>
    </w:tbl>
    <w:p>
      <w:pPr>
        <w:pStyle w:val="4"/>
        <w:ind w:firstLine="643"/>
        <w:rPr>
          <w:rFonts w:hint="eastAsia"/>
        </w:rPr>
      </w:pPr>
      <w:bookmarkStart w:id="489" w:name="_Toc4303"/>
      <w:bookmarkStart w:id="490" w:name="_Toc1158"/>
      <w:bookmarkStart w:id="491" w:name="_Toc13788"/>
      <w:r>
        <w:rPr>
          <w:rFonts w:hint="eastAsia" w:ascii="楷体" w:hAnsi="楷体" w:cs="楷体"/>
        </w:rPr>
        <w:t>2.</w:t>
      </w:r>
      <w:r>
        <w:rPr>
          <w:rFonts w:hint="eastAsia"/>
        </w:rPr>
        <w:t>预算调整情况</w:t>
      </w:r>
      <w:bookmarkEnd w:id="489"/>
      <w:bookmarkEnd w:id="490"/>
      <w:bookmarkEnd w:id="491"/>
    </w:p>
    <w:p>
      <w:pPr>
        <w:ind w:firstLine="640"/>
        <w:rPr>
          <w:rFonts w:hint="eastAsia" w:ascii="仿宋" w:hAnsi="仿宋" w:cs="仿宋"/>
        </w:rPr>
      </w:pPr>
      <w:r>
        <w:rPr>
          <w:rFonts w:hint="eastAsia" w:ascii="仿宋" w:hAnsi="仿宋" w:cs="仿宋"/>
        </w:rPr>
        <w:t>2023年保升初中年初预算总额652.19万元，调整后预算总额831.52万元，调整率为27.50%。其中主要调整项为：公用经费预算调整减少2.47万元，节约10.19%；人员经费调整增加额51.35万元；调整原因主要为目标考核工资未纳入年初预算。项目支出调整增加130.45万元，其中“公用经费”调整为中央补助18.8万元和省级补助资金5.64万元。师生食堂及厕所改扩建项目调整增加额89.12万元。</w:t>
      </w:r>
    </w:p>
    <w:p>
      <w:pPr>
        <w:pStyle w:val="4"/>
        <w:ind w:firstLine="643"/>
        <w:rPr>
          <w:rFonts w:hint="eastAsia"/>
        </w:rPr>
      </w:pPr>
      <w:bookmarkStart w:id="492" w:name="_Toc8996"/>
      <w:bookmarkStart w:id="493" w:name="_Toc14766"/>
      <w:bookmarkStart w:id="494" w:name="_Toc5388"/>
      <w:r>
        <w:rPr>
          <w:rFonts w:hint="eastAsia" w:ascii="楷体" w:hAnsi="楷体" w:cs="楷体"/>
        </w:rPr>
        <w:t>3.</w:t>
      </w:r>
      <w:r>
        <w:rPr>
          <w:rFonts w:hint="eastAsia"/>
        </w:rPr>
        <w:t>预算结余情况</w:t>
      </w:r>
      <w:bookmarkEnd w:id="492"/>
      <w:bookmarkEnd w:id="493"/>
      <w:bookmarkEnd w:id="494"/>
    </w:p>
    <w:p>
      <w:pPr>
        <w:widowControl/>
        <w:adjustRightInd w:val="0"/>
        <w:snapToGrid w:val="0"/>
        <w:ind w:firstLine="640"/>
        <w:contextualSpacing/>
        <w:rPr>
          <w:rFonts w:hint="eastAsia" w:ascii="仿宋" w:hAnsi="仿宋" w:cs="仿宋"/>
          <w:szCs w:val="32"/>
        </w:rPr>
      </w:pPr>
      <w:r>
        <w:rPr>
          <w:rFonts w:hint="eastAsia" w:ascii="仿宋" w:hAnsi="仿宋" w:cs="仿宋"/>
          <w:szCs w:val="32"/>
          <w:lang w:val="zh-CN"/>
        </w:rPr>
        <w:t>20</w:t>
      </w:r>
      <w:r>
        <w:rPr>
          <w:rFonts w:hint="eastAsia" w:ascii="仿宋" w:hAnsi="仿宋" w:cs="仿宋"/>
          <w:szCs w:val="32"/>
        </w:rPr>
        <w:t>23</w:t>
      </w:r>
      <w:r>
        <w:rPr>
          <w:rFonts w:hint="eastAsia" w:ascii="仿宋" w:hAnsi="仿宋" w:cs="仿宋"/>
          <w:szCs w:val="32"/>
          <w:lang w:val="zh-CN"/>
        </w:rPr>
        <w:t>年</w:t>
      </w:r>
      <w:r>
        <w:rPr>
          <w:rFonts w:hint="eastAsia" w:ascii="仿宋" w:hAnsi="仿宋" w:cs="仿宋"/>
          <w:szCs w:val="32"/>
        </w:rPr>
        <w:t>年初</w:t>
      </w:r>
      <w:r>
        <w:rPr>
          <w:rFonts w:hint="eastAsia" w:ascii="仿宋" w:hAnsi="仿宋" w:cs="仿宋"/>
          <w:szCs w:val="32"/>
          <w:lang w:val="zh-CN"/>
        </w:rPr>
        <w:t>收入预算652.19</w:t>
      </w:r>
      <w:r>
        <w:rPr>
          <w:rFonts w:hint="eastAsia" w:ascii="仿宋" w:hAnsi="仿宋" w:cs="仿宋"/>
          <w:color w:val="000000"/>
          <w:kern w:val="0"/>
          <w:szCs w:val="32"/>
        </w:rPr>
        <w:t>万</w:t>
      </w:r>
      <w:r>
        <w:rPr>
          <w:rFonts w:hint="eastAsia" w:ascii="仿宋" w:hAnsi="仿宋" w:cs="仿宋"/>
          <w:szCs w:val="32"/>
          <w:lang w:val="zh-CN"/>
        </w:rPr>
        <w:t>元，</w:t>
      </w:r>
      <w:r>
        <w:rPr>
          <w:rFonts w:hint="eastAsia" w:ascii="仿宋" w:hAnsi="仿宋" w:cs="仿宋"/>
          <w:szCs w:val="32"/>
        </w:rPr>
        <w:t>调整后预算为831.52</w:t>
      </w:r>
      <w:r>
        <w:rPr>
          <w:rFonts w:hint="eastAsia" w:ascii="仿宋" w:hAnsi="仿宋" w:cs="仿宋"/>
          <w:color w:val="000000"/>
          <w:kern w:val="0"/>
          <w:szCs w:val="32"/>
        </w:rPr>
        <w:t>万</w:t>
      </w:r>
      <w:r>
        <w:rPr>
          <w:rFonts w:hint="eastAsia" w:ascii="仿宋" w:hAnsi="仿宋" w:cs="仿宋"/>
          <w:szCs w:val="32"/>
          <w:lang w:val="zh-CN"/>
        </w:rPr>
        <w:t>元。</w:t>
      </w:r>
      <w:r>
        <w:rPr>
          <w:rFonts w:hint="eastAsia" w:ascii="仿宋" w:hAnsi="仿宋" w:cs="仿宋"/>
          <w:szCs w:val="32"/>
        </w:rPr>
        <w:t>本年度</w:t>
      </w:r>
      <w:r>
        <w:rPr>
          <w:rFonts w:hint="eastAsia" w:ascii="仿宋" w:hAnsi="仿宋" w:cs="仿宋"/>
          <w:color w:val="000000"/>
          <w:kern w:val="0"/>
          <w:szCs w:val="32"/>
          <w:shd w:val="clear" w:color="auto" w:fill="FFFFFF"/>
        </w:rPr>
        <w:t>实际支出831.52</w:t>
      </w:r>
      <w:r>
        <w:rPr>
          <w:rFonts w:hint="eastAsia" w:ascii="仿宋" w:hAnsi="仿宋" w:cs="仿宋"/>
          <w:color w:val="000000"/>
          <w:kern w:val="0"/>
          <w:szCs w:val="32"/>
        </w:rPr>
        <w:t>万</w:t>
      </w:r>
      <w:r>
        <w:rPr>
          <w:rFonts w:hint="eastAsia" w:ascii="仿宋" w:hAnsi="仿宋" w:cs="仿宋"/>
          <w:color w:val="000000"/>
          <w:kern w:val="0"/>
          <w:szCs w:val="32"/>
          <w:shd w:val="clear" w:color="auto" w:fill="FFFFFF"/>
        </w:rPr>
        <w:t>元，无结余。</w:t>
      </w:r>
    </w:p>
    <w:p>
      <w:pPr>
        <w:pStyle w:val="3"/>
        <w:ind w:firstLine="643"/>
        <w:rPr>
          <w:rFonts w:hint="eastAsia"/>
        </w:rPr>
      </w:pPr>
      <w:bookmarkStart w:id="495" w:name="_Toc19274"/>
      <w:bookmarkStart w:id="496" w:name="_Toc9922"/>
      <w:bookmarkStart w:id="497" w:name="_Toc16121"/>
      <w:bookmarkStart w:id="498" w:name="_Toc4812"/>
      <w:r>
        <w:rPr>
          <w:rFonts w:hint="eastAsia"/>
        </w:rPr>
        <w:t>（四）部门资产情况</w:t>
      </w:r>
      <w:bookmarkEnd w:id="495"/>
      <w:bookmarkEnd w:id="496"/>
      <w:bookmarkEnd w:id="497"/>
      <w:bookmarkEnd w:id="498"/>
    </w:p>
    <w:p>
      <w:pPr>
        <w:pStyle w:val="4"/>
        <w:ind w:firstLine="643"/>
        <w:rPr>
          <w:rFonts w:hint="eastAsia"/>
        </w:rPr>
      </w:pPr>
      <w:bookmarkStart w:id="499" w:name="_Toc25076"/>
      <w:bookmarkStart w:id="500" w:name="_Toc151"/>
      <w:bookmarkStart w:id="501" w:name="_Toc8959"/>
      <w:r>
        <w:rPr>
          <w:rFonts w:hint="eastAsia" w:ascii="楷体" w:hAnsi="楷体" w:cs="楷体"/>
        </w:rPr>
        <w:t>1.</w:t>
      </w:r>
      <w:r>
        <w:rPr>
          <w:rFonts w:hint="eastAsia"/>
        </w:rPr>
        <w:t>流动资产</w:t>
      </w:r>
      <w:bookmarkEnd w:id="499"/>
      <w:bookmarkEnd w:id="500"/>
      <w:bookmarkEnd w:id="501"/>
    </w:p>
    <w:p>
      <w:pPr>
        <w:pStyle w:val="31"/>
        <w:widowControl/>
        <w:ind w:firstLine="640"/>
        <w:jc w:val="left"/>
        <w:rPr>
          <w:rFonts w:hint="eastAsia" w:ascii="仿宋" w:hAnsi="仿宋" w:cs="仿宋"/>
          <w:szCs w:val="32"/>
        </w:rPr>
      </w:pPr>
      <w:r>
        <w:rPr>
          <w:rFonts w:hint="eastAsia" w:ascii="仿宋" w:hAnsi="仿宋" w:cs="仿宋"/>
          <w:szCs w:val="32"/>
        </w:rPr>
        <w:t>经查看保升初中2023年度日记账、科目余额表、往来账和财务报表，截至2023年底，流动资产合计28.08万元。其中：银行存款20.82万元，现金0.01万元，其他应收余额7.25万元，其他应收为财政返还归垫资金。</w:t>
      </w:r>
    </w:p>
    <w:p>
      <w:pPr>
        <w:pStyle w:val="4"/>
        <w:ind w:firstLine="643"/>
        <w:rPr>
          <w:rFonts w:hint="eastAsia"/>
        </w:rPr>
      </w:pPr>
      <w:bookmarkStart w:id="502" w:name="_Toc7326"/>
      <w:bookmarkStart w:id="503" w:name="_Toc18395"/>
      <w:bookmarkStart w:id="504" w:name="_Toc9188"/>
      <w:r>
        <w:rPr>
          <w:rFonts w:hint="eastAsia" w:ascii="楷体" w:hAnsi="楷体" w:cs="楷体"/>
        </w:rPr>
        <w:t>2.</w:t>
      </w:r>
      <w:r>
        <w:rPr>
          <w:rFonts w:hint="eastAsia"/>
        </w:rPr>
        <w:t>固定资产</w:t>
      </w:r>
      <w:bookmarkEnd w:id="502"/>
      <w:bookmarkEnd w:id="503"/>
      <w:bookmarkEnd w:id="504"/>
    </w:p>
    <w:p>
      <w:pPr>
        <w:ind w:firstLine="640"/>
        <w:rPr>
          <w:rFonts w:hint="eastAsia" w:ascii="仿宋" w:hAnsi="仿宋" w:cs="仿宋"/>
        </w:rPr>
      </w:pPr>
      <w:r>
        <w:rPr>
          <w:rFonts w:hint="eastAsia" w:ascii="仿宋" w:hAnsi="仿宋" w:cs="仿宋"/>
          <w:szCs w:val="32"/>
        </w:rPr>
        <w:t>保升初中</w:t>
      </w:r>
      <w:r>
        <w:rPr>
          <w:rFonts w:hint="eastAsia" w:ascii="仿宋" w:hAnsi="仿宋" w:cs="仿宋"/>
        </w:rPr>
        <w:t>财务人员和资产管理人员对本单位的固定资产负有管理责任。资产管理人员负责实物资产的入库、领用、转移、处置手续，参与资产清查盘点工作，与财务专员对账，并设置实物台账，建立资产卡片，及时记录资产内部转移及报废处置情况等并通知财务人员，对固定资产的使用落实到使用人；财务人员负责固定资产的财务核算，正确记载固定资产原值、折旧和净值，对固定资产的增减变动及时进行账务处理，会同实物管理专员进行固定资产盘点，做到账实相符，保持账、物、卡一致，并及时向领导提出需报废的资产清单。截至2023年12月31日，</w:t>
      </w:r>
      <w:r>
        <w:rPr>
          <w:rFonts w:hint="eastAsia" w:ascii="仿宋" w:hAnsi="仿宋" w:cs="仿宋"/>
          <w:szCs w:val="32"/>
        </w:rPr>
        <w:t>保升初中</w:t>
      </w:r>
      <w:r>
        <w:rPr>
          <w:rFonts w:hint="eastAsia" w:ascii="仿宋" w:hAnsi="仿宋" w:cs="仿宋"/>
        </w:rPr>
        <w:t>固定资产实有净值共计350.89万元，其中房屋305.70万元；通用设备7.11万元（其中：车辆0.00万元）；专用设备0.69万元；家具、用具、装具及动植物35.80万元；图书、档案1.59万元。根据2023年固定资产年报，经实际盘点和查看，</w:t>
      </w:r>
      <w:r>
        <w:rPr>
          <w:rFonts w:hint="eastAsia" w:ascii="仿宋" w:hAnsi="仿宋" w:cs="仿宋"/>
          <w:szCs w:val="32"/>
        </w:rPr>
        <w:t>保升初中无资产</w:t>
      </w:r>
      <w:r>
        <w:rPr>
          <w:rFonts w:hint="eastAsia" w:ascii="仿宋" w:hAnsi="仿宋" w:cs="仿宋"/>
        </w:rPr>
        <w:t>闲置情况，资产利用率为100.00%。具体资产统计情况详见下表。</w:t>
      </w:r>
    </w:p>
    <w:p>
      <w:pPr>
        <w:bidi/>
        <w:ind w:left="0" w:right="0" w:firstLine="0" w:firstLineChars="0"/>
        <w:jc w:val="center"/>
        <w:rPr>
          <w:rFonts w:hint="eastAsia" w:ascii="宋体" w:hAnsi="宋体" w:eastAsia="宋体" w:cs="宋体"/>
          <w:sz w:val="28"/>
          <w:szCs w:val="28"/>
        </w:rPr>
      </w:pPr>
      <w:bookmarkStart w:id="505" w:name="_Toc21263"/>
      <w:bookmarkStart w:id="506" w:name="_Toc12444"/>
      <w:r>
        <w:rPr>
          <w:rFonts w:hint="eastAsia" w:ascii="宋体" w:hAnsi="宋体" w:eastAsia="宋体" w:cs="宋体"/>
          <w:b/>
          <w:bCs/>
          <w:sz w:val="28"/>
          <w:szCs w:val="28"/>
        </w:rPr>
        <w:t>固定资产管理情况总结</w:t>
      </w:r>
      <w:bookmarkEnd w:id="505"/>
      <w:bookmarkEnd w:id="506"/>
    </w:p>
    <w:p>
      <w:pPr>
        <w:ind w:firstLine="482"/>
        <w:jc w:val="right"/>
        <w:rPr>
          <w:rFonts w:hint="eastAsia" w:ascii="宋体" w:hAnsi="宋体" w:eastAsia="宋体" w:cs="宋体"/>
          <w:b/>
          <w:bCs/>
          <w:sz w:val="24"/>
          <w:szCs w:val="24"/>
        </w:rPr>
      </w:pPr>
      <w:r>
        <w:rPr>
          <w:rFonts w:hint="eastAsia" w:ascii="宋体" w:hAnsi="宋体" w:eastAsia="宋体" w:cs="宋体"/>
          <w:sz w:val="24"/>
          <w:szCs w:val="24"/>
        </w:rPr>
        <w:t>单位：平方米、台（套）、件、册、万元</w:t>
      </w:r>
    </w:p>
    <w:tbl>
      <w:tblPr>
        <w:tblStyle w:val="18"/>
        <w:tblW w:w="84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040"/>
        <w:gridCol w:w="917"/>
        <w:gridCol w:w="900"/>
        <w:gridCol w:w="645"/>
        <w:gridCol w:w="765"/>
        <w:gridCol w:w="1005"/>
        <w:gridCol w:w="94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39" w:type="dxa"/>
            <w:vMerge w:val="restart"/>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资产类别</w:t>
            </w:r>
          </w:p>
        </w:tc>
        <w:tc>
          <w:tcPr>
            <w:tcW w:w="2857" w:type="dxa"/>
            <w:gridSpan w:val="3"/>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期初</w:t>
            </w:r>
          </w:p>
        </w:tc>
        <w:tc>
          <w:tcPr>
            <w:tcW w:w="1410" w:type="dxa"/>
            <w:gridSpan w:val="2"/>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新增</w:t>
            </w:r>
          </w:p>
        </w:tc>
        <w:tc>
          <w:tcPr>
            <w:tcW w:w="2835" w:type="dxa"/>
            <w:gridSpan w:val="3"/>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期末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39" w:type="dxa"/>
            <w:vMerge w:val="continue"/>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p>
        </w:tc>
        <w:tc>
          <w:tcPr>
            <w:tcW w:w="1040"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917"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原值</w:t>
            </w:r>
          </w:p>
        </w:tc>
        <w:tc>
          <w:tcPr>
            <w:tcW w:w="900"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净值</w:t>
            </w:r>
          </w:p>
        </w:tc>
        <w:tc>
          <w:tcPr>
            <w:tcW w:w="645"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765"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原值</w:t>
            </w:r>
          </w:p>
        </w:tc>
        <w:tc>
          <w:tcPr>
            <w:tcW w:w="1005"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数量</w:t>
            </w:r>
          </w:p>
        </w:tc>
        <w:tc>
          <w:tcPr>
            <w:tcW w:w="945"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原值</w:t>
            </w:r>
          </w:p>
        </w:tc>
        <w:tc>
          <w:tcPr>
            <w:tcW w:w="885"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339"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1.土地、房屋及构筑物</w:t>
            </w:r>
          </w:p>
        </w:tc>
        <w:tc>
          <w:tcPr>
            <w:tcW w:w="1040"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6013.89</w:t>
            </w:r>
          </w:p>
        </w:tc>
        <w:tc>
          <w:tcPr>
            <w:tcW w:w="917"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839.69</w:t>
            </w:r>
          </w:p>
        </w:tc>
        <w:tc>
          <w:tcPr>
            <w:tcW w:w="900"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305.70</w:t>
            </w:r>
          </w:p>
        </w:tc>
        <w:tc>
          <w:tcPr>
            <w:tcW w:w="6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0</w:t>
            </w:r>
          </w:p>
        </w:tc>
        <w:tc>
          <w:tcPr>
            <w:tcW w:w="765" w:type="dxa"/>
            <w:noWrap w:val="0"/>
            <w:vAlign w:val="center"/>
          </w:tcPr>
          <w:p>
            <w:pPr>
              <w:bidi/>
              <w:adjustRightInd w:val="0"/>
              <w:spacing w:line="240" w:lineRule="auto"/>
              <w:ind w:left="0" w:right="0" w:firstLine="0" w:firstLineChars="0"/>
              <w:jc w:val="left"/>
              <w:rPr>
                <w:rFonts w:ascii="宋体" w:hAnsi="宋体" w:eastAsia="宋体" w:cs="宋体"/>
                <w:sz w:val="20"/>
                <w:szCs w:val="20"/>
              </w:rPr>
            </w:pPr>
            <w:r>
              <w:rPr>
                <w:rFonts w:hint="eastAsia" w:ascii="宋体" w:hAnsi="宋体" w:eastAsia="宋体" w:cs="宋体"/>
                <w:sz w:val="20"/>
                <w:szCs w:val="20"/>
              </w:rPr>
              <w:t>0.00</w:t>
            </w:r>
          </w:p>
        </w:tc>
        <w:tc>
          <w:tcPr>
            <w:tcW w:w="100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6013.89</w:t>
            </w:r>
          </w:p>
        </w:tc>
        <w:tc>
          <w:tcPr>
            <w:tcW w:w="9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color w:val="000000"/>
                <w:kern w:val="0"/>
                <w:sz w:val="20"/>
                <w:szCs w:val="20"/>
                <w:lang w:bidi="ar"/>
              </w:rPr>
              <w:t>839.69</w:t>
            </w:r>
          </w:p>
        </w:tc>
        <w:tc>
          <w:tcPr>
            <w:tcW w:w="88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color w:val="000000"/>
                <w:kern w:val="0"/>
                <w:sz w:val="20"/>
                <w:szCs w:val="20"/>
                <w:lang w:bidi="ar"/>
              </w:rPr>
              <w:t>305.70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39"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2.通用设备</w:t>
            </w:r>
          </w:p>
        </w:tc>
        <w:tc>
          <w:tcPr>
            <w:tcW w:w="1040"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89.00</w:t>
            </w:r>
          </w:p>
        </w:tc>
        <w:tc>
          <w:tcPr>
            <w:tcW w:w="917"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25.04</w:t>
            </w:r>
          </w:p>
        </w:tc>
        <w:tc>
          <w:tcPr>
            <w:tcW w:w="900"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1.18</w:t>
            </w:r>
          </w:p>
        </w:tc>
        <w:tc>
          <w:tcPr>
            <w:tcW w:w="6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8</w:t>
            </w:r>
          </w:p>
        </w:tc>
        <w:tc>
          <w:tcPr>
            <w:tcW w:w="76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6.25</w:t>
            </w:r>
          </w:p>
        </w:tc>
        <w:tc>
          <w:tcPr>
            <w:tcW w:w="100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36.00</w:t>
            </w:r>
          </w:p>
        </w:tc>
        <w:tc>
          <w:tcPr>
            <w:tcW w:w="9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31.29</w:t>
            </w:r>
          </w:p>
        </w:tc>
        <w:tc>
          <w:tcPr>
            <w:tcW w:w="88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39"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3.专用设备</w:t>
            </w:r>
          </w:p>
        </w:tc>
        <w:tc>
          <w:tcPr>
            <w:tcW w:w="1040"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2</w:t>
            </w:r>
          </w:p>
        </w:tc>
        <w:tc>
          <w:tcPr>
            <w:tcW w:w="917"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sz w:val="20"/>
                <w:szCs w:val="20"/>
              </w:rPr>
              <w:t>0.40</w:t>
            </w:r>
          </w:p>
        </w:tc>
        <w:tc>
          <w:tcPr>
            <w:tcW w:w="900" w:type="dxa"/>
            <w:noWrap w:val="0"/>
            <w:vAlign w:val="center"/>
          </w:tcPr>
          <w:p>
            <w:pPr>
              <w:widowControl/>
              <w:bidi/>
              <w:adjustRightInd w:val="0"/>
              <w:spacing w:line="240" w:lineRule="auto"/>
              <w:ind w:left="0" w:right="0" w:firstLine="0" w:firstLineChars="0"/>
              <w:jc w:val="left"/>
              <w:textAlignment w:val="bottom"/>
              <w:rPr>
                <w:rFonts w:ascii="宋体" w:hAnsi="宋体" w:eastAsia="宋体" w:cs="宋体"/>
                <w:color w:val="000000"/>
                <w:sz w:val="20"/>
                <w:szCs w:val="20"/>
              </w:rPr>
            </w:pPr>
            <w:r>
              <w:rPr>
                <w:rFonts w:hint="eastAsia" w:ascii="宋体" w:hAnsi="宋体" w:eastAsia="宋体" w:cs="宋体"/>
                <w:color w:val="000000"/>
                <w:sz w:val="20"/>
                <w:szCs w:val="20"/>
              </w:rPr>
              <w:t>0.00</w:t>
            </w:r>
          </w:p>
        </w:tc>
        <w:tc>
          <w:tcPr>
            <w:tcW w:w="6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1</w:t>
            </w:r>
          </w:p>
        </w:tc>
        <w:tc>
          <w:tcPr>
            <w:tcW w:w="76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0.70</w:t>
            </w:r>
          </w:p>
        </w:tc>
        <w:tc>
          <w:tcPr>
            <w:tcW w:w="100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1.00</w:t>
            </w:r>
          </w:p>
        </w:tc>
        <w:tc>
          <w:tcPr>
            <w:tcW w:w="9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1.10</w:t>
            </w:r>
          </w:p>
        </w:tc>
        <w:tc>
          <w:tcPr>
            <w:tcW w:w="88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339"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4.家具、用具、装具</w:t>
            </w:r>
          </w:p>
        </w:tc>
        <w:tc>
          <w:tcPr>
            <w:tcW w:w="1040"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610.00</w:t>
            </w:r>
          </w:p>
        </w:tc>
        <w:tc>
          <w:tcPr>
            <w:tcW w:w="917"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20.54</w:t>
            </w:r>
          </w:p>
        </w:tc>
        <w:tc>
          <w:tcPr>
            <w:tcW w:w="900"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color w:val="000000"/>
                <w:kern w:val="0"/>
                <w:sz w:val="20"/>
                <w:szCs w:val="20"/>
                <w:lang w:bidi="ar"/>
              </w:rPr>
              <w:t>8.56</w:t>
            </w:r>
          </w:p>
        </w:tc>
        <w:tc>
          <w:tcPr>
            <w:tcW w:w="6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48</w:t>
            </w:r>
          </w:p>
        </w:tc>
        <w:tc>
          <w:tcPr>
            <w:tcW w:w="765"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sz w:val="20"/>
                <w:szCs w:val="20"/>
              </w:rPr>
              <w:t>29.05</w:t>
            </w:r>
          </w:p>
        </w:tc>
        <w:tc>
          <w:tcPr>
            <w:tcW w:w="100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190.00</w:t>
            </w:r>
          </w:p>
        </w:tc>
        <w:tc>
          <w:tcPr>
            <w:tcW w:w="9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49.59</w:t>
            </w:r>
          </w:p>
        </w:tc>
        <w:tc>
          <w:tcPr>
            <w:tcW w:w="88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35.80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339"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5.图书档案</w:t>
            </w:r>
          </w:p>
        </w:tc>
        <w:tc>
          <w:tcPr>
            <w:tcW w:w="1040"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1600.00</w:t>
            </w:r>
          </w:p>
        </w:tc>
        <w:tc>
          <w:tcPr>
            <w:tcW w:w="917"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1.60</w:t>
            </w:r>
          </w:p>
        </w:tc>
        <w:tc>
          <w:tcPr>
            <w:tcW w:w="900" w:type="dxa"/>
            <w:noWrap w:val="0"/>
            <w:vAlign w:val="center"/>
          </w:tcPr>
          <w:p>
            <w:pPr>
              <w:widowControl/>
              <w:bidi/>
              <w:adjustRightInd w:val="0"/>
              <w:spacing w:line="240" w:lineRule="auto"/>
              <w:ind w:left="0" w:right="0" w:firstLine="0" w:firstLineChar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1.59</w:t>
            </w:r>
          </w:p>
        </w:tc>
        <w:tc>
          <w:tcPr>
            <w:tcW w:w="6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0</w:t>
            </w:r>
          </w:p>
        </w:tc>
        <w:tc>
          <w:tcPr>
            <w:tcW w:w="765" w:type="dxa"/>
            <w:noWrap w:val="0"/>
            <w:vAlign w:val="center"/>
          </w:tcPr>
          <w:p>
            <w:pPr>
              <w:bidi/>
              <w:adjustRightInd w:val="0"/>
              <w:spacing w:line="240" w:lineRule="auto"/>
              <w:ind w:left="0" w:right="0" w:firstLine="0" w:firstLineChars="0"/>
              <w:jc w:val="left"/>
              <w:rPr>
                <w:rFonts w:ascii="宋体" w:hAnsi="宋体" w:eastAsia="宋体" w:cs="宋体"/>
                <w:sz w:val="20"/>
                <w:szCs w:val="20"/>
              </w:rPr>
            </w:pPr>
            <w:r>
              <w:rPr>
                <w:rFonts w:hint="eastAsia" w:ascii="宋体" w:hAnsi="宋体" w:eastAsia="宋体" w:cs="宋体"/>
                <w:sz w:val="20"/>
                <w:szCs w:val="20"/>
              </w:rPr>
              <w:t>0.00</w:t>
            </w:r>
          </w:p>
        </w:tc>
        <w:tc>
          <w:tcPr>
            <w:tcW w:w="100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1600.00</w:t>
            </w:r>
          </w:p>
        </w:tc>
        <w:tc>
          <w:tcPr>
            <w:tcW w:w="9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1.60</w:t>
            </w:r>
          </w:p>
        </w:tc>
        <w:tc>
          <w:tcPr>
            <w:tcW w:w="885" w:type="dxa"/>
            <w:noWrap w:val="0"/>
            <w:vAlign w:val="center"/>
          </w:tcPr>
          <w:p>
            <w:pPr>
              <w:bidi/>
              <w:adjustRightInd w:val="0"/>
              <w:spacing w:line="240" w:lineRule="auto"/>
              <w:ind w:left="0" w:right="0" w:firstLine="0" w:firstLineChars="0"/>
              <w:jc w:val="left"/>
              <w:rPr>
                <w:rFonts w:ascii="宋体" w:hAnsi="宋体" w:eastAsia="宋体" w:cs="宋体"/>
                <w:sz w:val="20"/>
                <w:szCs w:val="20"/>
              </w:rPr>
            </w:pPr>
            <w:r>
              <w:rPr>
                <w:rFonts w:hint="eastAsia" w:ascii="宋体" w:hAnsi="宋体" w:eastAsia="宋体" w:cs="宋体"/>
                <w:sz w:val="20"/>
                <w:szCs w:val="20"/>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339" w:type="dxa"/>
            <w:noWrap w:val="0"/>
            <w:vAlign w:val="center"/>
          </w:tcPr>
          <w:p>
            <w:pPr>
              <w:bidi/>
              <w:adjustRightInd w:val="0"/>
              <w:spacing w:line="240" w:lineRule="auto"/>
              <w:ind w:left="0" w:right="0" w:firstLine="0" w:firstLineChars="0"/>
              <w:jc w:val="center"/>
              <w:rPr>
                <w:rFonts w:hint="eastAsia" w:ascii="宋体" w:hAnsi="宋体" w:eastAsia="宋体" w:cs="宋体"/>
                <w:b/>
                <w:sz w:val="20"/>
                <w:szCs w:val="20"/>
              </w:rPr>
            </w:pPr>
            <w:r>
              <w:rPr>
                <w:rFonts w:hint="eastAsia" w:ascii="宋体" w:hAnsi="宋体" w:eastAsia="宋体" w:cs="宋体"/>
                <w:b/>
                <w:sz w:val="20"/>
                <w:szCs w:val="20"/>
              </w:rPr>
              <w:t>合计</w:t>
            </w:r>
          </w:p>
        </w:tc>
        <w:tc>
          <w:tcPr>
            <w:tcW w:w="1040"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8314.89</w:t>
            </w:r>
          </w:p>
        </w:tc>
        <w:tc>
          <w:tcPr>
            <w:tcW w:w="917"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887.27</w:t>
            </w:r>
          </w:p>
        </w:tc>
        <w:tc>
          <w:tcPr>
            <w:tcW w:w="900"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317.03</w:t>
            </w:r>
          </w:p>
        </w:tc>
        <w:tc>
          <w:tcPr>
            <w:tcW w:w="645" w:type="dxa"/>
            <w:noWrap w:val="0"/>
            <w:vAlign w:val="center"/>
          </w:tcPr>
          <w:p>
            <w:pPr>
              <w:pStyle w:val="7"/>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57</w:t>
            </w:r>
          </w:p>
        </w:tc>
        <w:tc>
          <w:tcPr>
            <w:tcW w:w="76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36.00</w:t>
            </w:r>
          </w:p>
        </w:tc>
        <w:tc>
          <w:tcPr>
            <w:tcW w:w="100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8371.89</w:t>
            </w:r>
          </w:p>
        </w:tc>
        <w:tc>
          <w:tcPr>
            <w:tcW w:w="94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923.27</w:t>
            </w:r>
          </w:p>
        </w:tc>
        <w:tc>
          <w:tcPr>
            <w:tcW w:w="885" w:type="dxa"/>
            <w:noWrap w:val="0"/>
            <w:vAlign w:val="center"/>
          </w:tcPr>
          <w:p>
            <w:pPr>
              <w:bidi/>
              <w:adjustRightInd w:val="0"/>
              <w:spacing w:line="240" w:lineRule="auto"/>
              <w:ind w:left="0" w:right="0" w:firstLine="0" w:firstLineChars="0"/>
              <w:jc w:val="left"/>
              <w:rPr>
                <w:rFonts w:hint="eastAsia" w:ascii="宋体" w:hAnsi="宋体" w:eastAsia="宋体" w:cs="宋体"/>
                <w:sz w:val="20"/>
                <w:szCs w:val="20"/>
              </w:rPr>
            </w:pPr>
            <w:r>
              <w:rPr>
                <w:rFonts w:hint="eastAsia" w:ascii="宋体" w:hAnsi="宋体" w:eastAsia="宋体" w:cs="宋体"/>
                <w:sz w:val="20"/>
                <w:szCs w:val="20"/>
              </w:rPr>
              <w:t>350.89</w:t>
            </w:r>
          </w:p>
        </w:tc>
      </w:tr>
    </w:tbl>
    <w:p>
      <w:pPr>
        <w:pStyle w:val="2"/>
        <w:ind w:firstLine="643"/>
        <w:rPr>
          <w:rFonts w:hint="eastAsia"/>
        </w:rPr>
      </w:pPr>
      <w:bookmarkStart w:id="507" w:name="_Toc7437"/>
      <w:bookmarkStart w:id="508" w:name="_Toc19720"/>
      <w:r>
        <w:rPr>
          <w:rFonts w:hint="eastAsia"/>
        </w:rPr>
        <w:t>二、部门（单位）绩效目标</w:t>
      </w:r>
      <w:bookmarkEnd w:id="507"/>
      <w:bookmarkEnd w:id="508"/>
    </w:p>
    <w:p>
      <w:pPr>
        <w:pStyle w:val="3"/>
        <w:ind w:firstLine="643"/>
        <w:rPr>
          <w:rFonts w:hint="eastAsia"/>
        </w:rPr>
      </w:pPr>
      <w:bookmarkStart w:id="509" w:name="_Toc21828"/>
      <w:bookmarkStart w:id="510" w:name="_Toc8142"/>
      <w:bookmarkStart w:id="511" w:name="_Toc7532"/>
      <w:bookmarkStart w:id="512" w:name="_Toc11115"/>
      <w:r>
        <w:rPr>
          <w:rFonts w:hint="eastAsia"/>
        </w:rPr>
        <w:t>（一）部门（单位）战略目标和中长期规划</w:t>
      </w:r>
      <w:bookmarkEnd w:id="509"/>
      <w:bookmarkEnd w:id="510"/>
      <w:bookmarkEnd w:id="511"/>
      <w:bookmarkEnd w:id="512"/>
    </w:p>
    <w:p>
      <w:pPr>
        <w:pStyle w:val="16"/>
        <w:widowControl/>
        <w:ind w:firstLine="640"/>
        <w:rPr>
          <w:rFonts w:hint="eastAsia" w:ascii="仿宋" w:hAnsi="仿宋" w:cs="仿宋"/>
          <w:bCs/>
          <w:kern w:val="0"/>
          <w:sz w:val="32"/>
          <w:szCs w:val="32"/>
          <w:shd w:val="clear" w:color="auto" w:fill="FFFFFF"/>
        </w:rPr>
      </w:pPr>
      <w:r>
        <w:rPr>
          <w:rFonts w:hint="eastAsia" w:ascii="仿宋" w:hAnsi="仿宋" w:cs="仿宋"/>
          <w:sz w:val="32"/>
          <w:szCs w:val="32"/>
        </w:rPr>
        <w:t>保升初中</w:t>
      </w:r>
      <w:r>
        <w:rPr>
          <w:rFonts w:hint="eastAsia" w:ascii="仿宋" w:hAnsi="仿宋" w:cs="仿宋"/>
          <w:bCs/>
          <w:kern w:val="0"/>
          <w:sz w:val="32"/>
          <w:szCs w:val="32"/>
          <w:shd w:val="clear" w:color="auto" w:fill="FFFFFF"/>
        </w:rPr>
        <w:t>始终秉承“</w:t>
      </w:r>
      <w:r>
        <w:rPr>
          <w:rFonts w:hint="eastAsia" w:ascii="仿宋" w:hAnsi="仿宋" w:cs="仿宋"/>
          <w:color w:val="333333"/>
          <w:sz w:val="32"/>
          <w:szCs w:val="32"/>
        </w:rPr>
        <w:t>向善不止步</w:t>
      </w:r>
      <w:r>
        <w:rPr>
          <w:rFonts w:hint="eastAsia" w:ascii="仿宋" w:hAnsi="仿宋" w:cs="仿宋"/>
          <w:bCs/>
          <w:kern w:val="0"/>
          <w:sz w:val="32"/>
          <w:szCs w:val="32"/>
          <w:shd w:val="clear" w:color="auto" w:fill="FFFFFF"/>
        </w:rPr>
        <w:t>”的办学理念，紧紧围绕“善乐不止步”的办学目标，坚持以“立德树人”为根本任务，以加强安全为根本保障，开展工作。</w:t>
      </w:r>
    </w:p>
    <w:p>
      <w:pPr>
        <w:pStyle w:val="4"/>
        <w:ind w:firstLine="643"/>
        <w:rPr>
          <w:rFonts w:hint="eastAsia"/>
        </w:rPr>
      </w:pPr>
      <w:bookmarkStart w:id="513" w:name="_Toc26605"/>
      <w:bookmarkStart w:id="514" w:name="_Toc31636"/>
      <w:bookmarkStart w:id="515" w:name="_Toc21496"/>
      <w:r>
        <w:rPr>
          <w:rFonts w:hint="eastAsia" w:ascii="楷体" w:hAnsi="楷体" w:eastAsia="楷体" w:cs="楷体"/>
        </w:rPr>
        <w:t>1.</w:t>
      </w:r>
      <w:r>
        <w:rPr>
          <w:rFonts w:hint="eastAsia"/>
        </w:rPr>
        <w:t>加强领导，统一思想，打造幸福班子</w:t>
      </w:r>
      <w:bookmarkEnd w:id="513"/>
      <w:bookmarkEnd w:id="514"/>
      <w:bookmarkEnd w:id="515"/>
    </w:p>
    <w:p>
      <w:pPr>
        <w:ind w:firstLine="640"/>
        <w:rPr>
          <w:rFonts w:hint="eastAsia" w:ascii="仿宋" w:hAnsi="仿宋" w:cs="仿宋"/>
          <w:bCs/>
          <w:kern w:val="0"/>
          <w:szCs w:val="32"/>
          <w:shd w:val="clear" w:color="auto" w:fill="FFFFFF"/>
        </w:rPr>
      </w:pPr>
      <w:r>
        <w:rPr>
          <w:rFonts w:hint="eastAsia" w:ascii="仿宋" w:hAnsi="仿宋" w:cs="仿宋"/>
          <w:bCs/>
          <w:kern w:val="0"/>
          <w:szCs w:val="32"/>
          <w:shd w:val="clear" w:color="auto" w:fill="FFFFFF"/>
        </w:rPr>
        <w:t>校行政领导班子始终坚持同心同德，携手共进。1名校级干部和4名校级领导干部均是经组织推荐，反复考核选出的事业心强、责任心强，有一定管理经验和能力的学科带头人和骨干教师，在工作中实行层级式管理办法，即一级对一级负责，分工明确，各司其职，同时对各部门工作实行不定期和定期检查相结合的办法，促使各项工作有序、高效地运行。在思想建设方面，重视抓好思想政治教育工作，讲政治，讲学习，讲正气。领导班子建设除着眼于组织建设、思想建设外，还特别重视提高领导班子成员的专业知识水平和管理水平，深入开展领导班子成员“五个一”活动（即深入一个班级，联系一个教研组，转变一名“后进生”，发表一篇教育管理论文，提出一项行政管理策略）。</w:t>
      </w:r>
    </w:p>
    <w:p>
      <w:pPr>
        <w:pStyle w:val="4"/>
        <w:ind w:firstLine="643"/>
        <w:rPr>
          <w:rFonts w:hint="eastAsia" w:ascii="楷体" w:hAnsi="楷体" w:cs="楷体"/>
        </w:rPr>
      </w:pPr>
      <w:bookmarkStart w:id="516" w:name="_Toc25596"/>
      <w:bookmarkStart w:id="517" w:name="_Toc8157"/>
      <w:bookmarkStart w:id="518" w:name="_Toc26045"/>
      <w:r>
        <w:rPr>
          <w:rFonts w:hint="eastAsia" w:ascii="楷体" w:hAnsi="楷体" w:cs="楷体"/>
        </w:rPr>
        <w:t>2.强化教师队伍建设，塑造幸福教师</w:t>
      </w:r>
      <w:bookmarkEnd w:id="516"/>
      <w:bookmarkEnd w:id="517"/>
      <w:bookmarkEnd w:id="518"/>
    </w:p>
    <w:p>
      <w:pPr>
        <w:ind w:firstLine="640"/>
        <w:rPr>
          <w:rFonts w:hint="eastAsia" w:ascii="仿宋" w:hAnsi="仿宋" w:cs="仿宋"/>
          <w:bCs/>
          <w:kern w:val="0"/>
          <w:szCs w:val="32"/>
          <w:shd w:val="clear" w:color="auto" w:fill="FFFFFF"/>
        </w:rPr>
      </w:pPr>
      <w:r>
        <w:rPr>
          <w:rFonts w:hint="eastAsia" w:ascii="仿宋" w:hAnsi="仿宋" w:cs="仿宋"/>
          <w:bCs/>
          <w:kern w:val="0"/>
          <w:szCs w:val="32"/>
          <w:shd w:val="clear" w:color="auto" w:fill="FFFFFF"/>
        </w:rPr>
        <w:t>认真领会党的十九届四中全会精神，增强“四个意识”</w:t>
      </w:r>
      <w:r>
        <w:rPr>
          <w:rFonts w:hint="eastAsia" w:ascii="仿宋" w:hAnsi="仿宋" w:cs="仿宋"/>
          <w:bCs/>
          <w:kern w:val="0"/>
          <w:szCs w:val="32"/>
          <w:shd w:val="clear" w:color="auto" w:fill="FFFFFF"/>
          <w:lang w:eastAsia="zh-CN"/>
        </w:rPr>
        <w:t>、</w:t>
      </w:r>
      <w:r>
        <w:rPr>
          <w:rFonts w:hint="eastAsia" w:ascii="仿宋" w:hAnsi="仿宋" w:cs="仿宋"/>
          <w:bCs/>
          <w:kern w:val="0"/>
          <w:szCs w:val="32"/>
          <w:shd w:val="clear" w:color="auto" w:fill="FFFFFF"/>
        </w:rPr>
        <w:t>坚定“四个自信”</w:t>
      </w:r>
      <w:r>
        <w:rPr>
          <w:rFonts w:hint="eastAsia" w:ascii="仿宋" w:hAnsi="仿宋" w:cs="仿宋"/>
          <w:bCs/>
          <w:kern w:val="0"/>
          <w:szCs w:val="32"/>
          <w:shd w:val="clear" w:color="auto" w:fill="FFFFFF"/>
          <w:lang w:eastAsia="zh-CN"/>
        </w:rPr>
        <w:t>、</w:t>
      </w:r>
      <w:bookmarkStart w:id="2170" w:name="_GoBack"/>
      <w:bookmarkEnd w:id="2170"/>
      <w:r>
        <w:rPr>
          <w:rFonts w:hint="eastAsia" w:ascii="仿宋" w:hAnsi="仿宋" w:cs="仿宋"/>
          <w:bCs/>
          <w:kern w:val="0"/>
          <w:szCs w:val="32"/>
          <w:shd w:val="clear" w:color="auto" w:fill="FFFFFF"/>
        </w:rPr>
        <w:t>做到“两个维护”。同时结合工作实际，开展形式多样的主题教育。通过红色实践活动、组织开展民主生活、交心谈心等活动抓好党员思想教育和理论学习。</w:t>
      </w:r>
    </w:p>
    <w:p>
      <w:pPr>
        <w:ind w:firstLine="640"/>
        <w:rPr>
          <w:rFonts w:hint="eastAsia" w:ascii="仿宋" w:hAnsi="仿宋" w:cs="仿宋"/>
          <w:bCs/>
          <w:kern w:val="0"/>
          <w:szCs w:val="32"/>
          <w:shd w:val="clear" w:color="auto" w:fill="FFFFFF"/>
        </w:rPr>
      </w:pPr>
      <w:r>
        <w:rPr>
          <w:rFonts w:hint="eastAsia" w:ascii="仿宋" w:hAnsi="仿宋" w:cs="仿宋"/>
          <w:bCs/>
          <w:kern w:val="0"/>
          <w:szCs w:val="32"/>
          <w:shd w:val="clear" w:color="auto" w:fill="FFFFFF"/>
        </w:rPr>
        <w:t>抓好思想保障。以《中小学教师职业道德规范》和市教育局“五不准”及区教体局“十要十不准”为准绳，认真落实四川省中小学减负有关要求，从“爱生之德”到“敬业之德”，大力加强师德建设。大力抓好队伍思想建设，倡导“做幸福的教师，幸福地做教师。”</w:t>
      </w:r>
    </w:p>
    <w:p>
      <w:pPr>
        <w:pStyle w:val="4"/>
        <w:ind w:firstLine="643"/>
        <w:rPr>
          <w:rFonts w:hint="eastAsia"/>
        </w:rPr>
      </w:pPr>
      <w:bookmarkStart w:id="519" w:name="_Toc30148"/>
      <w:bookmarkStart w:id="520" w:name="_Toc30500"/>
      <w:r>
        <w:rPr>
          <w:rFonts w:hint="eastAsia"/>
        </w:rPr>
        <w:t>3.加强教研工作，提高教师业务能力</w:t>
      </w:r>
      <w:bookmarkEnd w:id="519"/>
      <w:bookmarkEnd w:id="520"/>
    </w:p>
    <w:p>
      <w:pPr>
        <w:ind w:firstLine="640"/>
        <w:rPr>
          <w:rFonts w:hint="eastAsia" w:ascii="仿宋" w:hAnsi="仿宋" w:cs="仿宋"/>
          <w:bCs/>
          <w:kern w:val="0"/>
          <w:szCs w:val="32"/>
          <w:shd w:val="clear" w:color="auto" w:fill="FFFFFF"/>
        </w:rPr>
      </w:pPr>
      <w:r>
        <w:rPr>
          <w:rFonts w:hint="eastAsia" w:ascii="仿宋" w:hAnsi="仿宋" w:cs="仿宋"/>
          <w:bCs/>
          <w:kern w:val="0"/>
          <w:szCs w:val="32"/>
          <w:shd w:val="clear" w:color="auto" w:fill="FFFFFF"/>
        </w:rPr>
        <w:t>从学校可持续发展的高度，认识教研工作，并把它作为兴校的主要策略，明确提出向教研要质量，靠教研上台阶，走教研促教、教研兴校之路。深入推进课程改革，持之以恒地搞好校本教研工作，鼓励、支持和组织教师参与教育教研，以学生主动参与为主线，树立了崭新的课堂教学评价标准。教师逐步把激情带进课堂，把激励带进课堂，把趣味带进课堂，把现代技术带进课堂。</w:t>
      </w:r>
    </w:p>
    <w:p>
      <w:pPr>
        <w:pStyle w:val="4"/>
        <w:ind w:firstLine="643"/>
        <w:rPr>
          <w:rFonts w:hint="eastAsia"/>
        </w:rPr>
      </w:pPr>
      <w:bookmarkStart w:id="521" w:name="_Toc25529"/>
      <w:bookmarkStart w:id="522" w:name="_Toc28270"/>
      <w:bookmarkStart w:id="523" w:name="_Toc32476"/>
      <w:r>
        <w:rPr>
          <w:rFonts w:hint="eastAsia"/>
        </w:rPr>
        <w:t>4.注重培育学生核心素养</w:t>
      </w:r>
      <w:bookmarkEnd w:id="521"/>
      <w:bookmarkEnd w:id="522"/>
      <w:bookmarkEnd w:id="523"/>
    </w:p>
    <w:p>
      <w:pPr>
        <w:ind w:firstLine="640"/>
        <w:rPr>
          <w:rFonts w:hint="eastAsia" w:ascii="仿宋" w:hAnsi="仿宋" w:cs="仿宋"/>
        </w:rPr>
      </w:pPr>
      <w:r>
        <w:rPr>
          <w:rFonts w:hint="eastAsia" w:ascii="仿宋" w:hAnsi="仿宋" w:cs="仿宋"/>
        </w:rPr>
        <w:t>重点把握“信、心、活、全、书”五个字改进德育工作；加强爱国主义教育，使学生养成文明行为习惯、环境保护意识，学生无违法违纪行为发生。</w:t>
      </w:r>
    </w:p>
    <w:p>
      <w:pPr>
        <w:pStyle w:val="4"/>
        <w:ind w:firstLine="643"/>
        <w:rPr>
          <w:rFonts w:hint="eastAsia" w:ascii="楷体" w:hAnsi="楷体" w:cs="楷体"/>
        </w:rPr>
      </w:pPr>
      <w:bookmarkStart w:id="524" w:name="_Toc14259"/>
      <w:bookmarkStart w:id="525" w:name="_Toc1445"/>
      <w:bookmarkStart w:id="526" w:name="_Toc2560"/>
      <w:r>
        <w:rPr>
          <w:rFonts w:hint="eastAsia" w:ascii="楷体" w:hAnsi="楷体" w:cs="楷体"/>
        </w:rPr>
        <w:t>5.推行校务公开，加强家校共育，成就幸福家长</w:t>
      </w:r>
      <w:bookmarkEnd w:id="524"/>
      <w:bookmarkEnd w:id="525"/>
      <w:bookmarkEnd w:id="526"/>
    </w:p>
    <w:p>
      <w:pPr>
        <w:widowControl/>
        <w:ind w:firstLine="640"/>
        <w:rPr>
          <w:rFonts w:hint="eastAsia" w:ascii="仿宋" w:hAnsi="仿宋" w:cs="仿宋"/>
          <w:bCs/>
          <w:kern w:val="0"/>
          <w:szCs w:val="32"/>
          <w:shd w:val="clear" w:color="auto" w:fill="FFFFFF"/>
        </w:rPr>
      </w:pPr>
      <w:r>
        <w:rPr>
          <w:rFonts w:hint="eastAsia" w:ascii="仿宋" w:hAnsi="仿宋" w:cs="仿宋"/>
          <w:bCs/>
          <w:kern w:val="0"/>
          <w:szCs w:val="32"/>
          <w:shd w:val="clear" w:color="auto" w:fill="FFFFFF"/>
        </w:rPr>
        <w:t>加强学校民主管理，重视充分发挥教代会、校级家委会的监督职能。建立廉洁自律制度。重视行风建设，强化民主意识，实行民主管理。学校的一切重大决策、奖优罚劣、规章制度的制订等均交由教代会讨论通过。校级家委会监督学校管理。</w:t>
      </w:r>
    </w:p>
    <w:p>
      <w:pPr>
        <w:pStyle w:val="4"/>
        <w:ind w:firstLine="643"/>
        <w:rPr>
          <w:rFonts w:hint="eastAsia"/>
        </w:rPr>
      </w:pPr>
      <w:bookmarkStart w:id="527" w:name="_Toc23496"/>
      <w:bookmarkStart w:id="528" w:name="_Toc23231"/>
      <w:bookmarkStart w:id="529" w:name="_Toc16253"/>
      <w:r>
        <w:rPr>
          <w:rFonts w:hint="eastAsia"/>
        </w:rPr>
        <w:t>6.加强安全工作，创建幸福校园</w:t>
      </w:r>
      <w:bookmarkEnd w:id="527"/>
      <w:bookmarkEnd w:id="528"/>
      <w:bookmarkEnd w:id="529"/>
    </w:p>
    <w:p>
      <w:pPr>
        <w:widowControl/>
        <w:ind w:firstLine="640"/>
        <w:rPr>
          <w:rFonts w:hint="eastAsia" w:ascii="仿宋" w:hAnsi="仿宋" w:cs="仿宋"/>
          <w:szCs w:val="32"/>
        </w:rPr>
      </w:pPr>
      <w:r>
        <w:rPr>
          <w:rFonts w:hint="eastAsia" w:ascii="仿宋" w:hAnsi="仿宋" w:cs="仿宋"/>
          <w:bCs/>
          <w:kern w:val="0"/>
          <w:szCs w:val="32"/>
          <w:shd w:val="clear" w:color="auto" w:fill="FFFFFF"/>
        </w:rPr>
        <w:t>始终把安全工作摆在各项工作的首要位置，以确保学校财产和师生生命安全为重点，切实维护学校教育教学等工作有序进行。</w:t>
      </w:r>
    </w:p>
    <w:p>
      <w:pPr>
        <w:pStyle w:val="3"/>
        <w:ind w:firstLine="643"/>
        <w:rPr>
          <w:rFonts w:hint="eastAsia"/>
        </w:rPr>
      </w:pPr>
      <w:bookmarkStart w:id="530" w:name="_Toc2030"/>
      <w:bookmarkStart w:id="531" w:name="_Toc31672"/>
      <w:bookmarkStart w:id="532" w:name="_Toc14241"/>
      <w:bookmarkStart w:id="533" w:name="_Toc18378"/>
      <w:r>
        <w:rPr>
          <w:rFonts w:hint="eastAsia"/>
        </w:rPr>
        <w:t>（二）部门（单位）分年度工作计划及重点项目</w:t>
      </w:r>
      <w:bookmarkEnd w:id="530"/>
      <w:bookmarkEnd w:id="531"/>
      <w:bookmarkEnd w:id="532"/>
      <w:bookmarkEnd w:id="533"/>
    </w:p>
    <w:p>
      <w:pPr>
        <w:ind w:firstLine="640"/>
        <w:rPr>
          <w:rFonts w:hint="eastAsia" w:ascii="仿宋" w:hAnsi="仿宋" w:cs="仿宋"/>
        </w:rPr>
      </w:pPr>
      <w:r>
        <w:rPr>
          <w:rFonts w:hint="eastAsia" w:ascii="仿宋" w:hAnsi="仿宋" w:cs="仿宋"/>
        </w:rPr>
        <w:t>1.开展教育教学工作。主要包括中学生健康、语言、社会、科学、艺术等领域的知识技能、情感态度、活动方式方法等教学工作，培养学生各种良好习惯和有益兴趣。</w:t>
      </w:r>
    </w:p>
    <w:p>
      <w:pPr>
        <w:ind w:firstLine="640"/>
        <w:rPr>
          <w:rFonts w:hint="eastAsia" w:ascii="仿宋" w:hAnsi="仿宋" w:cs="仿宋"/>
        </w:rPr>
      </w:pPr>
      <w:r>
        <w:rPr>
          <w:rFonts w:hint="eastAsia" w:ascii="仿宋" w:hAnsi="仿宋" w:cs="仿宋"/>
        </w:rPr>
        <w:t>2.维护学校安全，提供后勤保障工作。主要包括学校内安全防护和检查，为学生提供良好的学习生活环境。开展学生安全教育，维护学校师生安全，确保校内秩序和谐稳定。</w:t>
      </w:r>
    </w:p>
    <w:p>
      <w:pPr>
        <w:ind w:firstLine="640"/>
        <w:rPr>
          <w:rFonts w:hint="eastAsia" w:ascii="仿宋" w:hAnsi="仿宋" w:cs="仿宋"/>
        </w:rPr>
      </w:pPr>
      <w:r>
        <w:rPr>
          <w:rFonts w:hint="eastAsia" w:ascii="仿宋" w:hAnsi="仿宋" w:cs="仿宋"/>
        </w:rPr>
        <w:t>3.开展与家庭和社区联系合作。主要包括配合家庭承担育人任务，向社区宣传育人教育知识，支持社区开展对中学生文化教育活动。</w:t>
      </w:r>
    </w:p>
    <w:p>
      <w:pPr>
        <w:ind w:firstLine="640"/>
        <w:rPr>
          <w:rFonts w:hint="eastAsia" w:ascii="仿宋" w:hAnsi="仿宋" w:cs="仿宋"/>
        </w:rPr>
      </w:pPr>
      <w:r>
        <w:rPr>
          <w:rFonts w:hint="eastAsia" w:ascii="仿宋" w:hAnsi="仿宋" w:cs="仿宋"/>
        </w:rPr>
        <w:t>4.开展业务指导和培训等服务。主要包括发挥示范作用，受委托开展行业内业务指导、实验研究、师资培训和信息服务等工作。</w:t>
      </w:r>
    </w:p>
    <w:p>
      <w:pPr>
        <w:pStyle w:val="3"/>
        <w:ind w:firstLine="643"/>
        <w:rPr>
          <w:rFonts w:hint="eastAsia"/>
        </w:rPr>
      </w:pPr>
      <w:bookmarkStart w:id="534" w:name="_Toc26013"/>
      <w:bookmarkStart w:id="535" w:name="_Toc18205"/>
      <w:bookmarkStart w:id="536" w:name="_Toc19614"/>
      <w:bookmarkStart w:id="537" w:name="_Toc4345"/>
      <w:r>
        <w:rPr>
          <w:rFonts w:hint="eastAsia"/>
        </w:rPr>
        <w:t>（三）部门（单位）整体绩效目标和分项绩效目标</w:t>
      </w:r>
      <w:bookmarkEnd w:id="534"/>
      <w:bookmarkEnd w:id="535"/>
      <w:bookmarkEnd w:id="536"/>
      <w:bookmarkEnd w:id="537"/>
    </w:p>
    <w:p>
      <w:pPr>
        <w:ind w:firstLine="640"/>
        <w:rPr>
          <w:rFonts w:hint="eastAsia" w:ascii="仿宋" w:hAnsi="仿宋" w:cs="仿宋"/>
        </w:rPr>
      </w:pPr>
      <w:r>
        <w:rPr>
          <w:rFonts w:hint="eastAsia" w:ascii="仿宋" w:hAnsi="仿宋" w:cs="仿宋"/>
        </w:rPr>
        <w:t>保升初中2023年以品牌创建为目标，打造“党建+管理+学术”三维发展模式，努力突破发展瓶颈。</w:t>
      </w:r>
    </w:p>
    <w:p>
      <w:pPr>
        <w:ind w:firstLine="640"/>
        <w:rPr>
          <w:rFonts w:hint="eastAsia" w:ascii="仿宋" w:hAnsi="仿宋" w:cs="仿宋"/>
        </w:rPr>
      </w:pPr>
      <w:r>
        <w:rPr>
          <w:rFonts w:hint="eastAsia" w:ascii="仿宋" w:hAnsi="仿宋" w:cs="仿宋"/>
        </w:rPr>
        <w:t>进一步强化党建引领作用，筑牢思想防线，高标准建设党员活动之家，提升党员示范带头作用，进一步擦亮保升党建品牌。</w:t>
      </w:r>
    </w:p>
    <w:p>
      <w:pPr>
        <w:ind w:firstLine="640"/>
        <w:rPr>
          <w:rFonts w:ascii="仿宋" w:hAnsi="仿宋" w:cs="仿宋"/>
          <w:szCs w:val="32"/>
          <w:lang w:bidi="ar"/>
        </w:rPr>
      </w:pPr>
      <w:r>
        <w:rPr>
          <w:rFonts w:hint="eastAsia" w:ascii="仿宋" w:hAnsi="仿宋" w:cs="仿宋"/>
        </w:rPr>
        <w:t>实施中小学义务教育，促进基础教育发展，负责中小学学历教育和相关社会服务。新招收本年度七年级新生，确保学区内适龄学生入学。</w:t>
      </w:r>
    </w:p>
    <w:p>
      <w:pPr>
        <w:pStyle w:val="31"/>
        <w:widowControl/>
        <w:ind w:firstLine="640"/>
        <w:rPr>
          <w:rFonts w:hint="eastAsia" w:ascii="仿宋" w:hAnsi="仿宋" w:cs="仿宋"/>
          <w:szCs w:val="32"/>
          <w:lang w:bidi="ar"/>
        </w:rPr>
      </w:pPr>
      <w:r>
        <w:rPr>
          <w:rFonts w:hint="eastAsia" w:ascii="仿宋" w:hAnsi="仿宋" w:cs="仿宋"/>
          <w:szCs w:val="32"/>
          <w:lang w:bidi="ar"/>
        </w:rPr>
        <w:t>加强教师的思想政治教育，注重教师教学能力培养，建设一支具有创新意识和创新精神的高素质教师队伍。大力实施质量兴校，积极构建“质量、特色、服务”三维发展模式。</w:t>
      </w:r>
    </w:p>
    <w:p>
      <w:pPr>
        <w:pStyle w:val="31"/>
        <w:widowControl/>
        <w:ind w:firstLine="640"/>
        <w:rPr>
          <w:rFonts w:hint="eastAsia" w:ascii="仿宋" w:hAnsi="仿宋" w:cs="仿宋"/>
          <w:szCs w:val="32"/>
          <w:lang w:bidi="ar"/>
        </w:rPr>
      </w:pPr>
      <w:r>
        <w:rPr>
          <w:rFonts w:hint="eastAsia" w:ascii="仿宋" w:hAnsi="仿宋" w:cs="仿宋"/>
          <w:szCs w:val="32"/>
        </w:rPr>
        <w:t>保升初中2023年规划</w:t>
      </w:r>
      <w:r>
        <w:rPr>
          <w:rFonts w:hint="eastAsia" w:ascii="仿宋" w:hAnsi="仿宋" w:cs="仿宋"/>
          <w:szCs w:val="32"/>
          <w:lang w:bidi="ar"/>
        </w:rPr>
        <w:t>成立学校财经工作小组，财经审查小组，严肃财经纪律，加强财务管理、固定资产管理等，并开展财经核查以及绩效监控、绩效评价工作等。</w:t>
      </w:r>
    </w:p>
    <w:p>
      <w:pPr>
        <w:pStyle w:val="31"/>
        <w:widowControl/>
        <w:ind w:firstLine="640"/>
        <w:rPr>
          <w:rFonts w:hint="eastAsia" w:ascii="仿宋" w:hAnsi="仿宋" w:cs="仿宋"/>
          <w:szCs w:val="32"/>
          <w:lang w:bidi="ar"/>
        </w:rPr>
      </w:pPr>
      <w:r>
        <w:rPr>
          <w:rFonts w:hint="eastAsia" w:ascii="仿宋" w:hAnsi="仿宋" w:cs="仿宋"/>
          <w:szCs w:val="32"/>
          <w:lang w:bidi="ar"/>
        </w:rPr>
        <w:t>厉行节约，合理安排日常运行办公经费开支，确保学校正常运转；按时申报教师工资、五险两金，确保教师权益，保障学校运转。</w:t>
      </w:r>
    </w:p>
    <w:p>
      <w:pPr>
        <w:pStyle w:val="31"/>
        <w:widowControl/>
        <w:ind w:firstLine="640"/>
        <w:rPr>
          <w:rFonts w:hint="eastAsia" w:ascii="仿宋" w:hAnsi="仿宋" w:cs="仿宋"/>
          <w:szCs w:val="32"/>
          <w:lang w:bidi="ar"/>
        </w:rPr>
      </w:pPr>
      <w:r>
        <w:rPr>
          <w:rFonts w:ascii="仿宋" w:hAnsi="仿宋" w:cs="仿宋"/>
          <w:szCs w:val="32"/>
          <w:lang w:bidi="ar"/>
        </w:rPr>
        <w:t>立足学校职能，</w:t>
      </w:r>
      <w:r>
        <w:rPr>
          <w:rFonts w:hint="eastAsia" w:ascii="仿宋" w:hAnsi="仿宋" w:cs="仿宋"/>
          <w:szCs w:val="32"/>
          <w:lang w:bidi="ar"/>
        </w:rPr>
        <w:t>建设安全舒适的校园</w:t>
      </w:r>
      <w:r>
        <w:rPr>
          <w:rFonts w:ascii="仿宋" w:hAnsi="仿宋" w:cs="仿宋"/>
          <w:szCs w:val="32"/>
          <w:lang w:bidi="ar"/>
        </w:rPr>
        <w:t>，完成校舍维修改造工程项目</w:t>
      </w:r>
      <w:r>
        <w:rPr>
          <w:rFonts w:hint="eastAsia" w:ascii="仿宋" w:hAnsi="仿宋" w:cs="仿宋"/>
          <w:szCs w:val="32"/>
          <w:lang w:bidi="ar"/>
        </w:rPr>
        <w:t>。</w:t>
      </w:r>
    </w:p>
    <w:p>
      <w:pPr>
        <w:pStyle w:val="2"/>
        <w:ind w:firstLine="643"/>
        <w:rPr>
          <w:rFonts w:hint="eastAsia"/>
        </w:rPr>
      </w:pPr>
      <w:bookmarkStart w:id="538" w:name="_Toc16297"/>
      <w:bookmarkStart w:id="539" w:name="_Toc13871"/>
      <w:bookmarkStart w:id="540" w:name="_Toc13851"/>
      <w:bookmarkStart w:id="541" w:name="_Toc2382"/>
      <w:r>
        <w:rPr>
          <w:rFonts w:hint="eastAsia"/>
        </w:rPr>
        <w:t>三、评价思路</w:t>
      </w:r>
      <w:bookmarkEnd w:id="538"/>
      <w:bookmarkEnd w:id="539"/>
      <w:bookmarkEnd w:id="540"/>
      <w:bookmarkEnd w:id="541"/>
    </w:p>
    <w:p>
      <w:pPr>
        <w:pStyle w:val="3"/>
        <w:ind w:firstLine="643"/>
        <w:rPr>
          <w:rFonts w:hint="eastAsia"/>
        </w:rPr>
      </w:pPr>
      <w:bookmarkStart w:id="542" w:name="_Toc29216"/>
      <w:bookmarkStart w:id="543" w:name="_Toc7003"/>
      <w:bookmarkStart w:id="544" w:name="_Toc24142"/>
      <w:bookmarkStart w:id="545" w:name="_Toc8343"/>
      <w:r>
        <w:rPr>
          <w:rFonts w:hint="eastAsia"/>
        </w:rPr>
        <w:t>（一）评价思路及关注点</w:t>
      </w:r>
      <w:bookmarkEnd w:id="542"/>
      <w:bookmarkEnd w:id="543"/>
      <w:bookmarkEnd w:id="544"/>
      <w:bookmarkEnd w:id="545"/>
    </w:p>
    <w:p>
      <w:pPr>
        <w:widowControl/>
        <w:ind w:firstLine="640"/>
        <w:rPr>
          <w:rFonts w:hint="eastAsia" w:ascii="仿宋" w:hAnsi="仿宋" w:cs="仿宋"/>
          <w:szCs w:val="32"/>
        </w:rPr>
      </w:pPr>
      <w:r>
        <w:rPr>
          <w:rFonts w:hint="eastAsia" w:ascii="仿宋" w:hAnsi="仿宋" w:cs="仿宋"/>
          <w:color w:val="000000"/>
          <w:kern w:val="0"/>
          <w:szCs w:val="32"/>
          <w:lang w:bidi="ar"/>
        </w:rPr>
        <w:t>从部门整体出发，按照“职责－规划计划－重点任务－项目－资金资源配置－管理效率－履职效能”的闭环逻辑，围绕保升初中部门整体绩效目标设置、资金资源统筹配置、管理效率、运行成本、履职效能、可持续发展能力及满意度等，聚焦于部门履职及管理过程的重点环节。评价要素及评价重点如下：</w:t>
      </w:r>
    </w:p>
    <w:p>
      <w:pPr>
        <w:widowControl/>
        <w:ind w:firstLine="640"/>
        <w:rPr>
          <w:rFonts w:hint="eastAsia" w:ascii="仿宋" w:hAnsi="仿宋" w:cs="仿宋"/>
          <w:szCs w:val="32"/>
        </w:rPr>
      </w:pPr>
      <w:r>
        <w:rPr>
          <w:rFonts w:hint="eastAsia" w:ascii="仿宋" w:hAnsi="仿宋" w:cs="仿宋"/>
          <w:color w:val="000000"/>
          <w:kern w:val="0"/>
          <w:szCs w:val="32"/>
          <w:lang w:bidi="ar"/>
        </w:rPr>
        <w:t>战略及职责目标：部门绩效目标与部门职能职责、事业发展规划、年度工作任务和正常业绩水平是否相符；部门绩效目标能否有效反映部门履职效果。</w:t>
      </w:r>
    </w:p>
    <w:p>
      <w:pPr>
        <w:widowControl/>
        <w:ind w:firstLine="640"/>
        <w:rPr>
          <w:rFonts w:hint="eastAsia" w:ascii="仿宋" w:hAnsi="仿宋" w:cs="仿宋"/>
          <w:szCs w:val="32"/>
        </w:rPr>
      </w:pPr>
      <w:r>
        <w:rPr>
          <w:rFonts w:hint="eastAsia" w:ascii="仿宋" w:hAnsi="仿宋" w:cs="仿宋"/>
          <w:color w:val="000000"/>
          <w:kern w:val="0"/>
          <w:szCs w:val="32"/>
          <w:lang w:bidi="ar"/>
        </w:rPr>
        <w:t>资金资源统筹配置：预算支出结构与部门职能是否匹配，项目支出结构与履职需求是否相符，项目资金安排是否合理；收入预算编制是否完整。</w:t>
      </w:r>
    </w:p>
    <w:p>
      <w:pPr>
        <w:widowControl/>
        <w:ind w:firstLine="640"/>
        <w:rPr>
          <w:rFonts w:hint="eastAsia" w:ascii="仿宋" w:hAnsi="仿宋" w:cs="仿宋"/>
          <w:szCs w:val="32"/>
        </w:rPr>
      </w:pPr>
      <w:r>
        <w:rPr>
          <w:rFonts w:hint="eastAsia" w:ascii="仿宋" w:hAnsi="仿宋" w:cs="仿宋"/>
          <w:color w:val="000000"/>
          <w:kern w:val="0"/>
          <w:szCs w:val="32"/>
          <w:lang w:bidi="ar"/>
        </w:rPr>
        <w:t>管理效率：部门支出预算编制是否细化、完整，预算管理执行是否规范；部门资产管理是否规范及固定资产使用情况。</w:t>
      </w:r>
    </w:p>
    <w:p>
      <w:pPr>
        <w:widowControl/>
        <w:ind w:firstLine="640"/>
        <w:rPr>
          <w:rFonts w:hint="eastAsia" w:ascii="仿宋" w:hAnsi="仿宋" w:cs="仿宋"/>
          <w:szCs w:val="32"/>
        </w:rPr>
      </w:pPr>
      <w:r>
        <w:rPr>
          <w:rFonts w:hint="eastAsia" w:ascii="仿宋" w:hAnsi="仿宋" w:cs="仿宋"/>
          <w:color w:val="000000"/>
          <w:kern w:val="0"/>
          <w:szCs w:val="32"/>
          <w:lang w:bidi="ar"/>
        </w:rPr>
        <w:t>运行成本：公用经费、“三公”经费、培训费、会议费、机关运行经费控制情况。</w:t>
      </w:r>
    </w:p>
    <w:p>
      <w:pPr>
        <w:widowControl/>
        <w:ind w:firstLine="640"/>
        <w:rPr>
          <w:rFonts w:hint="eastAsia" w:ascii="仿宋" w:hAnsi="仿宋" w:cs="仿宋"/>
          <w:szCs w:val="32"/>
        </w:rPr>
      </w:pPr>
      <w:r>
        <w:rPr>
          <w:rFonts w:hint="eastAsia" w:ascii="仿宋" w:hAnsi="仿宋" w:cs="仿宋"/>
          <w:color w:val="000000"/>
          <w:kern w:val="0"/>
          <w:szCs w:val="32"/>
          <w:lang w:bidi="ar"/>
        </w:rPr>
        <w:t>履职工作效能：部门整体绩效目标及年度工作任务完成情况及效果，部门工作及社会服务能力。</w:t>
      </w:r>
    </w:p>
    <w:p>
      <w:pPr>
        <w:pStyle w:val="31"/>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可持续发展：信息化建设、人才队伍建设等方面可持续发展能力；部门中长期规划是否建立；满意度评价。</w:t>
      </w:r>
    </w:p>
    <w:p>
      <w:pPr>
        <w:pStyle w:val="3"/>
        <w:ind w:firstLine="643"/>
        <w:rPr>
          <w:rFonts w:hint="eastAsia"/>
        </w:rPr>
      </w:pPr>
      <w:bookmarkStart w:id="546" w:name="_Toc3109"/>
      <w:bookmarkStart w:id="547" w:name="_Toc8895"/>
      <w:bookmarkStart w:id="548" w:name="_Toc18935"/>
      <w:bookmarkStart w:id="549" w:name="_Toc23977"/>
      <w:bookmarkStart w:id="550" w:name="_Toc29694"/>
      <w:r>
        <w:rPr>
          <w:rFonts w:hint="eastAsia"/>
        </w:rPr>
        <w:t>（二）评价方法</w:t>
      </w:r>
      <w:bookmarkEnd w:id="546"/>
      <w:bookmarkEnd w:id="547"/>
      <w:bookmarkEnd w:id="548"/>
      <w:bookmarkEnd w:id="549"/>
      <w:bookmarkEnd w:id="550"/>
    </w:p>
    <w:p>
      <w:pPr>
        <w:pStyle w:val="4"/>
        <w:ind w:firstLine="643"/>
        <w:rPr>
          <w:rFonts w:hint="eastAsia"/>
        </w:rPr>
      </w:pPr>
      <w:bookmarkStart w:id="551" w:name="_Toc9660"/>
      <w:bookmarkStart w:id="552" w:name="_Toc20988"/>
      <w:bookmarkStart w:id="553" w:name="_Toc5823"/>
      <w:r>
        <w:rPr>
          <w:rFonts w:hint="eastAsia"/>
        </w:rPr>
        <w:t>1.因素分析法</w:t>
      </w:r>
      <w:bookmarkEnd w:id="551"/>
      <w:bookmarkEnd w:id="552"/>
      <w:bookmarkEnd w:id="553"/>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通过对</w:t>
      </w:r>
      <w:r>
        <w:rPr>
          <w:rFonts w:hint="eastAsia" w:ascii="仿宋" w:hAnsi="仿宋" w:cs="仿宋"/>
          <w:szCs w:val="32"/>
        </w:rPr>
        <w:t>保升初中</w:t>
      </w:r>
      <w:r>
        <w:rPr>
          <w:rFonts w:hint="eastAsia" w:ascii="仿宋" w:hAnsi="仿宋" w:cs="仿宋"/>
          <w:color w:val="000000"/>
          <w:kern w:val="0"/>
          <w:szCs w:val="32"/>
          <w:lang w:bidi="ar"/>
        </w:rPr>
        <w:t>收集的2023年部门整体支出有关资料进行分析，了解资金的使用范围和用途，查看预算绩效目标的设置情况，综合分析影响绩效目标实现、实施效果的内外因素，评价绩效目标实现程度。</w:t>
      </w:r>
    </w:p>
    <w:p>
      <w:pPr>
        <w:pStyle w:val="4"/>
        <w:ind w:firstLine="643"/>
        <w:rPr>
          <w:rFonts w:hint="eastAsia"/>
        </w:rPr>
      </w:pPr>
      <w:bookmarkStart w:id="554" w:name="_Toc2639"/>
      <w:bookmarkStart w:id="555" w:name="_Toc28505"/>
      <w:bookmarkStart w:id="556" w:name="_Toc5548"/>
      <w:r>
        <w:rPr>
          <w:rFonts w:hint="eastAsia"/>
        </w:rPr>
        <w:t>2.成本效益分析法</w:t>
      </w:r>
      <w:bookmarkEnd w:id="554"/>
      <w:bookmarkEnd w:id="555"/>
      <w:bookmarkEnd w:id="556"/>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将部门整体投入成本与效益进行对比分析，评价绩效目标实现程度。</w:t>
      </w:r>
    </w:p>
    <w:p>
      <w:pPr>
        <w:pStyle w:val="4"/>
        <w:ind w:firstLine="643"/>
        <w:rPr>
          <w:rFonts w:hint="eastAsia"/>
        </w:rPr>
      </w:pPr>
      <w:bookmarkStart w:id="557" w:name="_Toc13604"/>
      <w:bookmarkStart w:id="558" w:name="_Toc23378"/>
      <w:bookmarkStart w:id="559" w:name="_Toc7166"/>
      <w:r>
        <w:rPr>
          <w:rFonts w:hint="eastAsia"/>
        </w:rPr>
        <w:t>3.比较分析法</w:t>
      </w:r>
      <w:bookmarkEnd w:id="557"/>
      <w:bookmarkEnd w:id="558"/>
      <w:bookmarkEnd w:id="559"/>
    </w:p>
    <w:p>
      <w:pPr>
        <w:ind w:firstLine="640"/>
        <w:rPr>
          <w:rFonts w:hint="eastAsia"/>
        </w:rPr>
      </w:pPr>
      <w:r>
        <w:rPr>
          <w:rFonts w:hint="eastAsia"/>
        </w:rPr>
        <w:t>通过对年度目标与实际完成情况、预算安排与执行结果进行比较，综合分析部门整体开展的效率和效果。</w:t>
      </w:r>
    </w:p>
    <w:p>
      <w:pPr>
        <w:pStyle w:val="4"/>
        <w:ind w:firstLine="643"/>
        <w:rPr>
          <w:rFonts w:hint="eastAsia"/>
        </w:rPr>
      </w:pPr>
      <w:bookmarkStart w:id="560" w:name="_Toc28269"/>
      <w:bookmarkStart w:id="561" w:name="_Toc9065"/>
      <w:bookmarkStart w:id="562" w:name="_Toc11373"/>
      <w:r>
        <w:rPr>
          <w:rFonts w:hint="eastAsia"/>
        </w:rPr>
        <w:t>4.</w:t>
      </w:r>
      <w:r>
        <w:t>公众评判法</w:t>
      </w:r>
      <w:bookmarkEnd w:id="560"/>
      <w:bookmarkEnd w:id="561"/>
      <w:bookmarkEnd w:id="562"/>
    </w:p>
    <w:p>
      <w:pPr>
        <w:ind w:firstLine="640"/>
        <w:rPr>
          <w:rFonts w:hint="eastAsia" w:ascii="仿宋" w:hAnsi="仿宋" w:cs="仿宋"/>
        </w:rPr>
      </w:pPr>
      <w:r>
        <w:rPr>
          <w:rFonts w:hint="eastAsia" w:ascii="仿宋" w:hAnsi="仿宋" w:cs="仿宋"/>
        </w:rPr>
        <w:t>评价组根据单位职能、职责和2023年度绩效目标完成情况，制定对应的满意度调查问卷。通过对服务对象发放满意度调查问卷作答情况，对保升初中履职情况进行评判；对保升初中工作完成效果进行摸底调查，评价绩效目标实现程度。</w:t>
      </w:r>
      <w:bookmarkStart w:id="563" w:name="_Toc15036"/>
    </w:p>
    <w:p>
      <w:pPr>
        <w:pStyle w:val="3"/>
        <w:ind w:firstLine="643"/>
        <w:rPr>
          <w:rFonts w:hint="eastAsia" w:ascii="仿宋_GB2312" w:hAnsi="仿宋_GB2312" w:cs="仿宋_GB2312"/>
        </w:rPr>
      </w:pPr>
      <w:bookmarkStart w:id="564" w:name="_Toc20059"/>
      <w:bookmarkStart w:id="565" w:name="_Toc31327"/>
      <w:bookmarkStart w:id="566" w:name="_Toc21530"/>
      <w:bookmarkStart w:id="567" w:name="_Toc27553"/>
      <w:r>
        <w:rPr>
          <w:rFonts w:hint="eastAsia" w:ascii="仿宋_GB2312" w:hAnsi="仿宋_GB2312" w:cs="仿宋_GB2312"/>
        </w:rPr>
        <w:t>（三）评价过程</w:t>
      </w:r>
      <w:bookmarkEnd w:id="563"/>
      <w:bookmarkEnd w:id="564"/>
      <w:bookmarkEnd w:id="565"/>
      <w:bookmarkEnd w:id="566"/>
      <w:bookmarkEnd w:id="567"/>
    </w:p>
    <w:p>
      <w:pPr>
        <w:pStyle w:val="4"/>
        <w:ind w:firstLine="643"/>
        <w:rPr>
          <w:rFonts w:hint="eastAsia"/>
        </w:rPr>
      </w:pPr>
      <w:bookmarkStart w:id="568" w:name="_Toc3638"/>
      <w:bookmarkStart w:id="569" w:name="_Toc16314"/>
      <w:bookmarkStart w:id="570" w:name="_Toc3176"/>
      <w:r>
        <w:rPr>
          <w:rFonts w:hint="eastAsia"/>
        </w:rPr>
        <w:t>1.准备阶段</w:t>
      </w:r>
      <w:bookmarkEnd w:id="568"/>
      <w:bookmarkEnd w:id="569"/>
      <w:bookmarkEnd w:id="570"/>
    </w:p>
    <w:p>
      <w:pPr>
        <w:ind w:firstLine="640"/>
        <w:rPr>
          <w:rFonts w:hint="eastAsia"/>
        </w:rPr>
      </w:pPr>
      <w:r>
        <w:rPr>
          <w:rFonts w:hint="eastAsia"/>
        </w:rPr>
        <w:t>为保障此次绩效评价工作的顺利开展，我们成立了绩效评价小组并召开评价工作启动会。对保升初中进行预调研，制定评价工作方案，设置评价指标体系及评分表。</w:t>
      </w:r>
    </w:p>
    <w:p>
      <w:pPr>
        <w:pStyle w:val="4"/>
        <w:ind w:firstLine="643"/>
        <w:rPr>
          <w:rFonts w:hint="eastAsia"/>
        </w:rPr>
      </w:pPr>
      <w:bookmarkStart w:id="571" w:name="_Toc27934"/>
      <w:bookmarkStart w:id="572" w:name="_Toc26307"/>
      <w:bookmarkStart w:id="573" w:name="_Toc6984"/>
      <w:r>
        <w:rPr>
          <w:rFonts w:hint="eastAsia"/>
        </w:rPr>
        <w:t>2.实施阶段</w:t>
      </w:r>
      <w:bookmarkEnd w:id="571"/>
      <w:bookmarkEnd w:id="572"/>
      <w:bookmarkEnd w:id="573"/>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在遂宁高新区金融局领导带领下开展进场评价工作会议，进驻被评价单位。我方现场收取评价资料，进行现场资料分析，复核预算收支情况，查看部门工作现场，核实单位资产规模和管理情况，结合资料实地查看部门工作实际完成状态和规模，核实各项资产是否真实存在，评价部门管理状态，查验单位工作实施的真实性和规范性，检验已完成工作的运行效果。对各部门履行职责情况的公众满意度进行调查，对具有明确受益对象的评价项目，根据需要收集的评价数据设置调查表并认真做好调查表的发放与回收工作。</w:t>
      </w:r>
    </w:p>
    <w:p>
      <w:pPr>
        <w:widowControl/>
        <w:ind w:firstLine="640"/>
        <w:rPr>
          <w:rFonts w:hint="eastAsia" w:ascii="仿宋" w:hAnsi="仿宋" w:cs="仿宋"/>
          <w:szCs w:val="32"/>
        </w:rPr>
      </w:pPr>
      <w:r>
        <w:rPr>
          <w:rFonts w:hint="eastAsia" w:ascii="仿宋" w:hAnsi="仿宋" w:cs="仿宋"/>
          <w:color w:val="000000"/>
          <w:kern w:val="0"/>
          <w:szCs w:val="32"/>
          <w:lang w:bidi="ar"/>
        </w:rPr>
        <w:t>根据核实的情况，独立、客观、公正地开展现场评价工作，对提供的材料及自评报告，结合现场评价情况进行初步分析、归纳汇总。针对分析、评价中发现的情况与被评价单位沟通，获取被评价单位的书面情况说明。评价组对各项评价指标进行分析讨论，经反复分析、研究，按预先设计的评价指标体系进行现场评价打分。</w:t>
      </w:r>
    </w:p>
    <w:p>
      <w:pPr>
        <w:pStyle w:val="4"/>
        <w:ind w:firstLine="643"/>
        <w:rPr>
          <w:rFonts w:hint="eastAsia"/>
        </w:rPr>
      </w:pPr>
      <w:bookmarkStart w:id="574" w:name="_Toc4142"/>
      <w:bookmarkStart w:id="575" w:name="_Toc17971"/>
      <w:bookmarkStart w:id="576" w:name="_Toc10059"/>
      <w:r>
        <w:rPr>
          <w:rFonts w:hint="eastAsia"/>
        </w:rPr>
        <w:t>3.综合评价阶段</w:t>
      </w:r>
      <w:bookmarkEnd w:id="574"/>
      <w:bookmarkEnd w:id="575"/>
      <w:bookmarkEnd w:id="576"/>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评价</w:t>
      </w:r>
      <w:r>
        <w:rPr>
          <w:rFonts w:hint="eastAsia" w:ascii="仿宋" w:hAnsi="仿宋" w:cs="仿宋"/>
          <w:color w:val="000000"/>
          <w:kern w:val="0"/>
          <w:szCs w:val="32"/>
          <w:lang w:val="en-US" w:eastAsia="zh-CN" w:bidi="ar"/>
        </w:rPr>
        <w:t>小</w:t>
      </w:r>
      <w:r>
        <w:rPr>
          <w:rFonts w:hint="eastAsia" w:ascii="仿宋" w:hAnsi="仿宋" w:cs="仿宋"/>
          <w:color w:val="000000"/>
          <w:kern w:val="0"/>
          <w:szCs w:val="32"/>
          <w:lang w:bidi="ar"/>
        </w:rPr>
        <w:t>组根据收集到的项目相关资料，对决策、过程、产出及效益情况进行综合分析形成绩效评价报告。按照规定的文本格式和内容撰写绩效评价报告，形成绩效评价报告交换意见稿，由遂宁高新区财政金融局牵头，征求被评价单位的意见，对绩效评价报告提出反馈意见。根据反馈意见，对绩效评价报告进行修改完善。最后将审议和吸收反馈意见后修改定稿的绩效评价报告报送遂宁高新区财政金融局。</w:t>
      </w:r>
    </w:p>
    <w:p>
      <w:pPr>
        <w:pStyle w:val="2"/>
        <w:ind w:firstLine="643"/>
        <w:rPr>
          <w:rFonts w:hint="eastAsia"/>
        </w:rPr>
      </w:pPr>
      <w:bookmarkStart w:id="577" w:name="_Toc25768"/>
      <w:bookmarkStart w:id="578" w:name="_Toc30688"/>
      <w:bookmarkStart w:id="579" w:name="_Toc13189"/>
      <w:r>
        <w:rPr>
          <w:rFonts w:hint="eastAsia"/>
        </w:rPr>
        <w:t>四、指标体系</w:t>
      </w:r>
      <w:bookmarkEnd w:id="577"/>
      <w:bookmarkEnd w:id="578"/>
      <w:bookmarkEnd w:id="579"/>
    </w:p>
    <w:p>
      <w:pPr>
        <w:pStyle w:val="3"/>
        <w:ind w:firstLine="643"/>
        <w:rPr>
          <w:rFonts w:hint="eastAsia"/>
        </w:rPr>
      </w:pPr>
      <w:bookmarkStart w:id="580" w:name="_Toc456"/>
      <w:bookmarkStart w:id="581" w:name="_Toc12167"/>
      <w:bookmarkStart w:id="582" w:name="_Toc15225"/>
      <w:bookmarkStart w:id="583" w:name="_Toc6222"/>
      <w:bookmarkStart w:id="584" w:name="_Toc5003"/>
      <w:r>
        <w:rPr>
          <w:rFonts w:hint="eastAsia"/>
        </w:rPr>
        <w:t>（一）评价指标的构建思路及分值分布</w:t>
      </w:r>
      <w:bookmarkEnd w:id="580"/>
      <w:bookmarkEnd w:id="581"/>
      <w:bookmarkEnd w:id="582"/>
      <w:bookmarkEnd w:id="583"/>
      <w:bookmarkEnd w:id="584"/>
    </w:p>
    <w:p>
      <w:pPr>
        <w:widowControl/>
        <w:ind w:firstLine="640"/>
        <w:rPr>
          <w:rFonts w:hint="eastAsia" w:ascii="仿宋" w:hAnsi="仿宋" w:cs="仿宋"/>
          <w:szCs w:val="32"/>
        </w:rPr>
      </w:pPr>
      <w:r>
        <w:rPr>
          <w:rFonts w:hint="eastAsia" w:ascii="仿宋" w:hAnsi="仿宋" w:cs="仿宋"/>
          <w:color w:val="000000"/>
          <w:kern w:val="0"/>
          <w:szCs w:val="32"/>
          <w:lang w:bidi="ar"/>
        </w:rPr>
        <w:t>绩效评价指标是衡量绩效目标实现程度的考核工具。通过将绩效业绩指标化，获取具有针对性的业绩值，为开展绩效评价工作提供基础。绩效评价指标应当充分体现和真实反映项目的绩效、绩效目标的完成情况及评价的政策需要。绩效评价指标体系通常包括具体指标、指标权重、指标解释、数据来源、评价标准及评分方法等。</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对象为保升初中部门整体支出，针对保升初中的绩效指标体系建立是本次部门整体绩效综合评价的一个关键模块，在确定保升初中整体支出绩效评价指标方面，我们主要考虑到三个重点：一是设置合理的绩效指标，绩效指标要能够准确清晰地反映保升初中履职效果，需尽量设置为可衡量、可考核的清晰明确的指标，指标值需具有约束力；二是确定特性指标恰当的指标权重，依据相关原则，结合专家经验对各项指标重要程度进行研判，并匹配相应权重；三是针对保升初中业务特点、制度改革、事业发展实际建立适当评价标准，组合使用定性标准与定量标准。</w:t>
      </w:r>
    </w:p>
    <w:p>
      <w:pPr>
        <w:widowControl/>
        <w:ind w:firstLine="640"/>
        <w:rPr>
          <w:rFonts w:hint="eastAsia" w:ascii="仿宋" w:hAnsi="仿宋" w:cs="仿宋"/>
          <w:szCs w:val="32"/>
        </w:rPr>
      </w:pPr>
      <w:r>
        <w:rPr>
          <w:rFonts w:hint="eastAsia" w:ascii="仿宋" w:hAnsi="仿宋" w:cs="仿宋"/>
          <w:color w:val="000000"/>
          <w:kern w:val="0"/>
          <w:szCs w:val="32"/>
          <w:lang w:bidi="ar"/>
        </w:rPr>
        <w:t>绩效评价指标构建思路，绩效评价标准是指衡量绩效目标完成程度的尺度。本次评价以保升初中的单位职责和国家政策导向为基础，结合行业、规模、历史经验和专家评价意见等确定绩效评价标准。本次针对保升初中整体支出绩效评价指标采用的标准包括：计划标准，即以预先制定的目标、计划、预算、定额等数据作为评价的标准；行业标准，即参照国家公布的行业指标数据制定的评价标准；历史标准，指参照同类指标的历史数据制定的评价标准，为体现绩效改进的原则，在可实现的条件下确定相对较高的评价标准；其他经财政部门确认的标准。绩效评价指标的权重是指标在评价体系中的相对重要程度。权重表示在评价过程中，对评价对象不同侧面重要程度的定量分配，以区别对待各级评价指标在总体评价中的作用。</w:t>
      </w:r>
    </w:p>
    <w:p>
      <w:pPr>
        <w:widowControl/>
        <w:ind w:firstLine="640"/>
        <w:rPr>
          <w:rFonts w:hint="eastAsia" w:ascii="仿宋" w:hAnsi="仿宋" w:cs="仿宋"/>
          <w:szCs w:val="32"/>
        </w:rPr>
      </w:pPr>
      <w:r>
        <w:rPr>
          <w:rFonts w:hint="eastAsia" w:ascii="仿宋" w:hAnsi="仿宋" w:cs="仿宋"/>
          <w:color w:val="000000"/>
          <w:kern w:val="0"/>
          <w:szCs w:val="32"/>
          <w:lang w:bidi="ar"/>
        </w:rPr>
        <w:t>结合保升初中实际情况，我方在符合国家规定的部门整体支出绩效评价指标框架要求的前提下，细化了资金使用配置、目标规划、管理效率、产出、效益和可持续方面等方面指标权重，根据保升初中的特点针对性强化了指标考核权重。</w:t>
      </w:r>
    </w:p>
    <w:p>
      <w:pPr>
        <w:pStyle w:val="3"/>
        <w:ind w:firstLine="643"/>
        <w:rPr>
          <w:rFonts w:hint="eastAsia"/>
        </w:rPr>
      </w:pPr>
      <w:bookmarkStart w:id="585" w:name="_Toc32708"/>
      <w:bookmarkStart w:id="586" w:name="_Toc31116"/>
      <w:bookmarkStart w:id="587" w:name="_Toc14825"/>
      <w:bookmarkStart w:id="588" w:name="_Toc9885"/>
      <w:bookmarkStart w:id="589" w:name="_Toc3501"/>
      <w:r>
        <w:rPr>
          <w:rFonts w:hint="eastAsia"/>
        </w:rPr>
        <w:t>（二）评价等级</w:t>
      </w:r>
      <w:bookmarkEnd w:id="585"/>
      <w:bookmarkEnd w:id="586"/>
      <w:bookmarkEnd w:id="587"/>
      <w:bookmarkEnd w:id="588"/>
      <w:bookmarkEnd w:id="589"/>
    </w:p>
    <w:p>
      <w:pPr>
        <w:widowControl/>
        <w:ind w:firstLine="640"/>
        <w:rPr>
          <w:rFonts w:hint="eastAsia" w:ascii="仿宋" w:hAnsi="仿宋" w:cs="仿宋"/>
          <w:szCs w:val="32"/>
        </w:rPr>
      </w:pPr>
      <w:r>
        <w:rPr>
          <w:rFonts w:hint="eastAsia" w:ascii="仿宋" w:hAnsi="仿宋" w:cs="仿宋"/>
          <w:color w:val="000000"/>
          <w:kern w:val="0"/>
          <w:szCs w:val="32"/>
          <w:lang w:bidi="ar"/>
        </w:rPr>
        <w:t>结合部门主要职能、部门工作内容以及部门项目特点，绩效评价小组在与专家组充分沟通的基础上，拟定本次保升初中部门整体支出绩效评价指标体系。本部门整体支出绩效评价指标体系下设投入、过程、产出和效益4个一级指标、11个二级指标、35个三级指标。</w:t>
      </w:r>
    </w:p>
    <w:p>
      <w:pPr>
        <w:widowControl/>
        <w:ind w:firstLine="640"/>
        <w:rPr>
          <w:rFonts w:hint="eastAsia" w:ascii="仿宋" w:hAnsi="仿宋" w:cs="仿宋"/>
          <w:szCs w:val="32"/>
        </w:rPr>
      </w:pPr>
      <w:r>
        <w:rPr>
          <w:rFonts w:hint="eastAsia" w:ascii="仿宋" w:hAnsi="仿宋"/>
          <w:color w:val="000000"/>
          <w:szCs w:val="32"/>
        </w:rPr>
        <w:t>绩效评价结果分4个等级</w:t>
      </w:r>
      <w:r>
        <w:rPr>
          <w:rFonts w:hint="eastAsia" w:ascii="仿宋" w:hAnsi="仿宋" w:cs="仿宋"/>
          <w:color w:val="000000"/>
          <w:kern w:val="0"/>
          <w:szCs w:val="32"/>
          <w:lang w:bidi="ar"/>
        </w:rPr>
        <w:t>：</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综合得分在90（含）-100分为“优</w:t>
      </w:r>
      <w:r>
        <w:rPr>
          <w:rFonts w:ascii="仿宋" w:hAnsi="仿宋" w:cs="仿宋"/>
          <w:color w:val="000000"/>
          <w:kern w:val="0"/>
          <w:szCs w:val="32"/>
          <w:lang w:bidi="ar"/>
        </w:rPr>
        <w:t>”</w:t>
      </w:r>
      <w:r>
        <w:rPr>
          <w:rFonts w:hint="eastAsia" w:ascii="仿宋" w:hAnsi="仿宋" w:cs="仿宋"/>
          <w:color w:val="000000"/>
          <w:kern w:val="0"/>
          <w:szCs w:val="32"/>
          <w:lang w:bidi="ar"/>
        </w:rPr>
        <w:t>；</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综合得分在80（含）-90分为“良</w:t>
      </w:r>
      <w:r>
        <w:rPr>
          <w:rFonts w:ascii="仿宋" w:hAnsi="仿宋" w:cs="仿宋"/>
          <w:color w:val="000000"/>
          <w:kern w:val="0"/>
          <w:szCs w:val="32"/>
          <w:lang w:bidi="ar"/>
        </w:rPr>
        <w:t>”</w:t>
      </w:r>
      <w:r>
        <w:rPr>
          <w:rFonts w:hint="eastAsia" w:ascii="仿宋" w:hAnsi="仿宋" w:cs="仿宋"/>
          <w:color w:val="000000"/>
          <w:kern w:val="0"/>
          <w:szCs w:val="32"/>
          <w:lang w:bidi="ar"/>
        </w:rPr>
        <w:t>；</w:t>
      </w:r>
    </w:p>
    <w:p>
      <w:pPr>
        <w:widowControl/>
        <w:ind w:firstLine="640"/>
        <w:rPr>
          <w:rFonts w:hint="eastAsia" w:ascii="仿宋" w:hAnsi="仿宋" w:cs="仿宋"/>
          <w:szCs w:val="32"/>
        </w:rPr>
      </w:pPr>
      <w:r>
        <w:rPr>
          <w:rFonts w:hint="eastAsia" w:ascii="仿宋" w:hAnsi="仿宋" w:cs="仿宋"/>
          <w:color w:val="000000"/>
          <w:kern w:val="0"/>
          <w:szCs w:val="32"/>
          <w:lang w:bidi="ar"/>
        </w:rPr>
        <w:t>综合得分在60（含）-80分为“中</w:t>
      </w:r>
      <w:r>
        <w:rPr>
          <w:rFonts w:ascii="仿宋" w:hAnsi="仿宋" w:cs="仿宋"/>
          <w:color w:val="000000"/>
          <w:kern w:val="0"/>
          <w:szCs w:val="32"/>
          <w:lang w:bidi="ar"/>
        </w:rPr>
        <w:t>”</w:t>
      </w:r>
      <w:r>
        <w:rPr>
          <w:rFonts w:hint="eastAsia" w:ascii="仿宋" w:hAnsi="仿宋" w:cs="仿宋"/>
          <w:color w:val="000000"/>
          <w:kern w:val="0"/>
          <w:szCs w:val="32"/>
          <w:lang w:bidi="ar"/>
        </w:rPr>
        <w:t>；</w:t>
      </w:r>
    </w:p>
    <w:p>
      <w:pPr>
        <w:widowControl/>
        <w:ind w:firstLine="640"/>
      </w:pPr>
      <w:r>
        <w:rPr>
          <w:rFonts w:hint="eastAsia" w:ascii="仿宋" w:hAnsi="仿宋" w:cs="仿宋"/>
          <w:color w:val="000000"/>
          <w:kern w:val="0"/>
          <w:szCs w:val="32"/>
          <w:lang w:bidi="ar"/>
        </w:rPr>
        <w:t>综合得分在60分以下为“差</w:t>
      </w:r>
      <w:r>
        <w:rPr>
          <w:rFonts w:ascii="仿宋" w:hAnsi="仿宋" w:cs="仿宋"/>
          <w:color w:val="000000"/>
          <w:kern w:val="0"/>
          <w:szCs w:val="32"/>
          <w:lang w:bidi="ar"/>
        </w:rPr>
        <w:t>”</w:t>
      </w:r>
      <w:r>
        <w:rPr>
          <w:rFonts w:hint="eastAsia" w:ascii="仿宋" w:hAnsi="仿宋" w:cs="仿宋"/>
          <w:color w:val="000000"/>
          <w:kern w:val="0"/>
          <w:szCs w:val="32"/>
          <w:lang w:bidi="ar"/>
        </w:rPr>
        <w:t>。</w:t>
      </w:r>
    </w:p>
    <w:p>
      <w:pPr>
        <w:pStyle w:val="2"/>
        <w:ind w:firstLine="643"/>
        <w:rPr>
          <w:rFonts w:hint="eastAsia"/>
        </w:rPr>
      </w:pPr>
      <w:bookmarkStart w:id="590" w:name="_Toc21415"/>
      <w:bookmarkStart w:id="591" w:name="_Toc9640"/>
      <w:bookmarkStart w:id="592" w:name="_Toc29614"/>
      <w:bookmarkStart w:id="593" w:name="_Toc22650"/>
      <w:bookmarkStart w:id="594" w:name="_Toc28584"/>
      <w:r>
        <w:rPr>
          <w:rFonts w:hint="eastAsia"/>
        </w:rPr>
        <w:t>五、评价结论及绩效分析</w:t>
      </w:r>
      <w:bookmarkEnd w:id="590"/>
      <w:bookmarkEnd w:id="591"/>
      <w:bookmarkEnd w:id="592"/>
      <w:bookmarkEnd w:id="593"/>
      <w:bookmarkEnd w:id="594"/>
    </w:p>
    <w:p>
      <w:pPr>
        <w:pStyle w:val="3"/>
        <w:ind w:firstLine="643"/>
        <w:rPr>
          <w:rFonts w:hint="eastAsia"/>
        </w:rPr>
      </w:pPr>
      <w:bookmarkStart w:id="595" w:name="_Toc19373"/>
      <w:bookmarkStart w:id="596" w:name="_Toc15303"/>
      <w:bookmarkStart w:id="597" w:name="_Toc5054"/>
      <w:bookmarkStart w:id="598" w:name="_Toc19985"/>
      <w:bookmarkStart w:id="599" w:name="_Toc13368"/>
      <w:r>
        <w:rPr>
          <w:rFonts w:hint="eastAsia"/>
        </w:rPr>
        <w:t>（一）总体评价情况及评价结论</w:t>
      </w:r>
      <w:bookmarkEnd w:id="595"/>
      <w:bookmarkEnd w:id="596"/>
      <w:bookmarkEnd w:id="597"/>
      <w:bookmarkEnd w:id="598"/>
      <w:bookmarkEnd w:id="599"/>
    </w:p>
    <w:p>
      <w:pPr>
        <w:ind w:firstLine="640"/>
        <w:rPr>
          <w:rFonts w:hint="eastAsia" w:ascii="仿宋" w:hAnsi="仿宋" w:cs="仿宋"/>
        </w:rPr>
      </w:pPr>
      <w:r>
        <w:rPr>
          <w:rFonts w:hint="eastAsia" w:ascii="仿宋" w:hAnsi="仿宋" w:cs="仿宋"/>
        </w:rPr>
        <w:t>2023年度保升初中按规定编报了部门绩效目标，目标设立合理，符合绩效管理相关规定，与地区发展规划的目标方向一致，相应工作内容与三定方案确定的职责相契合。目标管理不足，个别指标设置不够明确、细化和量化。保升初中制定了中长期发展规划和年度工作任务及目标，截至年底完成了年度各项工作任务，实现了部门绩效总体目标和各项指标。保升初中紧抓预算管理和执行，2023年度较好地完成了部门预算支出。三公经费未做预算安排，无实际支出，控制良好。保升初中制定了各项内部管理制度，基本能够得到实施，但部分制度未完全执行，制度执行的有效性还有待加强。财务核算能够做到完整、准确、合规，但财务资料需要进一步规范。相关资产管理工作存在不足。2023年度保升初中各项工作任务均已顺利完成，较好地履行了部门工作职责。保升初中工作的完成发挥了相应的社会效益，群众满意度总体较高。</w:t>
      </w:r>
    </w:p>
    <w:p>
      <w:pPr>
        <w:pStyle w:val="31"/>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经综合评议，2023年度保升初中部门整体支出绩效评价综合得</w:t>
      </w:r>
      <w:r>
        <w:rPr>
          <w:rFonts w:hint="eastAsia" w:ascii="仿宋" w:hAnsi="仿宋" w:cs="仿宋"/>
          <w:kern w:val="0"/>
          <w:szCs w:val="32"/>
          <w:lang w:bidi="ar"/>
        </w:rPr>
        <w:t>分88.00分，</w:t>
      </w:r>
      <w:r>
        <w:rPr>
          <w:rFonts w:hint="eastAsia" w:ascii="仿宋" w:hAnsi="仿宋" w:cs="仿宋"/>
          <w:color w:val="000000"/>
          <w:kern w:val="0"/>
          <w:szCs w:val="32"/>
          <w:lang w:bidi="ar"/>
        </w:rPr>
        <w:t>综合绩效评定结论为“良”。综合评价得分情况如下：</w:t>
      </w:r>
    </w:p>
    <w:p>
      <w:pPr>
        <w:widowControl/>
        <w:ind w:firstLine="0" w:firstLineChars="0"/>
        <w:jc w:val="center"/>
        <w:rPr>
          <w:rFonts w:hint="eastAsia" w:ascii="宋体" w:hAnsi="宋体" w:eastAsia="宋体" w:cs="宋体"/>
          <w:b/>
          <w:bCs/>
          <w:sz w:val="28"/>
          <w:szCs w:val="28"/>
        </w:rPr>
      </w:pPr>
      <w:r>
        <w:rPr>
          <w:rFonts w:hint="eastAsia" w:ascii="宋体" w:hAnsi="宋体" w:eastAsia="宋体" w:cs="宋体"/>
          <w:b/>
          <w:bCs/>
          <w:color w:val="000000"/>
          <w:kern w:val="0"/>
          <w:sz w:val="28"/>
          <w:szCs w:val="28"/>
          <w:lang w:bidi="ar"/>
        </w:rPr>
        <w:t>综合评价得分情况表</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1965"/>
        <w:gridCol w:w="196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exact"/>
          <w:jc w:val="center"/>
        </w:trPr>
        <w:tc>
          <w:tcPr>
            <w:tcW w:w="196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196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196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c>
          <w:tcPr>
            <w:tcW w:w="196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exact"/>
          <w:jc w:val="center"/>
        </w:trPr>
        <w:tc>
          <w:tcPr>
            <w:tcW w:w="196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投入</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17.00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exact"/>
          <w:jc w:val="center"/>
        </w:trPr>
        <w:tc>
          <w:tcPr>
            <w:tcW w:w="196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过程</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24.00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exact"/>
          <w:jc w:val="center"/>
        </w:trPr>
        <w:tc>
          <w:tcPr>
            <w:tcW w:w="196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产出</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exact"/>
          <w:jc w:val="center"/>
        </w:trPr>
        <w:tc>
          <w:tcPr>
            <w:tcW w:w="196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效益</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17.00</w:t>
            </w:r>
          </w:p>
        </w:tc>
        <w:tc>
          <w:tcPr>
            <w:tcW w:w="196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jc w:val="center"/>
        </w:trPr>
        <w:tc>
          <w:tcPr>
            <w:tcW w:w="196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合计</w:t>
            </w:r>
          </w:p>
        </w:tc>
        <w:tc>
          <w:tcPr>
            <w:tcW w:w="196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100.00</w:t>
            </w:r>
          </w:p>
        </w:tc>
        <w:tc>
          <w:tcPr>
            <w:tcW w:w="196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88.00</w:t>
            </w:r>
          </w:p>
        </w:tc>
        <w:tc>
          <w:tcPr>
            <w:tcW w:w="196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88.00%</w:t>
            </w:r>
          </w:p>
        </w:tc>
      </w:tr>
    </w:tbl>
    <w:p>
      <w:pPr>
        <w:pStyle w:val="3"/>
        <w:ind w:firstLine="643"/>
        <w:rPr>
          <w:rFonts w:hint="eastAsia"/>
        </w:rPr>
      </w:pPr>
      <w:bookmarkStart w:id="600" w:name="_Toc452"/>
      <w:bookmarkStart w:id="601" w:name="_Toc26860"/>
      <w:bookmarkStart w:id="602" w:name="_Toc12540"/>
      <w:bookmarkStart w:id="603" w:name="_Toc4097"/>
      <w:bookmarkStart w:id="604" w:name="_Toc1367"/>
      <w:r>
        <w:rPr>
          <w:rFonts w:hint="eastAsia"/>
        </w:rPr>
        <w:t>（二）指标分析</w:t>
      </w:r>
      <w:bookmarkEnd w:id="600"/>
      <w:bookmarkEnd w:id="601"/>
      <w:bookmarkEnd w:id="602"/>
      <w:bookmarkEnd w:id="603"/>
      <w:bookmarkEnd w:id="604"/>
    </w:p>
    <w:p>
      <w:pPr>
        <w:pStyle w:val="4"/>
        <w:ind w:firstLine="643"/>
        <w:rPr>
          <w:rFonts w:hint="eastAsia"/>
        </w:rPr>
      </w:pPr>
      <w:bookmarkStart w:id="605" w:name="_Toc19925"/>
      <w:bookmarkStart w:id="606" w:name="_Toc20401"/>
      <w:bookmarkStart w:id="607" w:name="_Toc24375"/>
      <w:r>
        <w:rPr>
          <w:rFonts w:hint="eastAsia"/>
        </w:rPr>
        <w:t>1.投入指标</w:t>
      </w:r>
      <w:bookmarkEnd w:id="605"/>
      <w:bookmarkEnd w:id="606"/>
      <w:bookmarkEnd w:id="607"/>
    </w:p>
    <w:p>
      <w:pPr>
        <w:ind w:firstLine="640"/>
        <w:rPr>
          <w:rFonts w:hint="eastAsia" w:ascii="仿宋" w:hAnsi="仿宋" w:cs="仿宋"/>
        </w:rPr>
      </w:pPr>
      <w:r>
        <w:rPr>
          <w:rFonts w:hint="eastAsia" w:ascii="仿宋" w:hAnsi="仿宋" w:cs="仿宋"/>
        </w:rPr>
        <w:t>保升初中预算基础信息符合相关规定，基础信息的真实、完整、准确是本单位预算编制数据重要基础，本部门预算编制基础是真实、完整、准确的；绩效目标设定不符合预算管理要求，设定的绩效指标不明确；预算绩效目标指标数值设置和考核存在不够科学合理之处；人员配置超标。本项投入指标分值20.00分，得分为17.00分，得分率85.00%。评分见下表：</w:t>
      </w:r>
    </w:p>
    <w:p>
      <w:pPr>
        <w:ind w:firstLine="0" w:firstLineChars="0"/>
        <w:jc w:val="center"/>
        <w:outlineLvl w:val="3"/>
        <w:rPr>
          <w:rFonts w:hint="eastAsia" w:ascii="宋体" w:hAnsi="宋体" w:eastAsia="宋体" w:cs="宋体"/>
          <w:b/>
          <w:bCs/>
          <w:sz w:val="28"/>
          <w:szCs w:val="28"/>
        </w:rPr>
      </w:pPr>
      <w:bookmarkStart w:id="608" w:name="_Toc14990"/>
      <w:r>
        <w:rPr>
          <w:rFonts w:hint="eastAsia" w:ascii="宋体" w:hAnsi="宋体" w:eastAsia="宋体" w:cs="宋体"/>
          <w:b/>
          <w:bCs/>
          <w:sz w:val="28"/>
          <w:szCs w:val="28"/>
        </w:rPr>
        <w:t>投入指标设定及评分情况表</w:t>
      </w:r>
      <w:bookmarkEnd w:id="608"/>
    </w:p>
    <w:tbl>
      <w:tblPr>
        <w:tblStyle w:val="18"/>
        <w:tblW w:w="7817" w:type="dxa"/>
        <w:jc w:val="center"/>
        <w:tblLayout w:type="fixed"/>
        <w:tblCellMar>
          <w:top w:w="0" w:type="dxa"/>
          <w:left w:w="108" w:type="dxa"/>
          <w:bottom w:w="0" w:type="dxa"/>
          <w:right w:w="108" w:type="dxa"/>
        </w:tblCellMar>
      </w:tblPr>
      <w:tblGrid>
        <w:gridCol w:w="676"/>
        <w:gridCol w:w="1217"/>
        <w:gridCol w:w="1892"/>
        <w:gridCol w:w="2098"/>
        <w:gridCol w:w="821"/>
        <w:gridCol w:w="1113"/>
      </w:tblGrid>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一级指标</w:t>
            </w:r>
          </w:p>
        </w:tc>
        <w:tc>
          <w:tcPr>
            <w:tcW w:w="189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分值</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21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投入</w:t>
            </w:r>
          </w:p>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(20.00分)</w:t>
            </w:r>
          </w:p>
        </w:tc>
        <w:tc>
          <w:tcPr>
            <w:tcW w:w="189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预算编制（10.00分）</w:t>
            </w: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基础信息完整性</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21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189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绩效目标符合性</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21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189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绩效指标明确性</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21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189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绩效指标科学合理性</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2.00</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21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189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预算配置</w:t>
            </w:r>
          </w:p>
          <w:p>
            <w:pPr>
              <w:widowControl/>
              <w:spacing w:line="240" w:lineRule="auto"/>
              <w:ind w:left="358" w:leftChars="112"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(10.00分)</w:t>
            </w: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在职人员控制率</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21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189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“三公经费”变动率</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52" w:hRule="atLeast"/>
          <w:jc w:val="center"/>
        </w:trPr>
        <w:tc>
          <w:tcPr>
            <w:tcW w:w="67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21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189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9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重点支出安排率</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11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87" w:hRule="atLeast"/>
          <w:jc w:val="center"/>
        </w:trPr>
        <w:tc>
          <w:tcPr>
            <w:tcW w:w="5883"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本项分数合计</w:t>
            </w:r>
          </w:p>
        </w:tc>
        <w:tc>
          <w:tcPr>
            <w:tcW w:w="8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20.00</w:t>
            </w:r>
          </w:p>
        </w:tc>
        <w:tc>
          <w:tcPr>
            <w:tcW w:w="111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17.00</w:t>
            </w:r>
          </w:p>
        </w:tc>
      </w:tr>
    </w:tbl>
    <w:p>
      <w:pPr>
        <w:pStyle w:val="5"/>
        <w:ind w:firstLine="643"/>
        <w:rPr>
          <w:rFonts w:hint="eastAsia"/>
        </w:rPr>
      </w:pPr>
      <w:bookmarkStart w:id="609" w:name="_Toc15250"/>
      <w:r>
        <w:rPr>
          <w:rFonts w:hint="eastAsia"/>
        </w:rPr>
        <w:t>（1）预算编制</w:t>
      </w:r>
      <w:bookmarkEnd w:id="609"/>
    </w:p>
    <w:p>
      <w:pPr>
        <w:ind w:firstLine="640"/>
        <w:outlineLvl w:val="4"/>
        <w:rPr>
          <w:rFonts w:hint="eastAsia" w:ascii="仿宋" w:hAnsi="仿宋" w:cs="仿宋"/>
        </w:rPr>
      </w:pPr>
      <w:r>
        <w:rPr>
          <w:rFonts w:hint="eastAsia" w:ascii="仿宋" w:hAnsi="仿宋" w:cs="仿宋"/>
        </w:rPr>
        <w:t>1）基础信息完整性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单位提供了单位基本信息状况，机构设置状况，单位人员状况，部门职能和工作任务情况，提供的单位相关信息资料能够真实、完整，反映单位基本状况和职能所在，能够对预算编制数据的提供支撑和依据。2023年度预算基本支出基本参照单位人员和定额的公用支出来确定本年基本支出预算数额，能够按照单位职能承担本单位所属的专项项目支出的工作内容。结合相关资料分析来看，保升初中预算基础信息符合相关规定，信息资料真实、完整、准确，这些基础信息是本单位预算编制数据的重要基础。总体而言，预算编制基础是真实、完整、准确的。</w:t>
      </w:r>
    </w:p>
    <w:p>
      <w:pPr>
        <w:ind w:firstLine="640"/>
        <w:outlineLvl w:val="4"/>
        <w:rPr>
          <w:rFonts w:hint="eastAsia" w:ascii="仿宋" w:hAnsi="仿宋" w:cs="仿宋"/>
        </w:rPr>
      </w:pPr>
      <w:r>
        <w:rPr>
          <w:rFonts w:hint="eastAsia" w:ascii="仿宋" w:hAnsi="仿宋" w:cs="仿宋"/>
        </w:rPr>
        <w:t>2）绩效目标符合性</w:t>
      </w:r>
    </w:p>
    <w:p>
      <w:pPr>
        <w:ind w:firstLine="640"/>
        <w:rPr>
          <w:rFonts w:hint="eastAsia" w:ascii="仿宋" w:hAnsi="仿宋" w:cs="仿宋"/>
        </w:rPr>
      </w:pPr>
      <w:r>
        <w:rPr>
          <w:rFonts w:hint="eastAsia" w:ascii="仿宋" w:hAnsi="仿宋" w:cs="仿宋"/>
        </w:rPr>
        <w:t>根据《保升初中整体支出绩效目标申报表》，保升初中制定了年度任务和预算总体绩效目标和具体绩效目标。</w:t>
      </w:r>
    </w:p>
    <w:p>
      <w:pPr>
        <w:pStyle w:val="30"/>
        <w:ind w:firstLine="640"/>
        <w:jc w:val="both"/>
        <w:rPr>
          <w:rFonts w:hint="eastAsia" w:ascii="仿宋" w:hAnsi="仿宋" w:cs="仿宋"/>
          <w:color w:val="000000"/>
          <w:kern w:val="0"/>
          <w:sz w:val="32"/>
          <w:szCs w:val="32"/>
          <w:lang w:bidi="ar"/>
        </w:rPr>
      </w:pPr>
      <w:r>
        <w:rPr>
          <w:rFonts w:hint="eastAsia" w:ascii="仿宋" w:hAnsi="仿宋" w:cs="仿宋"/>
          <w:sz w:val="32"/>
          <w:szCs w:val="32"/>
        </w:rPr>
        <w:t>绩效目标设定符合国家法律法规和社会发展总体规划，与部门三定方案确定的职责相匹配。</w:t>
      </w:r>
      <w:r>
        <w:rPr>
          <w:rFonts w:hint="eastAsia" w:ascii="仿宋" w:hAnsi="仿宋" w:cs="仿宋"/>
          <w:color w:val="000000"/>
          <w:kern w:val="0"/>
          <w:sz w:val="32"/>
          <w:szCs w:val="32"/>
          <w:lang w:bidi="ar"/>
        </w:rPr>
        <w:t>绩效目标设定基本符合预算管理的要求。</w:t>
      </w:r>
    </w:p>
    <w:p>
      <w:pPr>
        <w:ind w:firstLine="640"/>
        <w:outlineLvl w:val="4"/>
        <w:rPr>
          <w:rFonts w:hint="eastAsia" w:ascii="仿宋" w:hAnsi="仿宋" w:cs="仿宋"/>
        </w:rPr>
      </w:pPr>
      <w:r>
        <w:rPr>
          <w:rFonts w:hint="eastAsia" w:ascii="仿宋" w:hAnsi="仿宋" w:cs="仿宋"/>
        </w:rPr>
        <w:t>3）绩效指标明确性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保升初中制定了年度预算具体绩效目标并设置了各项指标。根据《保升初中部门整体支出绩效目标申报表》，保升初中在年度绩效总体目标的基础上，从产出数量、质量、社会效益和服务对象满意度等角度细化了各项绩效指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评价认为，总体上绩效目标设置绩效指标清晰、细化，大部分绩效指标设置清晰、目标明确。能够基本满足对本部门工作绩效的考核要求。但</w:t>
      </w:r>
      <w:r>
        <w:rPr>
          <w:rFonts w:hint="eastAsia" w:ascii="仿宋" w:hAnsi="仿宋" w:cs="仿宋"/>
          <w:kern w:val="0"/>
          <w:szCs w:val="32"/>
          <w:lang w:bidi="ar"/>
        </w:rPr>
        <w:t>个别指标设置时未充分考虑相应指标的考核依据和方法。</w:t>
      </w:r>
      <w:r>
        <w:rPr>
          <w:rFonts w:hint="eastAsia" w:ascii="仿宋" w:hAnsi="仿宋" w:cs="仿宋"/>
          <w:color w:val="000000"/>
          <w:kern w:val="0"/>
          <w:szCs w:val="32"/>
          <w:lang w:bidi="ar"/>
        </w:rPr>
        <w:t>如教职工体检项目：质量指标和效益指标均设为：更好地为学生服务、为国家培育有用人才。建议可参考质量值为体检人员完成率。指标设置缺乏明确性。</w:t>
      </w:r>
    </w:p>
    <w:p>
      <w:pPr>
        <w:ind w:firstLine="640"/>
        <w:outlineLvl w:val="4"/>
        <w:rPr>
          <w:rFonts w:hint="eastAsia" w:ascii="仿宋" w:hAnsi="仿宋" w:cs="仿宋"/>
        </w:rPr>
      </w:pPr>
      <w:r>
        <w:rPr>
          <w:rFonts w:hint="eastAsia" w:ascii="仿宋" w:hAnsi="仿宋" w:cs="仿宋"/>
        </w:rPr>
        <w:t>4）绩效指标科学合理性</w:t>
      </w:r>
    </w:p>
    <w:p>
      <w:pPr>
        <w:widowControl/>
        <w:ind w:firstLine="640"/>
        <w:rPr>
          <w:rFonts w:hint="eastAsia" w:ascii="仿宋" w:hAnsi="仿宋" w:cs="仿宋"/>
          <w:color w:val="000000"/>
          <w:kern w:val="0"/>
          <w:szCs w:val="32"/>
          <w:lang w:bidi="ar"/>
        </w:rPr>
      </w:pPr>
      <w:r>
        <w:rPr>
          <w:rFonts w:hint="eastAsia" w:ascii="仿宋" w:hAnsi="仿宋" w:cs="仿宋"/>
          <w:kern w:val="0"/>
          <w:szCs w:val="32"/>
          <w:lang w:bidi="ar"/>
        </w:rPr>
        <w:t>保升初中依据整体绩效目标所设定的部门项目绩效指标总体上科学、合理，能够科学合理地反映和考核本部门预算项目绩效指标。项目绩效指标的设置依据是充分的，与部门职责相匹配，与部门年度的任务和计划相对应，与本年度部门年初预算资金相匹配。但个别指标设置时未充分考虑相应指标的考核依据和方法。如党组织活动费－事业项目中数量三级指标：“科目调整次数”，经济效益三级指标：“‘三公经费’控制率[计算方法为：（三公经费实际支出数/预算安排数×100%）]”与项目关联不大，缺乏合理性。</w:t>
      </w:r>
    </w:p>
    <w:p>
      <w:pPr>
        <w:pStyle w:val="5"/>
        <w:ind w:firstLine="643"/>
        <w:rPr>
          <w:rFonts w:hint="eastAsia"/>
        </w:rPr>
      </w:pPr>
      <w:bookmarkStart w:id="610" w:name="_Toc22106"/>
      <w:r>
        <w:rPr>
          <w:rFonts w:hint="eastAsia"/>
        </w:rPr>
        <w:t>（</w:t>
      </w:r>
      <w:r>
        <w:rPr>
          <w:rFonts w:hint="eastAsia" w:ascii="仿宋" w:hAnsi="仿宋" w:cs="仿宋"/>
        </w:rPr>
        <w:t>2</w:t>
      </w:r>
      <w:r>
        <w:rPr>
          <w:rFonts w:hint="eastAsia"/>
        </w:rPr>
        <w:t>）预算配置</w:t>
      </w:r>
      <w:bookmarkEnd w:id="610"/>
    </w:p>
    <w:p>
      <w:pPr>
        <w:ind w:firstLine="640"/>
        <w:outlineLvl w:val="4"/>
        <w:rPr>
          <w:rFonts w:hint="eastAsia"/>
        </w:rPr>
      </w:pPr>
      <w:r>
        <w:rPr>
          <w:rFonts w:hint="eastAsia" w:ascii="仿宋" w:hAnsi="仿宋" w:cs="仿宋"/>
        </w:rPr>
        <w:t>1）</w:t>
      </w:r>
      <w:r>
        <w:rPr>
          <w:rFonts w:hint="eastAsia"/>
        </w:rPr>
        <w:t>在职人员控制率</w:t>
      </w:r>
    </w:p>
    <w:p>
      <w:pPr>
        <w:widowControl/>
        <w:shd w:val="clear" w:color="auto" w:fill="FFFFFF"/>
        <w:ind w:firstLine="640"/>
        <w:rPr>
          <w:rFonts w:ascii="仿宋" w:hAnsi="仿宋" w:cs="仿宋"/>
          <w:color w:val="000000"/>
          <w:kern w:val="0"/>
          <w:szCs w:val="32"/>
          <w:lang w:bidi="ar"/>
        </w:rPr>
      </w:pPr>
      <w:r>
        <w:rPr>
          <w:rFonts w:hint="eastAsia" w:ascii="仿宋" w:hAnsi="仿宋" w:cs="仿宋"/>
          <w:color w:val="000000"/>
          <w:kern w:val="0"/>
          <w:szCs w:val="32"/>
          <w:lang w:bidi="ar"/>
        </w:rPr>
        <w:t>《中共遂宁市委机构编制委员会关于划人公办学校和核定教职工编制的通知》《中共遂宁市委机构编制委员会办公室关于同意备案遂宁高新区公办学校教职工编制分配方案的复函》，保升初中，编制人员数23人，设校长1名，副校长1名，2023年底在职人员28人。人员控制率121%。</w:t>
      </w:r>
    </w:p>
    <w:p>
      <w:pPr>
        <w:ind w:firstLine="640"/>
        <w:outlineLvl w:val="4"/>
        <w:rPr>
          <w:rFonts w:hint="eastAsia"/>
        </w:rPr>
      </w:pPr>
      <w:r>
        <w:rPr>
          <w:rFonts w:hint="eastAsia" w:ascii="仿宋" w:hAnsi="仿宋" w:cs="仿宋"/>
        </w:rPr>
        <w:t>2）</w:t>
      </w:r>
      <w:r>
        <w:rPr>
          <w:rFonts w:hint="eastAsia"/>
        </w:rPr>
        <w:t>“三公经费”变动率</w:t>
      </w:r>
    </w:p>
    <w:p>
      <w:pPr>
        <w:tabs>
          <w:tab w:val="left" w:pos="312"/>
        </w:tabs>
        <w:overflowPunct w:val="0"/>
        <w:autoSpaceDE w:val="0"/>
        <w:autoSpaceDN w:val="0"/>
        <w:ind w:firstLine="640"/>
        <w:rPr>
          <w:rFonts w:hint="eastAsia" w:ascii="仿宋" w:hAnsi="仿宋" w:cs="仿宋"/>
          <w:szCs w:val="32"/>
        </w:rPr>
      </w:pPr>
      <w:r>
        <w:rPr>
          <w:rFonts w:hint="eastAsia" w:ascii="仿宋" w:hAnsi="仿宋" w:cs="仿宋"/>
          <w:color w:val="000000"/>
          <w:kern w:val="0"/>
          <w:szCs w:val="32"/>
          <w:lang w:bidi="ar"/>
        </w:rPr>
        <w:t>2023年度保升初中无“三公经费”预算，实际未发生“三公经费”支出。</w:t>
      </w:r>
      <w:r>
        <w:rPr>
          <w:rFonts w:hint="eastAsia" w:ascii="仿宋" w:hAnsi="仿宋" w:cs="仿宋"/>
          <w:szCs w:val="32"/>
        </w:rPr>
        <w:t>对比2022年度保升初中“三公经费”0.00万元，“三公经费”变动率为0.00%，三公经费控制情况良好。</w:t>
      </w:r>
    </w:p>
    <w:p>
      <w:pPr>
        <w:ind w:firstLine="640"/>
        <w:outlineLvl w:val="4"/>
        <w:rPr>
          <w:rFonts w:hint="eastAsia"/>
        </w:rPr>
      </w:pPr>
      <w:r>
        <w:rPr>
          <w:rFonts w:hint="eastAsia" w:ascii="仿宋" w:hAnsi="仿宋" w:cs="仿宋"/>
        </w:rPr>
        <w:t>3）</w:t>
      </w:r>
      <w:r>
        <w:rPr>
          <w:rFonts w:hint="eastAsia"/>
        </w:rPr>
        <w:t>重点支出安排率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保升初中2023年度没有涉及四川省遂宁市委政府部署的重点项目预算安排，不涉及重点项目支出。</w:t>
      </w:r>
    </w:p>
    <w:p>
      <w:pPr>
        <w:pStyle w:val="4"/>
        <w:ind w:firstLine="643"/>
        <w:rPr>
          <w:rFonts w:hint="eastAsia"/>
        </w:rPr>
      </w:pPr>
      <w:bookmarkStart w:id="611" w:name="_Toc7022"/>
      <w:bookmarkStart w:id="612" w:name="_Toc25778"/>
      <w:bookmarkStart w:id="613" w:name="_Toc26548"/>
      <w:r>
        <w:rPr>
          <w:rFonts w:hint="eastAsia" w:ascii="楷体" w:hAnsi="楷体" w:cs="楷体"/>
        </w:rPr>
        <w:t>2.</w:t>
      </w:r>
      <w:r>
        <w:rPr>
          <w:rFonts w:hint="eastAsia"/>
        </w:rPr>
        <w:t>过程指标</w:t>
      </w:r>
      <w:bookmarkEnd w:id="611"/>
      <w:bookmarkEnd w:id="612"/>
      <w:bookmarkEnd w:id="613"/>
    </w:p>
    <w:p>
      <w:pPr>
        <w:ind w:firstLine="640"/>
        <w:rPr>
          <w:rFonts w:hint="eastAsia" w:ascii="仿宋" w:hAnsi="仿宋" w:cs="仿宋"/>
        </w:rPr>
      </w:pPr>
      <w:r>
        <w:rPr>
          <w:rFonts w:hint="eastAsia" w:ascii="仿宋" w:hAnsi="仿宋" w:cs="仿宋"/>
        </w:rPr>
        <w:t>2023年度，保升初中预算完成率100</w:t>
      </w:r>
      <w:r>
        <w:rPr>
          <w:rFonts w:hint="eastAsia" w:ascii="仿宋" w:hAnsi="仿宋" w:cs="仿宋"/>
          <w:lang w:val="en-US" w:eastAsia="zh-CN"/>
        </w:rPr>
        <w:t>.00</w:t>
      </w:r>
      <w:r>
        <w:rPr>
          <w:rFonts w:hint="eastAsia" w:ascii="仿宋" w:hAnsi="仿宋" w:cs="仿宋"/>
        </w:rPr>
        <w:t>%，基本完成本年预算支出。预算调增额179.33万元，预算调整率27.50%。单位预算支付能够按照支付进度进行，全年预算执行100</w:t>
      </w:r>
      <w:r>
        <w:rPr>
          <w:rFonts w:hint="eastAsia" w:ascii="仿宋" w:hAnsi="仿宋" w:cs="仿宋"/>
          <w:lang w:val="en-US" w:eastAsia="zh-CN"/>
        </w:rPr>
        <w:t>.00</w:t>
      </w:r>
      <w:r>
        <w:rPr>
          <w:rFonts w:hint="eastAsia" w:ascii="仿宋" w:hAnsi="仿宋" w:cs="仿宋"/>
        </w:rPr>
        <w:t>%，能够较好地完成预算资金支付进度。本单位支出符合部门预算批复的用途，符合国家财经法规和财务管理制度规定以及有关专项资金管理办法的规定，能够严格实行国库集中支付，预算按照要求公开公示，会计信息质量控制有待增强，资料不够完整，基本能够达到客观真实核算和监督单位实际收支的目的。资产管理制度未认真贯彻执行，资产管理不够规范。本项过程指标分值30.00分，得分为24.00分，得分率80.00%。</w:t>
      </w:r>
    </w:p>
    <w:p>
      <w:pPr>
        <w:ind w:firstLine="0" w:firstLineChars="0"/>
        <w:jc w:val="center"/>
        <w:outlineLvl w:val="3"/>
        <w:rPr>
          <w:rFonts w:hint="eastAsia" w:ascii="宋体" w:hAnsi="宋体" w:eastAsia="宋体" w:cs="宋体"/>
          <w:b/>
          <w:bCs/>
          <w:sz w:val="28"/>
          <w:szCs w:val="28"/>
        </w:rPr>
      </w:pPr>
      <w:bookmarkStart w:id="614" w:name="_Toc7428"/>
      <w:r>
        <w:rPr>
          <w:rFonts w:hint="eastAsia" w:ascii="宋体" w:hAnsi="宋体" w:eastAsia="宋体" w:cs="宋体"/>
          <w:b/>
          <w:bCs/>
          <w:sz w:val="28"/>
          <w:szCs w:val="28"/>
        </w:rPr>
        <w:t>过程指标设定及评分情况表</w:t>
      </w:r>
      <w:bookmarkEnd w:id="614"/>
    </w:p>
    <w:tbl>
      <w:tblPr>
        <w:tblStyle w:val="18"/>
        <w:tblW w:w="8356" w:type="dxa"/>
        <w:tblInd w:w="93" w:type="dxa"/>
        <w:tblLayout w:type="fixed"/>
        <w:tblCellMar>
          <w:top w:w="0" w:type="dxa"/>
          <w:left w:w="108" w:type="dxa"/>
          <w:bottom w:w="0" w:type="dxa"/>
          <w:right w:w="108" w:type="dxa"/>
        </w:tblCellMar>
      </w:tblPr>
      <w:tblGrid>
        <w:gridCol w:w="749"/>
        <w:gridCol w:w="1275"/>
        <w:gridCol w:w="1542"/>
        <w:gridCol w:w="2952"/>
        <w:gridCol w:w="904"/>
        <w:gridCol w:w="934"/>
      </w:tblGrid>
      <w:tr>
        <w:tblPrEx>
          <w:tblCellMar>
            <w:top w:w="0" w:type="dxa"/>
            <w:left w:w="108" w:type="dxa"/>
            <w:bottom w:w="0" w:type="dxa"/>
            <w:right w:w="108" w:type="dxa"/>
          </w:tblCellMar>
        </w:tblPrEx>
        <w:trPr>
          <w:trHeight w:val="769"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序号</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一级</w:t>
            </w:r>
          </w:p>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二级</w:t>
            </w:r>
          </w:p>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w:t>
            </w: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三级</w:t>
            </w:r>
          </w:p>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指标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分值</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评价</w:t>
            </w:r>
          </w:p>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得分</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27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过程</w:t>
            </w:r>
          </w:p>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(30.00分）</w:t>
            </w:r>
          </w:p>
        </w:tc>
        <w:tc>
          <w:tcPr>
            <w:tcW w:w="154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预算执行（14.00分）</w:t>
            </w: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预算完成率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预算调整率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支付进度率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结转结余率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3.00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公用经费控制率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“三公经费”控制率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r>
      <w:tr>
        <w:tblPrEx>
          <w:tblCellMar>
            <w:top w:w="0" w:type="dxa"/>
            <w:left w:w="108" w:type="dxa"/>
            <w:bottom w:w="0" w:type="dxa"/>
            <w:right w:w="108" w:type="dxa"/>
          </w:tblCellMar>
        </w:tblPrEx>
        <w:trPr>
          <w:trHeight w:val="345"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预算</w:t>
            </w:r>
          </w:p>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管理（10.00分）</w:t>
            </w: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管理制度健全性</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资金使用合规性</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预决算信息公开性</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974706"/>
                <w:sz w:val="18"/>
                <w:szCs w:val="18"/>
              </w:rPr>
            </w:pPr>
            <w:r>
              <w:rPr>
                <w:rFonts w:hint="eastAsia" w:ascii="宋体" w:hAnsi="宋体" w:eastAsia="宋体" w:cs="宋体"/>
                <w:kern w:val="0"/>
                <w:sz w:val="18"/>
                <w:szCs w:val="18"/>
                <w:lang w:bidi="ar"/>
              </w:rPr>
              <w:t>1.00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政府购买服务执行情况</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财务信息完善性</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w:t>
            </w:r>
          </w:p>
        </w:tc>
      </w:tr>
      <w:tr>
        <w:tblPrEx>
          <w:tblCellMar>
            <w:top w:w="0" w:type="dxa"/>
            <w:left w:w="108" w:type="dxa"/>
            <w:bottom w:w="0" w:type="dxa"/>
            <w:right w:w="108" w:type="dxa"/>
          </w:tblCellMar>
        </w:tblPrEx>
        <w:trPr>
          <w:trHeight w:val="457"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资产</w:t>
            </w:r>
          </w:p>
          <w:p>
            <w:pPr>
              <w:widowControl/>
              <w:spacing w:line="240" w:lineRule="auto"/>
              <w:ind w:firstLine="0" w:firstLineChars="0"/>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管理</w:t>
            </w:r>
          </w:p>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(6.00分）</w:t>
            </w: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管理制度健全性合规性和执行度</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1.50</w:t>
            </w:r>
          </w:p>
        </w:tc>
      </w:tr>
      <w:tr>
        <w:tblPrEx>
          <w:tblCellMar>
            <w:top w:w="0" w:type="dxa"/>
            <w:left w:w="108" w:type="dxa"/>
            <w:bottom w:w="0" w:type="dxa"/>
            <w:right w:w="108" w:type="dxa"/>
          </w:tblCellMar>
        </w:tblPrEx>
        <w:trPr>
          <w:trHeight w:val="521"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资产管理规范性</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w:t>
            </w:r>
          </w:p>
        </w:tc>
      </w:tr>
      <w:tr>
        <w:tblPrEx>
          <w:tblCellMar>
            <w:top w:w="0" w:type="dxa"/>
            <w:left w:w="108" w:type="dxa"/>
            <w:bottom w:w="0" w:type="dxa"/>
            <w:right w:w="108" w:type="dxa"/>
          </w:tblCellMar>
        </w:tblPrEx>
        <w:trPr>
          <w:trHeight w:val="320" w:hRule="atLeast"/>
        </w:trPr>
        <w:tc>
          <w:tcPr>
            <w:tcW w:w="74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2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154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18"/>
                <w:szCs w:val="18"/>
              </w:rPr>
            </w:pPr>
          </w:p>
        </w:tc>
        <w:tc>
          <w:tcPr>
            <w:tcW w:w="295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固定资产利用率</w:t>
            </w:r>
          </w:p>
        </w:tc>
        <w:tc>
          <w:tcPr>
            <w:tcW w:w="90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c>
          <w:tcPr>
            <w:tcW w:w="93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p>
        </w:tc>
      </w:tr>
      <w:tr>
        <w:tblPrEx>
          <w:tblCellMar>
            <w:top w:w="0" w:type="dxa"/>
            <w:left w:w="108" w:type="dxa"/>
            <w:bottom w:w="0" w:type="dxa"/>
            <w:right w:w="108" w:type="dxa"/>
          </w:tblCellMar>
        </w:tblPrEx>
        <w:trPr>
          <w:trHeight w:val="344" w:hRule="atLeast"/>
        </w:trPr>
        <w:tc>
          <w:tcPr>
            <w:tcW w:w="6518" w:type="dxa"/>
            <w:gridSpan w:val="4"/>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本项分数合计</w:t>
            </w:r>
          </w:p>
        </w:tc>
        <w:tc>
          <w:tcPr>
            <w:tcW w:w="9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30.00</w:t>
            </w:r>
          </w:p>
        </w:tc>
        <w:tc>
          <w:tcPr>
            <w:tcW w:w="93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18"/>
                <w:szCs w:val="18"/>
              </w:rPr>
            </w:pPr>
            <w:r>
              <w:rPr>
                <w:rFonts w:hint="eastAsia" w:ascii="宋体" w:hAnsi="宋体" w:eastAsia="宋体" w:cs="宋体"/>
                <w:b/>
                <w:bCs/>
                <w:color w:val="000000"/>
                <w:kern w:val="0"/>
                <w:sz w:val="18"/>
                <w:szCs w:val="18"/>
                <w:lang w:bidi="ar"/>
              </w:rPr>
              <w:t>24.00</w:t>
            </w:r>
          </w:p>
        </w:tc>
      </w:tr>
    </w:tbl>
    <w:p>
      <w:pPr>
        <w:pStyle w:val="5"/>
        <w:ind w:firstLine="643"/>
        <w:rPr>
          <w:rFonts w:hint="eastAsia"/>
        </w:rPr>
      </w:pPr>
      <w:bookmarkStart w:id="615" w:name="_Toc21933"/>
      <w:r>
        <w:rPr>
          <w:rFonts w:hint="eastAsia" w:ascii="仿宋" w:hAnsi="仿宋" w:cs="仿宋"/>
        </w:rPr>
        <w:t>（1）</w:t>
      </w:r>
      <w:r>
        <w:rPr>
          <w:rFonts w:hint="eastAsia"/>
        </w:rPr>
        <w:t>预算执行</w:t>
      </w:r>
      <w:bookmarkEnd w:id="615"/>
    </w:p>
    <w:p>
      <w:pPr>
        <w:ind w:firstLine="640"/>
        <w:outlineLvl w:val="4"/>
        <w:rPr>
          <w:rFonts w:hint="eastAsia"/>
        </w:rPr>
      </w:pPr>
      <w:r>
        <w:rPr>
          <w:rFonts w:hint="eastAsia"/>
        </w:rPr>
        <w:t>1）预算完成率</w:t>
      </w:r>
    </w:p>
    <w:p>
      <w:pPr>
        <w:ind w:firstLine="640"/>
        <w:rPr>
          <w:rFonts w:hint="eastAsia" w:ascii="仿宋" w:hAnsi="仿宋" w:cs="仿宋"/>
        </w:rPr>
      </w:pPr>
      <w:r>
        <w:rPr>
          <w:rFonts w:hint="eastAsia" w:ascii="仿宋" w:hAnsi="仿宋" w:cs="仿宋"/>
        </w:rPr>
        <w:t>本项考核保升初中部门本年度预算完成数与预算数的比率，用以反映和考核部门（单位）预算完成程度。2023年度保升初中年初预算为652.19万元，其中：基本支出595.99万元（人员经费支出571.78万元，公用经费支出24.21万元）占年初预算数的91.38%；项目支出56.20万元，占年初预算数8.62%。后经过预算调整后的预算为831.52万元。2023年度保升初中实际支出为831.52万元，其中：基本支出644.87万元（人员经费支出623.13万元，公用经费支出21.74万元）占预算支出总额77.55%；项目支出186.65万元，占预算支出总额22.45%。2023年预算完成率100%。</w:t>
      </w:r>
    </w:p>
    <w:p>
      <w:pPr>
        <w:ind w:firstLine="640"/>
        <w:outlineLvl w:val="4"/>
        <w:rPr>
          <w:rFonts w:hint="eastAsia" w:ascii="仿宋" w:hAnsi="仿宋" w:cs="仿宋"/>
        </w:rPr>
      </w:pPr>
      <w:r>
        <w:rPr>
          <w:rFonts w:hint="eastAsia" w:ascii="仿宋" w:hAnsi="仿宋" w:cs="仿宋"/>
        </w:rPr>
        <w:t>2）预算调整率</w:t>
      </w:r>
      <w:r>
        <w:rPr>
          <w:rFonts w:hint="eastAsia" w:ascii="仿宋" w:hAnsi="仿宋" w:cs="仿宋"/>
        </w:rPr>
        <w:tab/>
      </w:r>
    </w:p>
    <w:p>
      <w:pPr>
        <w:ind w:firstLine="640"/>
        <w:rPr>
          <w:rFonts w:hint="eastAsia" w:ascii="仿宋" w:hAnsi="仿宋" w:cs="仿宋"/>
          <w:szCs w:val="32"/>
        </w:rPr>
      </w:pPr>
      <w:r>
        <w:rPr>
          <w:rFonts w:hint="eastAsia" w:ascii="仿宋" w:hAnsi="仿宋" w:cs="仿宋"/>
          <w:szCs w:val="32"/>
        </w:rPr>
        <w:t>本项考核保升初中部门本年度预算调整数与预算数的比率，用以评价该部门预算的调整程度。根据2023年保升初中《年度部门预算表》，年初预算数为652.19万元，全年预算831.52万元，年中预算调整额为179.33万元。主要有人员经费调增额51.35万元，公用经费调减额2.47万元，项目经费调增额130.45万元，预算调整率27.50%。</w:t>
      </w:r>
    </w:p>
    <w:p>
      <w:pPr>
        <w:ind w:firstLine="640"/>
        <w:outlineLvl w:val="4"/>
        <w:rPr>
          <w:rFonts w:hint="eastAsia"/>
        </w:rPr>
      </w:pPr>
      <w:r>
        <w:rPr>
          <w:rFonts w:hint="eastAsia" w:ascii="仿宋" w:hAnsi="仿宋" w:cs="仿宋"/>
        </w:rPr>
        <w:t>3）</w:t>
      </w:r>
      <w:r>
        <w:rPr>
          <w:rFonts w:hint="eastAsia"/>
        </w:rPr>
        <w:t>支付进度率</w:t>
      </w:r>
    </w:p>
    <w:p>
      <w:pPr>
        <w:ind w:firstLine="640"/>
        <w:rPr>
          <w:rFonts w:hint="eastAsia" w:ascii="仿宋" w:hAnsi="仿宋" w:cs="仿宋"/>
        </w:rPr>
      </w:pPr>
      <w:r>
        <w:rPr>
          <w:rFonts w:hint="eastAsia" w:ascii="仿宋" w:hAnsi="仿宋" w:cs="仿宋"/>
        </w:rPr>
        <w:t>本项考核保升初中部门本年度实际支付进度与年度序时支付进度比率，用以评价该部门预算执行的及时性和均衡性程度及对本年度结转结余资金的实际控制程度。经查看2023年6月、9月和11月的账目和资金支付情况，支付率分别为56.69%、81.93%和92.87%。</w:t>
      </w:r>
    </w:p>
    <w:p>
      <w:pPr>
        <w:ind w:firstLine="640"/>
        <w:rPr>
          <w:rFonts w:hint="eastAsia" w:ascii="仿宋" w:hAnsi="仿宋" w:cs="仿宋"/>
        </w:rPr>
      </w:pPr>
      <w:r>
        <w:rPr>
          <w:rFonts w:hint="eastAsia" w:ascii="仿宋" w:hAnsi="仿宋" w:cs="仿宋"/>
        </w:rPr>
        <w:t>总体而言，全年支付进度合理，进度执行能够与时间线相匹配，全年支付进度执行较好。</w:t>
      </w:r>
    </w:p>
    <w:p>
      <w:pPr>
        <w:ind w:firstLine="640"/>
        <w:outlineLvl w:val="4"/>
        <w:rPr>
          <w:rFonts w:hint="eastAsia"/>
        </w:rPr>
      </w:pPr>
      <w:r>
        <w:rPr>
          <w:rFonts w:hint="eastAsia" w:ascii="仿宋" w:hAnsi="仿宋" w:cs="仿宋"/>
        </w:rPr>
        <w:t>4）</w:t>
      </w:r>
      <w:r>
        <w:rPr>
          <w:rFonts w:hint="eastAsia"/>
        </w:rPr>
        <w:t>结转结余率</w:t>
      </w:r>
    </w:p>
    <w:p>
      <w:pPr>
        <w:ind w:firstLine="640"/>
        <w:rPr>
          <w:rFonts w:hint="eastAsia" w:ascii="仿宋" w:hAnsi="仿宋" w:cs="仿宋"/>
        </w:rPr>
      </w:pPr>
      <w:r>
        <w:rPr>
          <w:rFonts w:hint="eastAsia" w:ascii="仿宋" w:hAnsi="仿宋" w:cs="仿宋"/>
        </w:rPr>
        <w:t>本年调整后预算为831.52万元，实际支出831.52万元，执行率100.00%，年底结转和结余数为0.00元。结转结余控制较好，资金使用效率较高，未造成年底资金沉淀和闲置。</w:t>
      </w:r>
    </w:p>
    <w:p>
      <w:pPr>
        <w:ind w:firstLine="640"/>
        <w:outlineLvl w:val="4"/>
        <w:rPr>
          <w:rFonts w:hint="eastAsia"/>
        </w:rPr>
      </w:pPr>
      <w:r>
        <w:rPr>
          <w:rFonts w:hint="eastAsia" w:ascii="仿宋" w:hAnsi="仿宋" w:cs="仿宋"/>
        </w:rPr>
        <w:t>5）</w:t>
      </w:r>
      <w:r>
        <w:rPr>
          <w:rFonts w:hint="eastAsia"/>
        </w:rPr>
        <w:t>公用经费控制率</w:t>
      </w:r>
    </w:p>
    <w:p>
      <w:pPr>
        <w:ind w:firstLine="640"/>
        <w:rPr>
          <w:rFonts w:hint="eastAsia" w:ascii="仿宋" w:hAnsi="仿宋" w:cs="仿宋"/>
        </w:rPr>
      </w:pPr>
      <w:r>
        <w:rPr>
          <w:rFonts w:hint="eastAsia" w:ascii="仿宋" w:hAnsi="仿宋" w:cs="仿宋"/>
        </w:rPr>
        <w:t>公用经费控制率考核实际支出的公用经费总额与预算安排的公用经费总额的比率，反映和考核部门（单位）对机构运转成本的实际控制程度。</w:t>
      </w:r>
    </w:p>
    <w:p>
      <w:pPr>
        <w:ind w:firstLine="640"/>
        <w:rPr>
          <w:rFonts w:hint="eastAsia" w:ascii="仿宋" w:hAnsi="仿宋" w:cs="仿宋"/>
        </w:rPr>
      </w:pPr>
      <w:r>
        <w:rPr>
          <w:rFonts w:hint="eastAsia" w:ascii="仿宋" w:hAnsi="仿宋" w:cs="仿宋"/>
        </w:rPr>
        <w:t>根据2023年保升初中2023年度财务账目，本年预算安排公用经费为21.74万元，2023年度公用经费支出为21.74万元。公用经费控制率为100.00%，公用经费未超预算。</w:t>
      </w:r>
    </w:p>
    <w:p>
      <w:pPr>
        <w:ind w:firstLine="640"/>
        <w:outlineLvl w:val="4"/>
        <w:rPr>
          <w:rFonts w:hint="eastAsia"/>
        </w:rPr>
      </w:pPr>
      <w:r>
        <w:rPr>
          <w:rFonts w:hint="eastAsia" w:ascii="仿宋" w:hAnsi="仿宋" w:cs="仿宋"/>
        </w:rPr>
        <w:t>6）</w:t>
      </w:r>
      <w:r>
        <w:rPr>
          <w:rFonts w:hint="eastAsia"/>
        </w:rPr>
        <w:t>三公经费控制率</w:t>
      </w:r>
    </w:p>
    <w:p>
      <w:pPr>
        <w:ind w:firstLine="640"/>
        <w:rPr>
          <w:rFonts w:hint="eastAsia" w:ascii="仿宋" w:hAnsi="仿宋" w:cs="仿宋"/>
        </w:rPr>
      </w:pPr>
      <w:r>
        <w:rPr>
          <w:rFonts w:hint="eastAsia" w:ascii="仿宋" w:hAnsi="仿宋" w:cs="仿宋"/>
        </w:rPr>
        <w:t>三公经费控制率考核年度“三公经费”实际支出数与预算安排数的比率，用以评价该部门“三公经费”的实际控制程度。2023年度保升初中三公经费预算数为0元，实际无支出。</w:t>
      </w:r>
    </w:p>
    <w:p>
      <w:pPr>
        <w:ind w:firstLine="640"/>
        <w:outlineLvl w:val="4"/>
        <w:rPr>
          <w:rFonts w:hint="eastAsia"/>
        </w:rPr>
      </w:pPr>
      <w:r>
        <w:rPr>
          <w:rFonts w:hint="eastAsia" w:ascii="仿宋" w:hAnsi="仿宋" w:cs="仿宋"/>
        </w:rPr>
        <w:t>7）</w:t>
      </w:r>
      <w:r>
        <w:rPr>
          <w:rFonts w:hint="eastAsia"/>
        </w:rPr>
        <w:t>政府</w:t>
      </w:r>
      <w:r>
        <w:rPr>
          <w:rFonts w:hint="eastAsia"/>
          <w:lang w:val="en-US" w:eastAsia="zh-CN"/>
        </w:rPr>
        <w:t>购买服务</w:t>
      </w:r>
      <w:r>
        <w:rPr>
          <w:rFonts w:hint="eastAsia"/>
        </w:rPr>
        <w:t>执行率</w:t>
      </w:r>
    </w:p>
    <w:p>
      <w:pPr>
        <w:ind w:firstLine="640"/>
        <w:rPr>
          <w:rFonts w:hint="eastAsia" w:ascii="仿宋" w:hAnsi="仿宋" w:cs="仿宋"/>
        </w:rPr>
      </w:pPr>
      <w:r>
        <w:rPr>
          <w:rFonts w:hint="eastAsia" w:ascii="仿宋" w:hAnsi="仿宋" w:cs="仿宋"/>
        </w:rPr>
        <w:t>根据2023年度保升初中批复预算情况，2023年度不涉及政府</w:t>
      </w:r>
      <w:r>
        <w:rPr>
          <w:rFonts w:hint="eastAsia" w:ascii="仿宋" w:hAnsi="仿宋" w:cs="仿宋"/>
          <w:lang w:val="en-US" w:eastAsia="zh-CN"/>
        </w:rPr>
        <w:t>购买服务</w:t>
      </w:r>
      <w:r>
        <w:rPr>
          <w:rFonts w:hint="eastAsia" w:ascii="仿宋" w:hAnsi="仿宋" w:cs="仿宋"/>
        </w:rPr>
        <w:t>预算。</w:t>
      </w:r>
    </w:p>
    <w:p>
      <w:pPr>
        <w:pStyle w:val="5"/>
        <w:ind w:firstLine="643"/>
        <w:rPr>
          <w:rFonts w:hint="eastAsia"/>
        </w:rPr>
      </w:pPr>
      <w:bookmarkStart w:id="616" w:name="_Toc9177"/>
      <w:r>
        <w:rPr>
          <w:rFonts w:hint="eastAsia" w:ascii="仿宋" w:hAnsi="仿宋" w:cs="仿宋"/>
        </w:rPr>
        <w:t>（2）</w:t>
      </w:r>
      <w:r>
        <w:rPr>
          <w:rFonts w:hint="eastAsia"/>
        </w:rPr>
        <w:t>预算管理</w:t>
      </w:r>
      <w:bookmarkEnd w:id="616"/>
    </w:p>
    <w:p>
      <w:pPr>
        <w:ind w:firstLine="640"/>
        <w:outlineLvl w:val="4"/>
        <w:rPr>
          <w:rFonts w:hint="eastAsia" w:ascii="仿宋" w:hAnsi="仿宋" w:cs="仿宋"/>
          <w:szCs w:val="32"/>
        </w:rPr>
      </w:pPr>
      <w:r>
        <w:rPr>
          <w:rFonts w:hint="eastAsia" w:ascii="仿宋" w:hAnsi="仿宋" w:cs="仿宋"/>
          <w:szCs w:val="32"/>
        </w:rPr>
        <w:t>1）</w:t>
      </w:r>
      <w:r>
        <w:rPr>
          <w:rFonts w:hint="eastAsia" w:ascii="仿宋" w:hAnsi="仿宋" w:cs="仿宋"/>
          <w:color w:val="000000"/>
          <w:kern w:val="0"/>
          <w:szCs w:val="32"/>
          <w:lang w:bidi="ar"/>
        </w:rPr>
        <w:t>管理制度健全性</w:t>
      </w:r>
    </w:p>
    <w:p>
      <w:pPr>
        <w:pStyle w:val="8"/>
        <w:ind w:firstLine="640"/>
        <w:jc w:val="both"/>
        <w:rPr>
          <w:rFonts w:ascii="仿宋" w:hAnsi="仿宋" w:cs="仿宋"/>
          <w:color w:val="000000"/>
          <w:szCs w:val="32"/>
        </w:rPr>
      </w:pPr>
      <w:r>
        <w:rPr>
          <w:rFonts w:hint="eastAsia"/>
        </w:rPr>
        <w:t>为规范各个业务环节的管理，遂宁市保升初中制定有《保升初中校财务管理制度汇编目录》《保升初中校账务制度》《保升初中校报账员工作职责》《保升初中校固定资产管理制度》《内控监督制度》《保升初中教师档案管理制度》《保升初中政府采购内部控制管理制度（暂行）》《合同管理岗位职责说明书》《预决算信息公开制度》《预算管理》《保升初中食堂管理制度及职责》等制度。内容比较完善。部分制度未有效实施，如《保升初中校固定资产管理制度》中资产清查制度要求：对所有固定资产，每年进行一次清查、以物对账、以账对物，做到账表相符，账账相符，账实相符。发生盈亏、报废等及时处理调整账户，保持固定资产</w:t>
      </w:r>
      <w:r>
        <w:rPr>
          <w:rFonts w:hint="eastAsia" w:ascii="仿宋" w:hAnsi="仿宋" w:cs="仿宋"/>
        </w:rPr>
        <w:t>账、卡、物相一致。每年固定资产清查都要留有书面资料。</w:t>
      </w:r>
      <w:r>
        <w:rPr>
          <w:rFonts w:hint="eastAsia"/>
        </w:rPr>
        <w:t>经检查发现，保升初中无固定资产清查记录。</w:t>
      </w:r>
      <w:r>
        <w:rPr>
          <w:rFonts w:hint="eastAsia" w:ascii="仿宋" w:hAnsi="仿宋" w:cs="仿宋"/>
        </w:rPr>
        <w:t>未见固定资产卡片信息。保升初中，资产管理岗位职责说明书规定：后勤中心负责资产管理，但学校内设部门无后勤中心。</w:t>
      </w:r>
      <w:r>
        <w:rPr>
          <w:rFonts w:hint="eastAsia"/>
        </w:rPr>
        <w:t>实际执行与制度规定完全脱节。</w:t>
      </w:r>
    </w:p>
    <w:p>
      <w:pPr>
        <w:ind w:firstLine="640"/>
        <w:outlineLvl w:val="4"/>
        <w:rPr>
          <w:rFonts w:hint="eastAsia"/>
        </w:rPr>
      </w:pPr>
      <w:r>
        <w:rPr>
          <w:rFonts w:hint="eastAsia" w:ascii="仿宋" w:hAnsi="仿宋" w:cs="仿宋"/>
        </w:rPr>
        <w:t>2）</w:t>
      </w:r>
      <w:r>
        <w:rPr>
          <w:rFonts w:hint="eastAsia"/>
        </w:rPr>
        <w:t>资金使用合规性</w:t>
      </w:r>
    </w:p>
    <w:p>
      <w:pPr>
        <w:widowControl/>
        <w:ind w:firstLine="640"/>
        <w:rPr>
          <w:rFonts w:ascii="仿宋" w:hAnsi="仿宋" w:cs="仿宋"/>
          <w:color w:val="000000"/>
          <w:kern w:val="0"/>
          <w:szCs w:val="32"/>
          <w:lang w:bidi="ar"/>
        </w:rPr>
      </w:pPr>
      <w:r>
        <w:rPr>
          <w:rFonts w:hint="eastAsia" w:ascii="仿宋" w:hAnsi="仿宋" w:cs="仿宋"/>
          <w:color w:val="000000"/>
          <w:kern w:val="0"/>
          <w:szCs w:val="32"/>
          <w:lang w:bidi="ar"/>
        </w:rPr>
        <w:t>经检查保升初中预算资金使用账目资料，查看单位严格执行预算批复和相关的预算财务管理制度的规定的情况，评价本部门预算资金的规范运行情况。经查看保升初中预算资金支出账目和资金支出资料，支出符合部门预算批复的用途，符合国家财经法规和财务管理制度规定以及有关专项资金管理办法的规定，能够严格执行国库集中支付。</w:t>
      </w:r>
      <w:r>
        <w:rPr>
          <w:rStyle w:val="24"/>
          <w:rFonts w:hint="eastAsia" w:ascii="仿宋" w:hAnsi="仿宋" w:cs="仿宋"/>
          <w:sz w:val="32"/>
          <w:szCs w:val="32"/>
        </w:rPr>
        <w:t>未发现截留、挤占、挪用、虚列支出等情况。</w:t>
      </w:r>
    </w:p>
    <w:p>
      <w:pPr>
        <w:ind w:firstLine="640"/>
        <w:outlineLvl w:val="4"/>
        <w:rPr>
          <w:rFonts w:hint="eastAsia"/>
        </w:rPr>
      </w:pPr>
      <w:r>
        <w:rPr>
          <w:rFonts w:hint="eastAsia" w:ascii="仿宋" w:hAnsi="仿宋" w:cs="仿宋"/>
        </w:rPr>
        <w:t>3）</w:t>
      </w:r>
      <w:r>
        <w:rPr>
          <w:rFonts w:hint="eastAsia"/>
        </w:rPr>
        <w:t>预决算信息公开性</w:t>
      </w:r>
    </w:p>
    <w:p>
      <w:pPr>
        <w:widowControl/>
        <w:ind w:firstLine="640"/>
        <w:rPr>
          <w:rFonts w:hint="eastAsia" w:ascii="仿宋" w:hAnsi="仿宋" w:cs="仿宋"/>
          <w:szCs w:val="32"/>
        </w:rPr>
      </w:pPr>
      <w:r>
        <w:rPr>
          <w:rFonts w:hint="eastAsia" w:ascii="仿宋" w:hAnsi="仿宋" w:cs="仿宋"/>
          <w:color w:val="000000"/>
          <w:kern w:val="0"/>
          <w:szCs w:val="32"/>
          <w:lang w:bidi="ar"/>
        </w:rPr>
        <w:t>此次绩效评价，我们查看了保升初中部门信息网站。（网站为四川省遂宁市人民政府网站，网络地址为：</w:t>
      </w:r>
      <w:r>
        <w:rPr>
          <w:rFonts w:hint="eastAsia" w:ascii="仿宋" w:hAnsi="仿宋" w:cs="仿宋"/>
          <w:color w:val="000000"/>
          <w:kern w:val="0"/>
          <w:szCs w:val="32"/>
          <w:lang w:bidi="ar"/>
        </w:rPr>
        <w:fldChar w:fldCharType="begin"/>
      </w:r>
      <w:r>
        <w:rPr>
          <w:rFonts w:hint="eastAsia" w:ascii="仿宋" w:hAnsi="仿宋" w:cs="仿宋"/>
          <w:color w:val="000000"/>
          <w:kern w:val="0"/>
          <w:szCs w:val="32"/>
          <w:lang w:bidi="ar"/>
        </w:rPr>
        <w:instrText xml:space="preserve"> HYPERLINK "https://www.suining.gov.cn/welcome" </w:instrText>
      </w:r>
      <w:r>
        <w:rPr>
          <w:rFonts w:hint="eastAsia" w:ascii="仿宋" w:hAnsi="仿宋" w:cs="仿宋"/>
          <w:color w:val="000000"/>
          <w:kern w:val="0"/>
          <w:szCs w:val="32"/>
          <w:lang w:bidi="ar"/>
        </w:rPr>
        <w:fldChar w:fldCharType="separate"/>
      </w:r>
      <w:r>
        <w:rPr>
          <w:rStyle w:val="22"/>
          <w:rFonts w:hint="eastAsia" w:ascii="仿宋" w:hAnsi="仿宋" w:cs="仿宋"/>
          <w:kern w:val="0"/>
          <w:szCs w:val="32"/>
          <w:lang w:bidi="ar"/>
        </w:rPr>
        <w:t>https://www.suining.gov.cn/welcome</w:t>
      </w:r>
      <w:r>
        <w:rPr>
          <w:rFonts w:hint="eastAsia" w:ascii="仿宋" w:hAnsi="仿宋" w:cs="仿宋"/>
          <w:color w:val="000000"/>
          <w:kern w:val="0"/>
          <w:szCs w:val="32"/>
          <w:lang w:bidi="ar"/>
        </w:rPr>
        <w:fldChar w:fldCharType="end"/>
      </w:r>
      <w:r>
        <w:rPr>
          <w:rFonts w:hint="eastAsia" w:ascii="仿宋" w:hAnsi="仿宋" w:cs="仿宋"/>
          <w:color w:val="000000"/>
          <w:kern w:val="0"/>
          <w:szCs w:val="32"/>
          <w:lang w:bidi="ar"/>
        </w:rPr>
        <w:t>），在政府信息公开－政府信息公开指南－法定主动公开内容－财政预决算公开-2023年财政预决算公开－市直园区预决算信息公开－遂宁高新区一项中显示，保升初中已公开2023年度部门预算信息，但是未见2023年决算信息公开。</w:t>
      </w:r>
    </w:p>
    <w:p>
      <w:pPr>
        <w:ind w:firstLine="640"/>
        <w:outlineLvl w:val="4"/>
        <w:rPr>
          <w:rFonts w:hint="eastAsia"/>
        </w:rPr>
      </w:pPr>
      <w:r>
        <w:rPr>
          <w:rFonts w:hint="eastAsia" w:ascii="仿宋" w:hAnsi="仿宋" w:cs="仿宋"/>
        </w:rPr>
        <w:t>4）</w:t>
      </w:r>
      <w:r>
        <w:rPr>
          <w:rFonts w:hint="eastAsia"/>
        </w:rPr>
        <w:t>政府购买服务执行情况</w:t>
      </w:r>
    </w:p>
    <w:p>
      <w:pPr>
        <w:widowControl/>
        <w:ind w:firstLine="640"/>
        <w:rPr>
          <w:rFonts w:hint="eastAsia" w:ascii="仿宋" w:hAnsi="仿宋" w:cs="仿宋"/>
          <w:szCs w:val="32"/>
        </w:rPr>
      </w:pPr>
      <w:r>
        <w:rPr>
          <w:rFonts w:hint="eastAsia" w:ascii="仿宋" w:hAnsi="仿宋" w:cs="仿宋"/>
          <w:color w:val="000000"/>
          <w:kern w:val="0"/>
          <w:szCs w:val="32"/>
          <w:lang w:bidi="ar"/>
        </w:rPr>
        <w:t>2023年度保升初中不存在政府购买服务，故此无政府购买服务执行情况。</w:t>
      </w:r>
    </w:p>
    <w:p>
      <w:pPr>
        <w:ind w:firstLine="640"/>
        <w:outlineLvl w:val="4"/>
        <w:rPr>
          <w:rFonts w:hint="eastAsia"/>
        </w:rPr>
      </w:pPr>
      <w:r>
        <w:rPr>
          <w:rFonts w:hint="eastAsia" w:ascii="仿宋" w:hAnsi="仿宋" w:cs="仿宋"/>
        </w:rPr>
        <w:t>5）</w:t>
      </w:r>
      <w:r>
        <w:rPr>
          <w:rFonts w:hint="eastAsia"/>
        </w:rPr>
        <w:t>财务信息完善性</w:t>
      </w:r>
    </w:p>
    <w:p>
      <w:pPr>
        <w:ind w:firstLine="640"/>
        <w:rPr>
          <w:rFonts w:hint="eastAsia" w:ascii="仿宋" w:hAnsi="仿宋" w:cs="仿宋"/>
        </w:rPr>
      </w:pPr>
      <w:r>
        <w:rPr>
          <w:rFonts w:hint="eastAsia" w:ascii="仿宋" w:hAnsi="仿宋" w:cs="仿宋"/>
        </w:rPr>
        <w:t>本项考核依据《事业单位会计制度》《机关财务管理制度（试行）》（遂高办〔2021〕269号）、《遂宁高新区财政性资金使用管理暂行办法（试行）》（遂高办〔2021〕270号）、《遂宁市党政机关国内公务接待管理实施办法的通知》（遂委办发〔2014〕18号）、《保升初中校财务管理制度汇编目录》《保升初中校账务制度》《保升初中校报账员工作职责》《保升初中校固定资产管理制度》《内控监督制度》等规定，检查会计信息资料是否真实、准确、完整，用以评价该部门财务信息对预算管理工作的反映情况。</w:t>
      </w:r>
    </w:p>
    <w:p>
      <w:pPr>
        <w:ind w:firstLine="640"/>
        <w:rPr>
          <w:rFonts w:hint="eastAsia" w:ascii="仿宋" w:hAnsi="仿宋" w:cs="仿宋"/>
        </w:rPr>
      </w:pPr>
      <w:r>
        <w:rPr>
          <w:rFonts w:hint="eastAsia" w:ascii="仿宋" w:hAnsi="仿宋" w:cs="仿宋"/>
        </w:rPr>
        <w:t>本次评价工作发现存在记账凭证会计信息登记不够完善，记账凭证下方信息如会计主管、审核、记账、制单、出纳等未落款具体负责人员；存在记账凭证会计信息填报不完善</w:t>
      </w:r>
      <w:bookmarkStart w:id="617" w:name="OLE_LINK3"/>
      <w:r>
        <w:rPr>
          <w:rFonts w:hint="eastAsia" w:ascii="仿宋" w:hAnsi="仿宋" w:cs="仿宋"/>
        </w:rPr>
        <w:t>。如：6月记账15号凭证支付遗嘱补助，凭证后未附有关申请及批复文件；记账凭证中部分附件资料不完整，如仅有发票：8月记账22号凭证支付办公用品费用8,571.00元，根据学校采购制度要求，需要行政会讨论，验收需要申请单，经查阅无需求申请，无验收入库，及发放领用标准，未建库存台账。1月记账28号凭证支付广告费13,851.00元，根据学校采购制度：10,000.00元以上的物品采购需经社事局批示后方可采购。经检查凭证资料缺少相关批示；存在已投入使用资产食堂，仍在“在建工程”科目核算</w:t>
      </w:r>
      <w:r>
        <w:rPr>
          <w:rFonts w:hint="eastAsia" w:ascii="仿宋" w:hAnsi="仿宋" w:cs="仿宋"/>
          <w:lang w:val="en-US" w:eastAsia="zh-CN"/>
        </w:rPr>
        <w:t>的情况</w:t>
      </w:r>
      <w:r>
        <w:rPr>
          <w:rFonts w:hint="eastAsia" w:ascii="仿宋" w:hAnsi="仿宋" w:cs="仿宋"/>
        </w:rPr>
        <w:t>，未及时转入固定资产核算并管理。</w:t>
      </w:r>
    </w:p>
    <w:bookmarkEnd w:id="617"/>
    <w:p>
      <w:pPr>
        <w:pStyle w:val="5"/>
        <w:ind w:firstLine="643"/>
        <w:rPr>
          <w:rFonts w:hint="eastAsia"/>
        </w:rPr>
      </w:pPr>
      <w:bookmarkStart w:id="618" w:name="_Toc2826"/>
      <w:r>
        <w:rPr>
          <w:rFonts w:hint="eastAsia" w:ascii="仿宋" w:hAnsi="仿宋" w:cs="仿宋"/>
        </w:rPr>
        <w:t>（3）</w:t>
      </w:r>
      <w:r>
        <w:rPr>
          <w:rFonts w:hint="eastAsia"/>
        </w:rPr>
        <w:t>资产管理</w:t>
      </w:r>
      <w:bookmarkEnd w:id="618"/>
    </w:p>
    <w:p>
      <w:pPr>
        <w:ind w:firstLine="640"/>
        <w:outlineLvl w:val="4"/>
        <w:rPr>
          <w:rFonts w:hint="eastAsia"/>
        </w:rPr>
      </w:pPr>
      <w:r>
        <w:rPr>
          <w:rFonts w:hint="eastAsia" w:ascii="仿宋" w:hAnsi="仿宋" w:cs="仿宋"/>
        </w:rPr>
        <w:t>1）</w:t>
      </w:r>
      <w:r>
        <w:rPr>
          <w:rFonts w:hint="eastAsia"/>
        </w:rPr>
        <w:t>资产管理制度健全性合规性和执行度</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本单位有制定有关资产管理制度，部门未认真贯彻执行有关资产管理制度。如未</w:t>
      </w:r>
      <w:r>
        <w:rPr>
          <w:rFonts w:hint="eastAsia" w:ascii="仿宋" w:hAnsi="仿宋" w:cs="仿宋"/>
          <w:szCs w:val="32"/>
        </w:rPr>
        <w:t>定期或者不定期进行清查盘点工作。</w:t>
      </w:r>
    </w:p>
    <w:p>
      <w:pPr>
        <w:ind w:firstLine="640"/>
        <w:outlineLvl w:val="4"/>
        <w:rPr>
          <w:rFonts w:hint="eastAsia"/>
        </w:rPr>
      </w:pPr>
      <w:r>
        <w:rPr>
          <w:rFonts w:hint="eastAsia" w:ascii="仿宋" w:hAnsi="仿宋" w:cs="仿宋"/>
        </w:rPr>
        <w:t>2）</w:t>
      </w:r>
      <w:r>
        <w:rPr>
          <w:rFonts w:hint="eastAsia"/>
        </w:rPr>
        <w:t>资产管理规范性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本项目评价工作针对的方向有①资产保存完整；②资产配置合理；③资产使用规范；④资产账务管理合规，账实相符。</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保升初中相关资产核查清点工作相对滞后，单位资产能够基本保管完好，配置相对合理。但是也存在着资产管理不到位的情况，如正常盘点工作和账实核对工作缺失、未建资产卡片、缺少验收入库手续、未落实使用者责任。</w:t>
      </w:r>
    </w:p>
    <w:p>
      <w:pPr>
        <w:ind w:firstLine="640"/>
        <w:outlineLvl w:val="4"/>
        <w:rPr>
          <w:rFonts w:hint="eastAsia"/>
        </w:rPr>
      </w:pPr>
      <w:r>
        <w:rPr>
          <w:rFonts w:hint="eastAsia" w:ascii="仿宋" w:hAnsi="仿宋" w:cs="仿宋"/>
        </w:rPr>
        <w:t>3</w:t>
      </w:r>
      <w:r>
        <w:rPr>
          <w:rFonts w:hint="eastAsia"/>
        </w:rPr>
        <w:t>）固定资产利用率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2023年8月17日，评价组根据保升初中资产台账，整理出《固定资产盘点登记表》，</w:t>
      </w:r>
      <w:r>
        <w:rPr>
          <w:rFonts w:hint="eastAsia"/>
        </w:rPr>
        <w:t>与学校财务人员一同</w:t>
      </w:r>
      <w:r>
        <w:rPr>
          <w:rFonts w:hint="eastAsia" w:ascii="仿宋" w:hAnsi="仿宋" w:cs="仿宋"/>
          <w:color w:val="000000"/>
          <w:kern w:val="0"/>
          <w:szCs w:val="32"/>
          <w:lang w:bidi="ar"/>
        </w:rPr>
        <w:t>对保升初中资产保存和使用状况进行盘点，评测单位实际在用固定资产总额与所有固定资产总额的比率，考核固定资产使用的效率程度。经过实际现场盘点资产并查看资产使用状态，</w:t>
      </w:r>
      <w:r>
        <w:rPr>
          <w:rFonts w:hint="eastAsia" w:ascii="仿宋" w:hAnsi="仿宋" w:cs="仿宋"/>
          <w:szCs w:val="32"/>
        </w:rPr>
        <w:t>有账面价值资产全部在用，无</w:t>
      </w:r>
      <w:r>
        <w:rPr>
          <w:rFonts w:hint="eastAsia"/>
        </w:rPr>
        <w:t>损坏报废资产，</w:t>
      </w:r>
      <w:r>
        <w:rPr>
          <w:rFonts w:hint="eastAsia" w:ascii="仿宋" w:hAnsi="仿宋" w:cs="仿宋"/>
          <w:color w:val="000000"/>
          <w:kern w:val="0"/>
          <w:szCs w:val="32"/>
          <w:lang w:bidi="ar"/>
        </w:rPr>
        <w:t>保升初中</w:t>
      </w:r>
      <w:r>
        <w:rPr>
          <w:rFonts w:hint="eastAsia" w:ascii="仿宋" w:hAnsi="仿宋" w:cs="仿宋"/>
          <w:szCs w:val="32"/>
        </w:rPr>
        <w:t>固定资产利用率100.00%。</w:t>
      </w:r>
    </w:p>
    <w:p>
      <w:pPr>
        <w:pStyle w:val="4"/>
        <w:ind w:firstLine="643"/>
        <w:rPr>
          <w:rFonts w:hint="eastAsia"/>
        </w:rPr>
      </w:pPr>
      <w:bookmarkStart w:id="619" w:name="_Toc13946"/>
      <w:bookmarkStart w:id="620" w:name="_Toc29127"/>
      <w:bookmarkStart w:id="621" w:name="_Toc6168"/>
      <w:r>
        <w:rPr>
          <w:rFonts w:hint="eastAsia" w:ascii="楷体" w:hAnsi="楷体" w:cs="楷体"/>
        </w:rPr>
        <w:t>3.</w:t>
      </w:r>
      <w:r>
        <w:rPr>
          <w:rFonts w:hint="eastAsia"/>
        </w:rPr>
        <w:t>产出指标</w:t>
      </w:r>
      <w:bookmarkEnd w:id="619"/>
      <w:bookmarkEnd w:id="620"/>
      <w:bookmarkEnd w:id="621"/>
    </w:p>
    <w:p>
      <w:pPr>
        <w:ind w:firstLine="640"/>
        <w:rPr>
          <w:rFonts w:hint="eastAsia" w:ascii="仿宋" w:hAnsi="仿宋" w:cs="仿宋"/>
          <w:kern w:val="0"/>
          <w:szCs w:val="32"/>
          <w:lang w:bidi="ar"/>
        </w:rPr>
      </w:pPr>
      <w:r>
        <w:rPr>
          <w:rFonts w:hint="eastAsia" w:ascii="仿宋" w:hAnsi="仿宋" w:cs="仿宋"/>
          <w:color w:val="000000"/>
          <w:kern w:val="0"/>
          <w:szCs w:val="32"/>
          <w:lang w:bidi="ar"/>
        </w:rPr>
        <w:t>结合2023年度保升初中绩效目标设定情况，此次评价对本部门工作完成情况和目标实现进行评价，2023年度保升初中</w:t>
      </w:r>
      <w:r>
        <w:rPr>
          <w:rFonts w:hint="eastAsia" w:ascii="仿宋" w:hAnsi="仿宋" w:cs="仿宋"/>
          <w:kern w:val="0"/>
          <w:szCs w:val="32"/>
          <w:lang w:bidi="ar"/>
        </w:rPr>
        <w:t>在教师素质培养、学科综合教学以及校园建设及安全教学方面都完成了2023年目标任务。本项产出指标分值30.00分，得分30.00分，得分率100.00%。</w:t>
      </w:r>
    </w:p>
    <w:p>
      <w:pPr>
        <w:pStyle w:val="8"/>
        <w:ind w:firstLine="0" w:firstLineChars="0"/>
        <w:jc w:val="center"/>
        <w:outlineLvl w:val="3"/>
        <w:rPr>
          <w:rFonts w:hint="eastAsia" w:ascii="宋体" w:hAnsi="宋体" w:eastAsia="宋体" w:cs="宋体"/>
          <w:b/>
          <w:bCs/>
          <w:sz w:val="28"/>
          <w:szCs w:val="28"/>
        </w:rPr>
      </w:pPr>
      <w:r>
        <w:rPr>
          <w:rFonts w:hint="eastAsia" w:ascii="宋体" w:hAnsi="宋体" w:eastAsia="宋体" w:cs="宋体"/>
          <w:b/>
          <w:bCs/>
          <w:sz w:val="28"/>
          <w:szCs w:val="28"/>
        </w:rPr>
        <w:t>产出指标设定及评分情况表</w:t>
      </w:r>
    </w:p>
    <w:tbl>
      <w:tblPr>
        <w:tblStyle w:val="18"/>
        <w:tblW w:w="7997" w:type="dxa"/>
        <w:jc w:val="center"/>
        <w:tblLayout w:type="fixed"/>
        <w:tblCellMar>
          <w:top w:w="0" w:type="dxa"/>
          <w:left w:w="108" w:type="dxa"/>
          <w:bottom w:w="0" w:type="dxa"/>
          <w:right w:w="108" w:type="dxa"/>
        </w:tblCellMar>
      </w:tblPr>
      <w:tblGrid>
        <w:gridCol w:w="530"/>
        <w:gridCol w:w="1162"/>
        <w:gridCol w:w="1519"/>
        <w:gridCol w:w="2962"/>
        <w:gridCol w:w="760"/>
        <w:gridCol w:w="1064"/>
      </w:tblGrid>
      <w:tr>
        <w:tblPrEx>
          <w:tblCellMar>
            <w:top w:w="0" w:type="dxa"/>
            <w:left w:w="108" w:type="dxa"/>
            <w:bottom w:w="0" w:type="dxa"/>
            <w:right w:w="108" w:type="dxa"/>
          </w:tblCellMar>
        </w:tblPrEx>
        <w:trPr>
          <w:trHeight w:val="534"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1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一级指标</w:t>
            </w:r>
          </w:p>
        </w:tc>
        <w:tc>
          <w:tcPr>
            <w:tcW w:w="15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分值</w:t>
            </w:r>
          </w:p>
        </w:tc>
        <w:tc>
          <w:tcPr>
            <w:tcW w:w="1064"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313"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6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产出</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（30分）</w:t>
            </w:r>
          </w:p>
        </w:tc>
        <w:tc>
          <w:tcPr>
            <w:tcW w:w="1519" w:type="dxa"/>
            <w:vMerge w:val="restart"/>
            <w:tcBorders>
              <w:top w:val="single" w:color="000000" w:sz="4" w:space="0"/>
              <w:left w:val="single" w:color="000000" w:sz="4" w:space="0"/>
              <w:bottom w:val="nil"/>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产出－教师素质发展（10分）</w:t>
            </w:r>
          </w:p>
        </w:tc>
        <w:tc>
          <w:tcPr>
            <w:tcW w:w="296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数量－教师获奖次数</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r>
      <w:tr>
        <w:tblPrEx>
          <w:tblCellMar>
            <w:top w:w="0" w:type="dxa"/>
            <w:left w:w="108" w:type="dxa"/>
            <w:bottom w:w="0" w:type="dxa"/>
            <w:right w:w="108" w:type="dxa"/>
          </w:tblCellMar>
        </w:tblPrEx>
        <w:trPr>
          <w:trHeight w:val="29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single" w:color="000000" w:sz="4" w:space="0"/>
              <w:left w:val="single" w:color="000000" w:sz="4" w:space="0"/>
              <w:bottom w:val="nil"/>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数量－教师培训活动开展次数</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r>
      <w:tr>
        <w:tblPrEx>
          <w:tblCellMar>
            <w:top w:w="0" w:type="dxa"/>
            <w:left w:w="108" w:type="dxa"/>
            <w:bottom w:w="0" w:type="dxa"/>
            <w:right w:w="108" w:type="dxa"/>
          </w:tblCellMar>
        </w:tblPrEx>
        <w:trPr>
          <w:trHeight w:val="32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single" w:color="000000" w:sz="4" w:space="0"/>
              <w:left w:val="single" w:color="000000" w:sz="4" w:space="0"/>
              <w:bottom w:val="nil"/>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质量－教师持证上岗率</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297"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产出-学科综合教学（10分）</w:t>
            </w:r>
          </w:p>
        </w:tc>
        <w:tc>
          <w:tcPr>
            <w:tcW w:w="296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学校课程体系建立完善</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r>
      <w:tr>
        <w:tblPrEx>
          <w:tblCellMar>
            <w:top w:w="0" w:type="dxa"/>
            <w:left w:w="108" w:type="dxa"/>
            <w:bottom w:w="0" w:type="dxa"/>
            <w:right w:w="108" w:type="dxa"/>
          </w:tblCellMar>
        </w:tblPrEx>
        <w:trPr>
          <w:trHeight w:val="31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特色教育开展项目数</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r>
      <w:tr>
        <w:tblPrEx>
          <w:tblCellMar>
            <w:top w:w="0" w:type="dxa"/>
            <w:left w:w="108" w:type="dxa"/>
            <w:bottom w:w="0" w:type="dxa"/>
            <w:right w:w="108" w:type="dxa"/>
          </w:tblCellMar>
        </w:tblPrEx>
        <w:trPr>
          <w:trHeight w:val="28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学生身体素质达标率</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r>
      <w:tr>
        <w:tblPrEx>
          <w:tblCellMar>
            <w:top w:w="0" w:type="dxa"/>
            <w:left w:w="108" w:type="dxa"/>
            <w:bottom w:w="0" w:type="dxa"/>
            <w:right w:w="108" w:type="dxa"/>
          </w:tblCellMar>
        </w:tblPrEx>
        <w:trPr>
          <w:trHeight w:val="28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学生获奖数量</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2.50</w:t>
            </w:r>
          </w:p>
        </w:tc>
      </w:tr>
      <w:tr>
        <w:tblPrEx>
          <w:tblCellMar>
            <w:top w:w="0" w:type="dxa"/>
            <w:left w:w="108" w:type="dxa"/>
            <w:bottom w:w="0" w:type="dxa"/>
            <w:right w:w="108" w:type="dxa"/>
          </w:tblCellMar>
        </w:tblPrEx>
        <w:trPr>
          <w:trHeight w:val="35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restart"/>
            <w:tcBorders>
              <w:top w:val="nil"/>
              <w:left w:val="single" w:color="000000" w:sz="4" w:space="0"/>
              <w:bottom w:val="nil"/>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产出－校园健康安全、生态环境（10分）</w:t>
            </w: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校园改造完成时间</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r>
      <w:tr>
        <w:tblPrEx>
          <w:tblCellMar>
            <w:top w:w="0" w:type="dxa"/>
            <w:left w:w="108" w:type="dxa"/>
            <w:bottom w:w="0" w:type="dxa"/>
            <w:right w:w="108" w:type="dxa"/>
          </w:tblCellMar>
        </w:tblPrEx>
        <w:trPr>
          <w:trHeight w:val="35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nil"/>
              <w:left w:val="single" w:color="000000" w:sz="4" w:space="0"/>
              <w:bottom w:val="nil"/>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安全事故发生次数</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3.50</w:t>
            </w:r>
          </w:p>
        </w:tc>
      </w:tr>
      <w:tr>
        <w:tblPrEx>
          <w:tblCellMar>
            <w:top w:w="0" w:type="dxa"/>
            <w:left w:w="108" w:type="dxa"/>
            <w:bottom w:w="0" w:type="dxa"/>
            <w:right w:w="108" w:type="dxa"/>
          </w:tblCellMar>
        </w:tblPrEx>
        <w:trPr>
          <w:trHeight w:val="352" w:hRule="atLeast"/>
          <w:jc w:val="center"/>
        </w:trPr>
        <w:tc>
          <w:tcPr>
            <w:tcW w:w="5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16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b/>
                <w:bCs/>
                <w:color w:val="000000"/>
                <w:sz w:val="20"/>
                <w:szCs w:val="20"/>
              </w:rPr>
            </w:pPr>
          </w:p>
        </w:tc>
        <w:tc>
          <w:tcPr>
            <w:tcW w:w="1519" w:type="dxa"/>
            <w:vMerge w:val="continue"/>
            <w:tcBorders>
              <w:top w:val="nil"/>
              <w:left w:val="single" w:color="000000" w:sz="4" w:space="0"/>
              <w:bottom w:val="nil"/>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96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校园改造－合格率</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c>
          <w:tcPr>
            <w:tcW w:w="106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396" w:hRule="atLeast"/>
          <w:jc w:val="center"/>
        </w:trPr>
        <w:tc>
          <w:tcPr>
            <w:tcW w:w="6173"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本项分数合计</w:t>
            </w:r>
          </w:p>
        </w:tc>
        <w:tc>
          <w:tcPr>
            <w:tcW w:w="760" w:type="dxa"/>
            <w:tcBorders>
              <w:top w:val="single" w:color="000000" w:sz="4" w:space="0"/>
              <w:left w:val="single" w:color="000000" w:sz="4" w:space="0"/>
              <w:bottom w:val="single" w:color="000000" w:sz="4" w:space="0"/>
              <w:right w:val="single" w:color="000000" w:sz="4" w:space="0"/>
            </w:tcBorders>
            <w:noWrap/>
            <w:vAlign w:val="bottom"/>
          </w:tcPr>
          <w:p>
            <w:pPr>
              <w:widowControl/>
              <w:spacing w:line="240" w:lineRule="auto"/>
              <w:ind w:firstLine="0" w:firstLineChars="0"/>
              <w:jc w:val="center"/>
              <w:textAlignment w:val="bottom"/>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30.00</w:t>
            </w:r>
          </w:p>
        </w:tc>
        <w:tc>
          <w:tcPr>
            <w:tcW w:w="1064" w:type="dxa"/>
            <w:tcBorders>
              <w:top w:val="single" w:color="000000" w:sz="4" w:space="0"/>
              <w:left w:val="single" w:color="000000" w:sz="4" w:space="0"/>
              <w:bottom w:val="single" w:color="000000" w:sz="4" w:space="0"/>
              <w:right w:val="single" w:color="000000" w:sz="4" w:space="0"/>
            </w:tcBorders>
            <w:noWrap/>
            <w:vAlign w:val="bottom"/>
          </w:tcPr>
          <w:p>
            <w:pPr>
              <w:widowControl/>
              <w:spacing w:line="240" w:lineRule="auto"/>
              <w:ind w:firstLine="0" w:firstLineChars="0"/>
              <w:jc w:val="center"/>
              <w:textAlignment w:val="bottom"/>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30.00</w:t>
            </w:r>
          </w:p>
        </w:tc>
      </w:tr>
    </w:tbl>
    <w:p>
      <w:pPr>
        <w:pStyle w:val="5"/>
        <w:ind w:firstLine="643"/>
      </w:pPr>
      <w:bookmarkStart w:id="622" w:name="_Toc29777"/>
      <w:r>
        <w:rPr>
          <w:rFonts w:hint="eastAsia" w:ascii="仿宋" w:hAnsi="仿宋" w:cs="仿宋"/>
        </w:rPr>
        <w:t>（1）</w:t>
      </w:r>
      <w:r>
        <w:rPr>
          <w:rFonts w:hint="eastAsia"/>
        </w:rPr>
        <w:t>产出指标</w:t>
      </w:r>
      <w:bookmarkEnd w:id="622"/>
    </w:p>
    <w:p>
      <w:pPr>
        <w:ind w:firstLine="640"/>
        <w:outlineLvl w:val="4"/>
        <w:rPr>
          <w:rFonts w:hint="eastAsia"/>
        </w:rPr>
      </w:pPr>
      <w:r>
        <w:rPr>
          <w:rFonts w:hint="eastAsia" w:ascii="仿宋" w:hAnsi="仿宋" w:cs="仿宋"/>
        </w:rPr>
        <w:t>1</w:t>
      </w:r>
      <w:r>
        <w:rPr>
          <w:rFonts w:hint="eastAsia"/>
        </w:rPr>
        <w:t>）教师素质发展</w:t>
      </w:r>
    </w:p>
    <w:p>
      <w:pPr>
        <w:adjustRightInd w:val="0"/>
        <w:snapToGrid w:val="0"/>
        <w:ind w:firstLine="640"/>
        <w:rPr>
          <w:rFonts w:hint="eastAsia" w:ascii="仿宋" w:hAnsi="仿宋" w:cs="仿宋"/>
          <w:szCs w:val="32"/>
        </w:rPr>
      </w:pPr>
      <w:r>
        <w:rPr>
          <w:rFonts w:hint="eastAsia" w:ascii="仿宋" w:hAnsi="仿宋" w:cs="仿宋"/>
          <w:color w:val="000000"/>
          <w:kern w:val="0"/>
          <w:szCs w:val="32"/>
        </w:rPr>
        <w:t>根据保升初中2023年工作计划，</w:t>
      </w:r>
      <w:r>
        <w:rPr>
          <w:rFonts w:hint="eastAsia" w:ascii="仿宋" w:hAnsi="仿宋" w:cs="仿宋"/>
          <w:kern w:val="0"/>
          <w:szCs w:val="32"/>
          <w:shd w:val="clear" w:color="auto" w:fill="FFFFFF"/>
        </w:rPr>
        <w:t>加强教研工作，提高教师业务能力，全部教师均取得了教师资格，通过每周一次的常规学科教研活动和不定期的业务培训学习，鼓励全体教师利用好电子白板，把现代技术带进课堂。参加各级各类教学研讨和培训活动，2023年派出教师参加省级培训6人次，市级培训20人次，区内培训及交流40人次。保升初中</w:t>
      </w:r>
      <w:r>
        <w:rPr>
          <w:rFonts w:hint="eastAsia" w:ascii="仿宋" w:hAnsi="仿宋" w:cs="仿宋"/>
          <w:szCs w:val="32"/>
        </w:rPr>
        <w:t>教师在市、区级论文、赛课等活动中教师个人获市、区级先进、优秀、一、二、三等奖达30人次。完成目标任务。</w:t>
      </w:r>
    </w:p>
    <w:p>
      <w:pPr>
        <w:ind w:firstLine="640"/>
        <w:outlineLvl w:val="4"/>
        <w:rPr>
          <w:rFonts w:hint="eastAsia"/>
        </w:rPr>
      </w:pPr>
      <w:r>
        <w:rPr>
          <w:rFonts w:hint="eastAsia" w:ascii="仿宋" w:hAnsi="仿宋" w:cs="仿宋"/>
        </w:rPr>
        <w:t>2</w:t>
      </w:r>
      <w:r>
        <w:rPr>
          <w:rFonts w:hint="eastAsia"/>
        </w:rPr>
        <w:t>）学科综合教学</w:t>
      </w:r>
    </w:p>
    <w:p>
      <w:pPr>
        <w:widowControl/>
        <w:ind w:firstLine="640"/>
        <w:rPr>
          <w:rFonts w:hint="eastAsia" w:ascii="仿宋" w:hAnsi="仿宋" w:cs="仿宋"/>
          <w:szCs w:val="32"/>
        </w:rPr>
      </w:pPr>
      <w:r>
        <w:rPr>
          <w:rFonts w:hint="eastAsia" w:ascii="仿宋" w:hAnsi="仿宋" w:cs="仿宋"/>
          <w:szCs w:val="32"/>
        </w:rPr>
        <w:t>保升初中根据2023年学科综合教学任务，学校在基础课程，融合课程，主题课程，项目课程，研学课程等方面构建完善学校课程体系，</w:t>
      </w:r>
      <w:r>
        <w:rPr>
          <w:rFonts w:hint="eastAsia" w:ascii="仿宋" w:hAnsi="仿宋" w:cs="仿宋"/>
          <w:color w:val="000000"/>
          <w:kern w:val="0"/>
          <w:szCs w:val="32"/>
          <w:lang w:bidi="ar"/>
        </w:rPr>
        <w:t>体系围绕课程背景、理念、目标、资源等方面，包含德育、智育、体育、美育、劳动教育，保证教学有序和高质量进行。</w:t>
      </w:r>
    </w:p>
    <w:p>
      <w:pPr>
        <w:pStyle w:val="10"/>
        <w:ind w:left="0" w:firstLine="640"/>
        <w:rPr>
          <w:rFonts w:hint="eastAsia" w:ascii="仿宋" w:hAnsi="仿宋" w:cs="仿宋"/>
          <w:szCs w:val="32"/>
          <w:lang w:bidi="ar"/>
        </w:rPr>
      </w:pPr>
      <w:r>
        <w:rPr>
          <w:rFonts w:hint="eastAsia" w:ascii="仿宋" w:hAnsi="仿宋" w:cs="仿宋"/>
          <w:szCs w:val="32"/>
          <w:lang w:bidi="ar"/>
        </w:rPr>
        <w:t>实施善乐教育，努力打造“至善教育现代公民”品牌，在引领学生学好文化知识的同时，学校更注重开拓第二课堂，全面实施素质教育。学校开设了舞蹈、计算机、乒乓球、篮球、足球、田径、象棋、读书活动、太极等，既丰富学生的课余生活，开阔学生视野，提高综合素质。为了深化素质教育，学校组织了春季和秋季运动会，举行了广播操比赛，元旦和五一文艺汇演等活动，既是对第二课堂活动成果的检验，又极大地调动广大师生参与第二课堂的积极性，营造出浓厚的素质教育氛围。</w:t>
      </w:r>
    </w:p>
    <w:p>
      <w:pPr>
        <w:pStyle w:val="10"/>
        <w:ind w:left="0" w:firstLine="640"/>
        <w:rPr>
          <w:rFonts w:hint="eastAsia" w:ascii="仿宋" w:hAnsi="仿宋" w:cs="仿宋"/>
          <w:color w:val="000000"/>
          <w:kern w:val="0"/>
          <w:szCs w:val="32"/>
        </w:rPr>
      </w:pPr>
      <w:r>
        <w:rPr>
          <w:rFonts w:hint="eastAsia" w:ascii="仿宋" w:hAnsi="仿宋" w:cs="仿宋"/>
          <w:color w:val="333333"/>
          <w:szCs w:val="32"/>
        </w:rPr>
        <w:t>2023年度我校《保升初中教学现状调研》等三个区级课题进行了成果展示并获一等奖。</w:t>
      </w:r>
      <w:r>
        <w:rPr>
          <w:rFonts w:hint="eastAsia" w:ascii="仿宋" w:hAnsi="仿宋" w:cs="仿宋"/>
          <w:szCs w:val="32"/>
        </w:rPr>
        <w:t>2023</w:t>
      </w:r>
      <w:r>
        <w:rPr>
          <w:rFonts w:hint="eastAsia" w:ascii="仿宋" w:hAnsi="仿宋" w:cs="仿宋"/>
          <w:szCs w:val="32"/>
          <w:lang w:bidi="ar"/>
        </w:rPr>
        <w:t>年度两个学期期末素质测评成绩在船山同级同类学校名列前茅，物理、生物学科列第一名。</w:t>
      </w:r>
      <w:r>
        <w:rPr>
          <w:rFonts w:hint="eastAsia" w:ascii="仿宋" w:hAnsi="仿宋" w:cs="仿宋"/>
          <w:szCs w:val="32"/>
        </w:rPr>
        <w:t>学生获市、区级先进、优秀、一、二、三等奖达35人次。</w:t>
      </w:r>
    </w:p>
    <w:p>
      <w:pPr>
        <w:ind w:firstLine="640"/>
        <w:outlineLvl w:val="4"/>
        <w:rPr>
          <w:rFonts w:hint="eastAsia"/>
        </w:rPr>
      </w:pPr>
      <w:r>
        <w:rPr>
          <w:rFonts w:hint="eastAsia" w:ascii="仿宋" w:hAnsi="仿宋" w:cs="仿宋"/>
        </w:rPr>
        <w:t>3</w:t>
      </w:r>
      <w:r>
        <w:rPr>
          <w:rFonts w:hint="eastAsia"/>
        </w:rPr>
        <w:t>）校园健康安全、生态环境</w:t>
      </w:r>
    </w:p>
    <w:p>
      <w:pPr>
        <w:widowControl/>
        <w:shd w:val="clear" w:color="auto" w:fill="FFFFFF"/>
        <w:ind w:firstLine="640"/>
        <w:rPr>
          <w:rFonts w:hint="eastAsia" w:ascii="仿宋" w:hAnsi="仿宋" w:cs="仿宋"/>
          <w:szCs w:val="32"/>
        </w:rPr>
      </w:pPr>
      <w:r>
        <w:rPr>
          <w:rFonts w:hint="eastAsia" w:ascii="仿宋" w:hAnsi="仿宋" w:cs="仿宋"/>
          <w:szCs w:val="32"/>
        </w:rPr>
        <w:t>保升初中在2023年度完成了学校食堂、厕所新建工作，质量合格并正常投入使用，同时拆除了危房，修建了停车场，装修教师临时住房</w:t>
      </w:r>
      <w:r>
        <w:rPr>
          <w:rFonts w:hint="eastAsia" w:ascii="仿宋" w:hAnsi="仿宋" w:cs="仿宋"/>
          <w:szCs w:val="32"/>
          <w:lang w:bidi="ar"/>
        </w:rPr>
        <w:t>11间</w:t>
      </w:r>
      <w:r>
        <w:rPr>
          <w:rFonts w:hint="eastAsia" w:ascii="仿宋" w:hAnsi="仿宋" w:cs="仿宋"/>
          <w:szCs w:val="32"/>
        </w:rPr>
        <w:t>及校门，同时对学生公寓进行了维护（更换了物柜等），保障并提升教学硬实力，美化校园。校园改造进一步规范食堂管理，食堂做到食材配备科学合理、卫生。</w:t>
      </w:r>
      <w:r>
        <w:rPr>
          <w:rFonts w:hint="eastAsia" w:ascii="仿宋" w:hAnsi="仿宋" w:cs="仿宋"/>
          <w:bCs/>
          <w:kern w:val="0"/>
          <w:szCs w:val="32"/>
          <w:shd w:val="clear" w:color="auto" w:fill="FFFFFF"/>
        </w:rPr>
        <w:t>学校始终把安全工作摆到首要位置，切实做好校园的安全保卫工作以及法律普及宣传工作，通过值勤制度，建立责任追究制度，建立了一系列突发事件应急预案，实现</w:t>
      </w:r>
      <w:r>
        <w:rPr>
          <w:rFonts w:hint="eastAsia" w:ascii="仿宋" w:hAnsi="仿宋" w:cs="仿宋"/>
          <w:szCs w:val="32"/>
        </w:rPr>
        <w:t>校园安全、健康等零事故。</w:t>
      </w:r>
    </w:p>
    <w:p>
      <w:pPr>
        <w:pStyle w:val="5"/>
        <w:ind w:firstLine="643"/>
        <w:rPr>
          <w:rFonts w:hint="eastAsia"/>
        </w:rPr>
      </w:pPr>
      <w:bookmarkStart w:id="623" w:name="_Toc25948"/>
      <w:r>
        <w:rPr>
          <w:rFonts w:hint="eastAsia"/>
        </w:rPr>
        <w:t>（</w:t>
      </w:r>
      <w:r>
        <w:rPr>
          <w:rFonts w:hint="eastAsia" w:ascii="仿宋" w:hAnsi="仿宋" w:cs="仿宋"/>
        </w:rPr>
        <w:t>2</w:t>
      </w:r>
      <w:r>
        <w:rPr>
          <w:rFonts w:hint="eastAsia"/>
        </w:rPr>
        <w:t>）重点工作办理情况</w:t>
      </w:r>
      <w:bookmarkEnd w:id="623"/>
    </w:p>
    <w:p>
      <w:pPr>
        <w:ind w:firstLine="640"/>
        <w:rPr>
          <w:rFonts w:hint="eastAsia" w:ascii="仿宋" w:hAnsi="仿宋" w:cs="仿宋"/>
        </w:rPr>
      </w:pPr>
      <w:r>
        <w:rPr>
          <w:rFonts w:hint="eastAsia" w:ascii="仿宋" w:hAnsi="仿宋" w:cs="仿宋"/>
        </w:rPr>
        <w:t>2023年度保升初中不存在涉及党委、政府、人大、相关部门交办重点工作。</w:t>
      </w:r>
    </w:p>
    <w:p>
      <w:pPr>
        <w:pStyle w:val="4"/>
        <w:ind w:firstLine="643"/>
        <w:rPr>
          <w:rFonts w:hint="eastAsia"/>
        </w:rPr>
      </w:pPr>
      <w:bookmarkStart w:id="624" w:name="_Toc4467"/>
      <w:bookmarkStart w:id="625" w:name="_Toc16683"/>
      <w:bookmarkStart w:id="626" w:name="_Toc10166"/>
      <w:r>
        <w:rPr>
          <w:rFonts w:hint="eastAsia" w:ascii="楷体" w:hAnsi="楷体" w:cs="楷体"/>
        </w:rPr>
        <w:t>4</w:t>
      </w:r>
      <w:r>
        <w:rPr>
          <w:rFonts w:hint="eastAsia"/>
        </w:rPr>
        <w:t>.效益指标</w:t>
      </w:r>
      <w:bookmarkEnd w:id="624"/>
      <w:bookmarkEnd w:id="625"/>
      <w:bookmarkEnd w:id="626"/>
    </w:p>
    <w:p>
      <w:pPr>
        <w:ind w:firstLine="640"/>
        <w:rPr>
          <w:rFonts w:hint="eastAsia" w:ascii="仿宋" w:hAnsi="仿宋" w:cs="仿宋"/>
        </w:rPr>
      </w:pPr>
      <w:r>
        <w:rPr>
          <w:rFonts w:hint="eastAsia" w:ascii="仿宋" w:hAnsi="仿宋" w:cs="仿宋"/>
        </w:rPr>
        <w:t>结合2023年度保升初中绩效目标设定情况，此次评价对本部门工作产生效益实现进行评价，2023年度保升初中以品牌创建为目标，打造“党建+管理+学术”三维发展模式，努力突破发展瓶颈，完成各项目标任务，学校硬件有很大改善、品质有很大提升、社会美誉度和影响力得到较好彰显，在社事局年度综合考核中学校获得一等次。本项效益指标分值20.00分，得分17.00分，得分率85.00%。</w:t>
      </w:r>
    </w:p>
    <w:p>
      <w:pPr>
        <w:ind w:firstLine="0" w:firstLineChars="0"/>
        <w:jc w:val="center"/>
        <w:outlineLvl w:val="3"/>
        <w:rPr>
          <w:rFonts w:hint="eastAsia"/>
          <w:sz w:val="28"/>
          <w:szCs w:val="28"/>
        </w:rPr>
      </w:pPr>
      <w:r>
        <w:rPr>
          <w:rFonts w:hint="eastAsia" w:ascii="宋体" w:hAnsi="宋体" w:eastAsia="宋体" w:cs="宋体"/>
          <w:b/>
          <w:bCs/>
          <w:sz w:val="28"/>
          <w:szCs w:val="28"/>
        </w:rPr>
        <w:t>产出指标设定及评分情况表</w:t>
      </w:r>
    </w:p>
    <w:tbl>
      <w:tblPr>
        <w:tblStyle w:val="18"/>
        <w:tblW w:w="8057" w:type="dxa"/>
        <w:tblInd w:w="301" w:type="dxa"/>
        <w:tblLayout w:type="fixed"/>
        <w:tblCellMar>
          <w:top w:w="0" w:type="dxa"/>
          <w:left w:w="108" w:type="dxa"/>
          <w:bottom w:w="0" w:type="dxa"/>
          <w:right w:w="108" w:type="dxa"/>
        </w:tblCellMar>
      </w:tblPr>
      <w:tblGrid>
        <w:gridCol w:w="583"/>
        <w:gridCol w:w="1156"/>
        <w:gridCol w:w="2075"/>
        <w:gridCol w:w="2422"/>
        <w:gridCol w:w="1009"/>
        <w:gridCol w:w="812"/>
      </w:tblGrid>
      <w:tr>
        <w:tblPrEx>
          <w:tblCellMar>
            <w:top w:w="0" w:type="dxa"/>
            <w:left w:w="108" w:type="dxa"/>
            <w:bottom w:w="0" w:type="dxa"/>
            <w:right w:w="108" w:type="dxa"/>
          </w:tblCellMar>
        </w:tblPrEx>
        <w:trPr>
          <w:trHeight w:val="730" w:hRule="atLeast"/>
        </w:trPr>
        <w:tc>
          <w:tcPr>
            <w:tcW w:w="58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序号</w:t>
            </w:r>
          </w:p>
        </w:tc>
        <w:tc>
          <w:tcPr>
            <w:tcW w:w="1156"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一级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24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w:t>
            </w:r>
            <w:r>
              <w:rPr>
                <w:rFonts w:hint="eastAsia" w:ascii="宋体" w:hAnsi="宋体" w:eastAsia="宋体" w:cs="宋体"/>
                <w:b/>
                <w:bCs/>
                <w:color w:val="000000"/>
                <w:kern w:val="0"/>
                <w:sz w:val="20"/>
                <w:szCs w:val="20"/>
                <w:lang w:bidi="ar"/>
              </w:rPr>
              <w:br w:type="textWrapping"/>
            </w:r>
            <w:r>
              <w:rPr>
                <w:rFonts w:hint="eastAsia" w:ascii="宋体" w:hAnsi="宋体" w:eastAsia="宋体" w:cs="宋体"/>
                <w:b/>
                <w:bCs/>
                <w:color w:val="000000"/>
                <w:kern w:val="0"/>
                <w:sz w:val="20"/>
                <w:szCs w:val="20"/>
                <w:lang w:bidi="ar"/>
              </w:rPr>
              <w:t>指标</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分值</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评价得分</w:t>
            </w:r>
          </w:p>
        </w:tc>
      </w:tr>
      <w:tr>
        <w:tblPrEx>
          <w:tblCellMar>
            <w:top w:w="0" w:type="dxa"/>
            <w:left w:w="108" w:type="dxa"/>
            <w:bottom w:w="0" w:type="dxa"/>
            <w:right w:w="108" w:type="dxa"/>
          </w:tblCellMar>
        </w:tblPrEx>
        <w:trPr>
          <w:trHeight w:val="513" w:hRule="atLeast"/>
        </w:trPr>
        <w:tc>
          <w:tcPr>
            <w:tcW w:w="58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效益</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（20.00分）</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社会效益（5.00分）</w:t>
            </w:r>
          </w:p>
        </w:tc>
        <w:tc>
          <w:tcPr>
            <w:tcW w:w="24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学校教学综合服务能力</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4.00</w:t>
            </w:r>
          </w:p>
        </w:tc>
      </w:tr>
      <w:tr>
        <w:tblPrEx>
          <w:tblCellMar>
            <w:top w:w="0" w:type="dxa"/>
            <w:left w:w="108" w:type="dxa"/>
            <w:bottom w:w="0" w:type="dxa"/>
            <w:right w:w="108" w:type="dxa"/>
          </w:tblCellMar>
        </w:tblPrEx>
        <w:trPr>
          <w:trHeight w:val="468" w:hRule="atLeast"/>
        </w:trPr>
        <w:tc>
          <w:tcPr>
            <w:tcW w:w="58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5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可持续性（5.00分）</w:t>
            </w:r>
          </w:p>
        </w:tc>
        <w:tc>
          <w:tcPr>
            <w:tcW w:w="24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长效管理机制</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3.00</w:t>
            </w:r>
          </w:p>
        </w:tc>
      </w:tr>
      <w:tr>
        <w:tblPrEx>
          <w:tblCellMar>
            <w:top w:w="0" w:type="dxa"/>
            <w:left w:w="108" w:type="dxa"/>
            <w:bottom w:w="0" w:type="dxa"/>
            <w:right w:w="108" w:type="dxa"/>
          </w:tblCellMar>
        </w:tblPrEx>
        <w:trPr>
          <w:trHeight w:val="414" w:hRule="atLeast"/>
        </w:trPr>
        <w:tc>
          <w:tcPr>
            <w:tcW w:w="58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5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7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满意度（10.00分）</w:t>
            </w:r>
          </w:p>
        </w:tc>
        <w:tc>
          <w:tcPr>
            <w:tcW w:w="24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教师的满意度</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414" w:hRule="atLeast"/>
        </w:trPr>
        <w:tc>
          <w:tcPr>
            <w:tcW w:w="583"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56"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075"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rPr>
                <w:rFonts w:hint="eastAsia" w:ascii="宋体" w:hAnsi="宋体" w:eastAsia="宋体" w:cs="宋体"/>
                <w:color w:val="000000"/>
                <w:sz w:val="20"/>
                <w:szCs w:val="20"/>
              </w:rPr>
            </w:pPr>
          </w:p>
        </w:tc>
        <w:tc>
          <w:tcPr>
            <w:tcW w:w="242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服务对象满意度</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5.00</w:t>
            </w:r>
          </w:p>
        </w:tc>
      </w:tr>
      <w:tr>
        <w:tblPrEx>
          <w:tblCellMar>
            <w:top w:w="0" w:type="dxa"/>
            <w:left w:w="108" w:type="dxa"/>
            <w:bottom w:w="0" w:type="dxa"/>
            <w:right w:w="108" w:type="dxa"/>
          </w:tblCellMar>
        </w:tblPrEx>
        <w:trPr>
          <w:trHeight w:val="431" w:hRule="atLeast"/>
        </w:trPr>
        <w:tc>
          <w:tcPr>
            <w:tcW w:w="6236"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ind w:firstLine="0" w:firstLineChars="0"/>
              <w:jc w:val="center"/>
              <w:textAlignment w:val="center"/>
              <w:rPr>
                <w:rFonts w:hint="eastAsia" w:ascii="宋体" w:hAnsi="宋体" w:eastAsia="宋体" w:cs="宋体"/>
                <w:color w:val="000000"/>
                <w:sz w:val="20"/>
                <w:szCs w:val="20"/>
              </w:rPr>
            </w:pPr>
            <w:r>
              <w:rPr>
                <w:rFonts w:hint="eastAsia" w:ascii="宋体" w:hAnsi="宋体" w:eastAsia="宋体" w:cs="宋体"/>
                <w:b/>
                <w:bCs/>
                <w:color w:val="000000"/>
                <w:kern w:val="0"/>
                <w:sz w:val="20"/>
                <w:szCs w:val="20"/>
                <w:lang w:bidi="ar"/>
              </w:rPr>
              <w:t>本项分数合计</w:t>
            </w:r>
          </w:p>
        </w:tc>
        <w:tc>
          <w:tcPr>
            <w:tcW w:w="100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20.00</w:t>
            </w:r>
          </w:p>
        </w:tc>
        <w:tc>
          <w:tcPr>
            <w:tcW w:w="81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17.00</w:t>
            </w:r>
          </w:p>
        </w:tc>
      </w:tr>
    </w:tbl>
    <w:p>
      <w:pPr>
        <w:pStyle w:val="5"/>
        <w:ind w:firstLine="643"/>
        <w:rPr>
          <w:rFonts w:hint="eastAsia"/>
        </w:rPr>
      </w:pPr>
      <w:bookmarkStart w:id="627" w:name="_Toc5113"/>
      <w:r>
        <w:rPr>
          <w:rFonts w:hint="eastAsia"/>
        </w:rPr>
        <w:t>（</w:t>
      </w:r>
      <w:r>
        <w:rPr>
          <w:rFonts w:hint="eastAsia" w:ascii="仿宋" w:hAnsi="仿宋" w:cs="仿宋"/>
        </w:rPr>
        <w:t>1</w:t>
      </w:r>
      <w:r>
        <w:rPr>
          <w:rFonts w:hint="eastAsia"/>
        </w:rPr>
        <w:t>）社会效益</w:t>
      </w:r>
      <w:bookmarkEnd w:id="627"/>
    </w:p>
    <w:p>
      <w:pPr>
        <w:widowControl/>
        <w:ind w:firstLine="640"/>
        <w:jc w:val="left"/>
        <w:rPr>
          <w:rFonts w:ascii="仿宋" w:hAnsi="仿宋" w:cs="仿宋"/>
        </w:rPr>
      </w:pPr>
      <w:r>
        <w:rPr>
          <w:rFonts w:hint="eastAsia" w:ascii="仿宋" w:hAnsi="仿宋" w:cs="仿宋"/>
        </w:rPr>
        <w:t>保升初中</w:t>
      </w:r>
      <w:r>
        <w:rPr>
          <w:rFonts w:hint="eastAsia" w:ascii="仿宋" w:hAnsi="仿宋" w:cs="仿宋"/>
          <w:bCs/>
          <w:kern w:val="0"/>
          <w:szCs w:val="32"/>
          <w:shd w:val="clear" w:color="auto" w:fill="FFFFFF"/>
        </w:rPr>
        <w:t>完善学校育人体系建设，彰显办学特色。推进学校校园文化建设，引领学校发展。高举课堂改革旗帜，让师生自信成长，为</w:t>
      </w:r>
      <w:r>
        <w:rPr>
          <w:rFonts w:hint="eastAsia" w:ascii="仿宋" w:hAnsi="仿宋" w:cs="仿宋"/>
          <w:szCs w:val="32"/>
        </w:rPr>
        <w:t>“教育兴区、教育强区”“控辍保学”贡献力量，办好老百姓满意的教育。</w:t>
      </w:r>
      <w:r>
        <w:rPr>
          <w:rFonts w:hint="eastAsia" w:ascii="仿宋" w:hAnsi="仿宋" w:cs="仿宋"/>
          <w:szCs w:val="32"/>
          <w:lang w:bidi="ar"/>
        </w:rPr>
        <w:t>品牌影响力较弱，社会信任度有待进一步提升。</w:t>
      </w:r>
    </w:p>
    <w:p>
      <w:pPr>
        <w:pStyle w:val="5"/>
        <w:ind w:firstLine="643"/>
        <w:rPr>
          <w:rFonts w:hint="eastAsia"/>
        </w:rPr>
      </w:pPr>
      <w:bookmarkStart w:id="628" w:name="_Toc10928"/>
      <w:r>
        <w:rPr>
          <w:rFonts w:hint="eastAsia"/>
        </w:rPr>
        <w:t>（</w:t>
      </w:r>
      <w:r>
        <w:rPr>
          <w:rFonts w:hint="eastAsia" w:ascii="仿宋" w:hAnsi="仿宋" w:cs="仿宋"/>
        </w:rPr>
        <w:t>2</w:t>
      </w:r>
      <w:r>
        <w:rPr>
          <w:rFonts w:hint="eastAsia"/>
        </w:rPr>
        <w:t>）可持续影响</w:t>
      </w:r>
      <w:bookmarkEnd w:id="628"/>
    </w:p>
    <w:p>
      <w:pPr>
        <w:widowControl/>
        <w:shd w:val="clear" w:color="auto" w:fill="FFFFFF"/>
        <w:ind w:firstLine="640"/>
        <w:rPr>
          <w:rFonts w:hint="eastAsia" w:ascii="仿宋" w:hAnsi="仿宋" w:cs="仿宋"/>
          <w:szCs w:val="32"/>
        </w:rPr>
      </w:pPr>
      <w:r>
        <w:rPr>
          <w:rFonts w:hint="eastAsia" w:ascii="仿宋" w:hAnsi="仿宋" w:cs="仿宋"/>
          <w:szCs w:val="32"/>
        </w:rPr>
        <w:t>保升初中融合党建，加强特色品牌建设，认真落实五项管理及双减工作，引领教师队伍发展；重视疾病防控工作及校园安全，牢固树立质量立校意识，引导学生提升科学文化素养，培养学生高尚的道德情操。</w:t>
      </w:r>
      <w:r>
        <w:rPr>
          <w:rFonts w:hint="eastAsia" w:ascii="仿宋" w:hAnsi="仿宋" w:cs="仿宋"/>
          <w:szCs w:val="32"/>
          <w:lang w:bidi="ar"/>
        </w:rPr>
        <w:t>品牌影响力较弱，社会信任度有待进一步提升。</w:t>
      </w:r>
      <w:r>
        <w:rPr>
          <w:rFonts w:hint="eastAsia" w:ascii="仿宋" w:hAnsi="仿宋" w:cs="仿宋"/>
          <w:szCs w:val="32"/>
        </w:rPr>
        <w:t>不断提升办学水平；为提升学校的质量和信誉做持续努力。</w:t>
      </w:r>
    </w:p>
    <w:p>
      <w:pPr>
        <w:pStyle w:val="5"/>
        <w:ind w:firstLine="643"/>
        <w:rPr>
          <w:rFonts w:hint="eastAsia"/>
        </w:rPr>
      </w:pPr>
      <w:bookmarkStart w:id="629" w:name="_Toc13216"/>
      <w:r>
        <w:rPr>
          <w:rFonts w:hint="eastAsia"/>
        </w:rPr>
        <w:t>（</w:t>
      </w:r>
      <w:r>
        <w:rPr>
          <w:rFonts w:hint="eastAsia" w:ascii="仿宋" w:hAnsi="仿宋" w:cs="仿宋"/>
        </w:rPr>
        <w:t>3</w:t>
      </w:r>
      <w:r>
        <w:rPr>
          <w:rFonts w:hint="eastAsia"/>
        </w:rPr>
        <w:t>）满意度指标</w:t>
      </w:r>
      <w:bookmarkEnd w:id="629"/>
    </w:p>
    <w:p>
      <w:pPr>
        <w:ind w:firstLine="640"/>
        <w:outlineLvl w:val="4"/>
        <w:rPr>
          <w:rFonts w:hint="eastAsia"/>
        </w:rPr>
      </w:pPr>
      <w:r>
        <w:rPr>
          <w:rFonts w:hint="eastAsia" w:ascii="仿宋" w:hAnsi="仿宋" w:cs="仿宋"/>
        </w:rPr>
        <w:t>1</w:t>
      </w:r>
      <w:r>
        <w:rPr>
          <w:rFonts w:hint="eastAsia"/>
        </w:rPr>
        <w:t>）服务对象满意度</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本次绩效评价，针对保升初中的职能和工作内容，结合保升初中发展服务政策，设计了本次绩效评价满意度指标调查的问卷。调查问卷，共计设计10个问题，问题内容涵盖了校务公开、教师队伍素质</w:t>
      </w:r>
      <w:r>
        <w:rPr>
          <w:rFonts w:hint="eastAsia" w:ascii="仿宋" w:hAnsi="仿宋" w:cs="仿宋"/>
          <w:kern w:val="0"/>
          <w:szCs w:val="32"/>
          <w:lang w:bidi="ar"/>
        </w:rPr>
        <w:t>、培养学生综合素养、构建安全、和谐、诚信校园、减轻学生负担和家校互动等方面。为方便被调查人填写问卷，调查问卷最大程度上</w:t>
      </w:r>
      <w:r>
        <w:rPr>
          <w:rFonts w:hint="eastAsia" w:ascii="仿宋" w:hAnsi="仿宋" w:cs="仿宋"/>
          <w:color w:val="000000"/>
          <w:kern w:val="0"/>
          <w:szCs w:val="32"/>
          <w:lang w:bidi="ar"/>
        </w:rPr>
        <w:t>减少文字填写内容，每个问题增加预设答案选项供直接选择，选项统一设置为积极印象由高到低5个等级，评价量化分的设定为从左至右依次递减：10分、8分、6分、2分和0分。</w:t>
      </w:r>
    </w:p>
    <w:p>
      <w:pPr>
        <w:widowControl/>
        <w:ind w:firstLine="640"/>
        <w:rPr>
          <w:rFonts w:hint="eastAsia" w:ascii="仿宋" w:hAnsi="仿宋" w:cs="仿宋"/>
          <w:szCs w:val="32"/>
        </w:rPr>
      </w:pPr>
      <w:r>
        <w:rPr>
          <w:rFonts w:hint="eastAsia" w:ascii="仿宋" w:hAnsi="仿宋" w:cs="仿宋"/>
          <w:color w:val="000000"/>
          <w:kern w:val="0"/>
          <w:szCs w:val="32"/>
          <w:lang w:bidi="ar"/>
        </w:rPr>
        <w:t>本次调查主要针对家长、学生和保升初中工作人员三类群体，为保障调查的全面性和客观性，受益对象家长和学生占比65%，保升初中工作人员占比35%。通过学校群发电子问卷链接。经过对回收问卷统计，确定有效问卷为38份。经统计，平均分数94.13分，本次满意度指标综合得分为94.13分（满分100分）。</w:t>
      </w:r>
    </w:p>
    <w:p>
      <w:pPr>
        <w:ind w:firstLine="640"/>
        <w:outlineLvl w:val="4"/>
        <w:rPr>
          <w:rFonts w:hint="eastAsia"/>
        </w:rPr>
      </w:pPr>
      <w:r>
        <w:rPr>
          <w:rFonts w:hint="eastAsia" w:ascii="仿宋" w:hAnsi="仿宋" w:cs="仿宋"/>
        </w:rPr>
        <w:t>2</w:t>
      </w:r>
      <w:r>
        <w:rPr>
          <w:rFonts w:hint="eastAsia"/>
        </w:rPr>
        <w:t>）评价配合情况满意度</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次绩效评价工作得到保升初中全力支持，部门领导统一部署，组织人员布置了工作场地，选派了专门的人员负责协调工作。特别指示财务部门和业务部门积极配合，做到安排专人负责联系协调；各组室和下属单位人员积极准备并提供了资料，资料相对较为齐全，少部分资料提供有困难的也能克服难通过其他方式搜寻后提供；资料报送及时，准备充分，资料的及时有效提供，保证评价小组的绩效评价工作顺利。</w:t>
      </w:r>
    </w:p>
    <w:p>
      <w:pPr>
        <w:pStyle w:val="2"/>
        <w:ind w:firstLine="643"/>
        <w:rPr>
          <w:rFonts w:hint="eastAsia"/>
        </w:rPr>
      </w:pPr>
      <w:bookmarkStart w:id="630" w:name="_Toc13239"/>
      <w:bookmarkStart w:id="631" w:name="_Toc6058"/>
      <w:r>
        <w:rPr>
          <w:rFonts w:hint="eastAsia"/>
        </w:rPr>
        <w:t>六、主要经验及做法和存在问题及建议</w:t>
      </w:r>
      <w:bookmarkEnd w:id="630"/>
      <w:bookmarkEnd w:id="631"/>
    </w:p>
    <w:p>
      <w:pPr>
        <w:pStyle w:val="3"/>
        <w:ind w:firstLine="643"/>
        <w:rPr>
          <w:rFonts w:hint="eastAsia"/>
        </w:rPr>
      </w:pPr>
      <w:bookmarkStart w:id="632" w:name="_Toc31171"/>
      <w:bookmarkStart w:id="633" w:name="_Toc27825"/>
      <w:bookmarkStart w:id="634" w:name="_Toc25400"/>
      <w:bookmarkStart w:id="635" w:name="_Toc2287"/>
      <w:bookmarkStart w:id="636" w:name="_Toc16170"/>
      <w:r>
        <w:rPr>
          <w:rFonts w:hint="eastAsia"/>
        </w:rPr>
        <w:t>（一）存在的问题</w:t>
      </w:r>
      <w:bookmarkEnd w:id="632"/>
      <w:bookmarkEnd w:id="633"/>
      <w:bookmarkEnd w:id="634"/>
      <w:bookmarkEnd w:id="635"/>
      <w:bookmarkEnd w:id="636"/>
    </w:p>
    <w:p>
      <w:pPr>
        <w:pStyle w:val="4"/>
        <w:ind w:firstLine="643"/>
        <w:rPr>
          <w:rFonts w:hint="eastAsia"/>
        </w:rPr>
      </w:pPr>
      <w:bookmarkStart w:id="637" w:name="_Toc27633"/>
      <w:bookmarkStart w:id="638" w:name="_Toc31301"/>
      <w:bookmarkStart w:id="639" w:name="_Toc10770"/>
      <w:r>
        <w:rPr>
          <w:rFonts w:hint="eastAsia" w:ascii="楷体" w:hAnsi="楷体" w:cs="楷体"/>
        </w:rPr>
        <w:t>1</w:t>
      </w:r>
      <w:r>
        <w:rPr>
          <w:rFonts w:hint="eastAsia"/>
        </w:rPr>
        <w:t>.预算编制不科学</w:t>
      </w:r>
      <w:bookmarkEnd w:id="637"/>
      <w:bookmarkEnd w:id="638"/>
      <w:bookmarkEnd w:id="639"/>
    </w:p>
    <w:p>
      <w:pPr>
        <w:ind w:firstLine="640"/>
        <w:rPr>
          <w:rFonts w:hint="eastAsia" w:ascii="仿宋" w:hAnsi="仿宋" w:cs="仿宋"/>
        </w:rPr>
      </w:pPr>
      <w:r>
        <w:rPr>
          <w:rFonts w:hint="eastAsia" w:ascii="仿宋" w:hAnsi="仿宋" w:cs="仿宋"/>
        </w:rPr>
        <w:t>年初预算数和调整预</w:t>
      </w:r>
      <w:r>
        <w:rPr>
          <w:rFonts w:hint="eastAsia" w:ascii="仿宋" w:hAnsi="仿宋" w:cs="仿宋"/>
          <w:szCs w:val="32"/>
        </w:rPr>
        <w:t>算数</w:t>
      </w:r>
      <w:r>
        <w:rPr>
          <w:rStyle w:val="24"/>
          <w:rFonts w:hint="eastAsia" w:ascii="仿宋" w:hAnsi="仿宋" w:cs="仿宋"/>
          <w:sz w:val="32"/>
          <w:szCs w:val="32"/>
        </w:rPr>
        <w:t>、</w:t>
      </w:r>
      <w:r>
        <w:rPr>
          <w:rFonts w:hint="eastAsia" w:ascii="仿宋" w:hAnsi="仿宋" w:cs="仿宋"/>
          <w:szCs w:val="32"/>
        </w:rPr>
        <w:t>实</w:t>
      </w:r>
      <w:r>
        <w:rPr>
          <w:rFonts w:hint="eastAsia" w:ascii="仿宋" w:hAnsi="仿宋" w:cs="仿宋"/>
        </w:rPr>
        <w:t>际执行数存在偏差较大，预算调整额较大，如：年初人员经费预算571.78万元，调整为623.13万元，调整率8.98%，项目经费年初预算56.20万元，经调整为186.65万元，调整率232.12%。反映年初预算编制不够科学准确，不能准确预判预估年度支出事项。</w:t>
      </w:r>
    </w:p>
    <w:p>
      <w:pPr>
        <w:pStyle w:val="4"/>
        <w:ind w:firstLine="643"/>
        <w:rPr>
          <w:rFonts w:hint="eastAsia"/>
        </w:rPr>
      </w:pPr>
      <w:bookmarkStart w:id="640" w:name="_Toc21897"/>
      <w:bookmarkStart w:id="641" w:name="_Toc20820"/>
      <w:bookmarkStart w:id="642" w:name="_Toc13010"/>
      <w:r>
        <w:rPr>
          <w:rFonts w:hint="eastAsia" w:ascii="楷体" w:hAnsi="楷体" w:cs="楷体"/>
        </w:rPr>
        <w:t>2</w:t>
      </w:r>
      <w:r>
        <w:rPr>
          <w:rFonts w:hint="eastAsia"/>
        </w:rPr>
        <w:t>.绩效目标管理不足</w:t>
      </w:r>
      <w:bookmarkEnd w:id="640"/>
      <w:bookmarkEnd w:id="641"/>
      <w:bookmarkEnd w:id="642"/>
    </w:p>
    <w:p>
      <w:pPr>
        <w:ind w:firstLine="640"/>
        <w:rPr>
          <w:rFonts w:ascii="仿宋" w:hAnsi="仿宋" w:cs="仿宋"/>
          <w:szCs w:val="32"/>
        </w:rPr>
      </w:pPr>
      <w:r>
        <w:rPr>
          <w:rFonts w:hint="eastAsia" w:ascii="仿宋" w:hAnsi="仿宋" w:cs="仿宋"/>
          <w:szCs w:val="32"/>
        </w:rPr>
        <w:t>部门绩效目标设置不够</w:t>
      </w:r>
      <w:r>
        <w:rPr>
          <w:rFonts w:hint="eastAsia"/>
        </w:rPr>
        <w:t>科学合理和细化量化</w:t>
      </w:r>
      <w:r>
        <w:rPr>
          <w:rFonts w:hint="eastAsia" w:ascii="仿宋" w:hAnsi="仿宋" w:cs="仿宋"/>
          <w:szCs w:val="32"/>
        </w:rPr>
        <w:t>。部门整体支出绩效目标表中：数量指标三级指标“开展基础教育和学前教育”不明确具体数量标准，质量指标“科学编制预决算”“预决算编制质量进一步提高，保质保量预决算工作”指标不具体，不量化，不可衡量；项目支出预算，“保升初中2023年公用经费”数量指标“公用经费一次</w:t>
      </w:r>
      <w:r>
        <w:rPr>
          <w:rFonts w:ascii="仿宋" w:hAnsi="仿宋" w:cs="仿宋"/>
          <w:szCs w:val="32"/>
        </w:rPr>
        <w:t>”</w:t>
      </w:r>
      <w:r>
        <w:rPr>
          <w:rFonts w:hint="eastAsia" w:ascii="仿宋" w:hAnsi="仿宋" w:cs="仿宋"/>
          <w:szCs w:val="32"/>
        </w:rPr>
        <w:t>：与项目不相关。</w:t>
      </w:r>
    </w:p>
    <w:p>
      <w:pPr>
        <w:pStyle w:val="4"/>
        <w:ind w:firstLine="643"/>
        <w:rPr>
          <w:rFonts w:hint="eastAsia"/>
        </w:rPr>
      </w:pPr>
      <w:bookmarkStart w:id="643" w:name="_Toc32262"/>
      <w:bookmarkStart w:id="644" w:name="_Toc4183"/>
      <w:bookmarkStart w:id="645" w:name="_Toc16574"/>
      <w:r>
        <w:rPr>
          <w:rFonts w:hint="eastAsia" w:ascii="楷体" w:hAnsi="楷体" w:cs="楷体"/>
        </w:rPr>
        <w:t>3</w:t>
      </w:r>
      <w:r>
        <w:rPr>
          <w:rFonts w:hint="eastAsia"/>
        </w:rPr>
        <w:t>.固定资产及物料管理</w:t>
      </w:r>
      <w:bookmarkEnd w:id="643"/>
      <w:bookmarkEnd w:id="644"/>
      <w:bookmarkEnd w:id="645"/>
    </w:p>
    <w:p>
      <w:pPr>
        <w:ind w:firstLine="640"/>
        <w:rPr>
          <w:rFonts w:hint="eastAsia"/>
          <w:szCs w:val="32"/>
        </w:rPr>
      </w:pPr>
      <w:r>
        <w:rPr>
          <w:rFonts w:hint="eastAsia" w:ascii="仿宋" w:hAnsi="仿宋" w:cs="仿宋"/>
          <w:szCs w:val="32"/>
        </w:rPr>
        <w:t>根据《保升初中资产管理岗位职责说明书》：后勤中心职责为负责产权登记、资产记录、日常保管、清查盘点、统计分析工作。财务室职责</w:t>
      </w:r>
      <w:r>
        <w:rPr>
          <w:rStyle w:val="24"/>
          <w:rFonts w:hint="eastAsia"/>
          <w:sz w:val="32"/>
          <w:szCs w:val="32"/>
        </w:rPr>
        <w:t>为</w:t>
      </w:r>
      <w:r>
        <w:rPr>
          <w:rFonts w:hint="eastAsia" w:ascii="仿宋" w:hAnsi="仿宋" w:cs="仿宋"/>
          <w:szCs w:val="32"/>
        </w:rPr>
        <w:t>如实确认、记录和报告资产状况，反映监督资产动态，分析资产利用效果，负责资产清查及报废清理，确保资产安全完整使用有效。指定专人</w:t>
      </w:r>
      <w:r>
        <w:rPr>
          <w:szCs w:val="32"/>
        </w:rPr>
        <w:t>负责管理，明确资产使用和保管责任人，建立使用台账</w:t>
      </w:r>
      <w:r>
        <w:rPr>
          <w:rFonts w:hint="eastAsia"/>
          <w:szCs w:val="32"/>
        </w:rPr>
        <w:t>。经查阅未见执行资产清查</w:t>
      </w:r>
      <w:r>
        <w:rPr>
          <w:rFonts w:hint="eastAsia"/>
          <w:szCs w:val="32"/>
          <w:lang w:val="en-US" w:eastAsia="zh-CN"/>
        </w:rPr>
        <w:t>程序</w:t>
      </w:r>
      <w:r>
        <w:rPr>
          <w:rFonts w:hint="eastAsia"/>
          <w:szCs w:val="32"/>
        </w:rPr>
        <w:t>，未见</w:t>
      </w:r>
      <w:r>
        <w:rPr>
          <w:rFonts w:hint="eastAsia"/>
        </w:rPr>
        <w:t>建立固定资产管理台账</w:t>
      </w:r>
      <w:r>
        <w:rPr>
          <w:rFonts w:hint="eastAsia"/>
          <w:szCs w:val="32"/>
        </w:rPr>
        <w:t>。</w:t>
      </w:r>
    </w:p>
    <w:p>
      <w:pPr>
        <w:ind w:firstLine="640"/>
        <w:rPr>
          <w:rFonts w:hint="eastAsia"/>
          <w:szCs w:val="32"/>
        </w:rPr>
      </w:pPr>
      <w:r>
        <w:rPr>
          <w:rFonts w:hint="eastAsia" w:ascii="仿宋" w:hAnsi="仿宋" w:cs="仿宋"/>
        </w:rPr>
        <w:t>根据学校采购制度要求，采购5,000.00</w:t>
      </w:r>
      <w:r>
        <w:rPr>
          <w:rFonts w:hint="eastAsia" w:ascii="仿宋" w:hAnsi="仿宋" w:cs="仿宋"/>
          <w:lang w:val="en-US" w:eastAsia="zh-CN"/>
        </w:rPr>
        <w:t>元</w:t>
      </w:r>
      <w:r>
        <w:rPr>
          <w:rFonts w:hint="eastAsia" w:ascii="仿宋" w:hAnsi="仿宋" w:cs="仿宋"/>
        </w:rPr>
        <w:t>以上1</w:t>
      </w:r>
      <w:r>
        <w:rPr>
          <w:rFonts w:hint="eastAsia" w:ascii="仿宋" w:hAnsi="仿宋" w:cs="仿宋"/>
          <w:lang w:val="en-US" w:eastAsia="zh-CN"/>
        </w:rPr>
        <w:t>0,000</w:t>
      </w:r>
      <w:r>
        <w:rPr>
          <w:rFonts w:hint="eastAsia" w:ascii="仿宋" w:hAnsi="仿宋" w:cs="仿宋"/>
        </w:rPr>
        <w:t>.00元以下的需要行政会讨论，验收需要申请单，经查阅无需求申请，</w:t>
      </w:r>
      <w:r>
        <w:rPr>
          <w:rFonts w:hint="eastAsia"/>
          <w:szCs w:val="32"/>
        </w:rPr>
        <w:t>办公用品物料购买未执行申请程序，物料领用未建立收发存台账。</w:t>
      </w:r>
    </w:p>
    <w:p>
      <w:pPr>
        <w:pStyle w:val="4"/>
        <w:ind w:firstLine="643"/>
      </w:pPr>
      <w:bookmarkStart w:id="646" w:name="_Toc17108"/>
      <w:bookmarkStart w:id="647" w:name="_Toc23801"/>
      <w:bookmarkStart w:id="648" w:name="_Toc7730"/>
      <w:r>
        <w:rPr>
          <w:rFonts w:hint="eastAsia" w:ascii="楷体" w:hAnsi="楷体" w:cs="楷体"/>
        </w:rPr>
        <w:t>4</w:t>
      </w:r>
      <w:r>
        <w:rPr>
          <w:rFonts w:hint="eastAsia"/>
        </w:rPr>
        <w:t>.财务信息质量</w:t>
      </w:r>
      <w:bookmarkEnd w:id="646"/>
      <w:bookmarkEnd w:id="647"/>
      <w:bookmarkEnd w:id="648"/>
    </w:p>
    <w:p>
      <w:pPr>
        <w:ind w:firstLine="640"/>
        <w:rPr>
          <w:rFonts w:hint="eastAsia" w:ascii="仿宋" w:hAnsi="仿宋" w:cs="仿宋"/>
        </w:rPr>
      </w:pPr>
      <w:bookmarkStart w:id="649" w:name="_Toc26322"/>
      <w:r>
        <w:rPr>
          <w:rFonts w:hint="eastAsia" w:ascii="仿宋" w:hAnsi="仿宋" w:cs="仿宋"/>
          <w:color w:val="000000"/>
          <w:kern w:val="0"/>
          <w:szCs w:val="32"/>
          <w:lang w:bidi="ar"/>
        </w:rPr>
        <w:t>记账凭证会计信息登记不够完善，记账凭证下方信息如会计主管、审核、记账、制单、</w:t>
      </w:r>
      <w:r>
        <w:rPr>
          <w:rFonts w:hint="eastAsia" w:ascii="仿宋" w:hAnsi="仿宋" w:cs="仿宋"/>
          <w:kern w:val="0"/>
          <w:szCs w:val="32"/>
          <w:lang w:bidi="ar"/>
        </w:rPr>
        <w:t>出纳等未落款具体负责人员；</w:t>
      </w:r>
      <w:r>
        <w:rPr>
          <w:rFonts w:hint="eastAsia" w:ascii="仿宋" w:hAnsi="仿宋" w:cs="仿宋"/>
        </w:rPr>
        <w:t>记账凭证会计信息填报不完善，</w:t>
      </w:r>
      <w:r>
        <w:rPr>
          <w:rFonts w:hint="eastAsia"/>
        </w:rPr>
        <w:t>会计原始凭证和佐证资料收集不够完备</w:t>
      </w:r>
      <w:r>
        <w:rPr>
          <w:rFonts w:hint="eastAsia" w:ascii="仿宋" w:hAnsi="仿宋" w:cs="仿宋"/>
        </w:rPr>
        <w:t>。6月记账15号凭证支付遗嘱补助17,353.00元，凭证后未附有关申请及批复文件；记账凭证中部分附件资料不完整，如仅有发票：8月记账22号凭证支付办公用品费用8,571.00元，根据学校采购制度要求，需要行政会讨论，验收需要申请单，经查阅无需求申请，无验收入库，以及发放领用标准，未建库存台账。1月记账28号凭证支付广告费13,851.00元，根据学校采购制度：10,000.00元以上的物品采购需经社事局批示后方可采购。经检查凭证资料缺少相关批示；存在已投入使用资产食堂，仍在“在建工程”科目核算</w:t>
      </w:r>
      <w:r>
        <w:rPr>
          <w:rFonts w:hint="eastAsia"/>
        </w:rPr>
        <w:t>的情况</w:t>
      </w:r>
      <w:r>
        <w:rPr>
          <w:rFonts w:hint="eastAsia" w:ascii="仿宋" w:hAnsi="仿宋" w:cs="仿宋"/>
        </w:rPr>
        <w:t>，未及时转入固定资产核算并管理。</w:t>
      </w:r>
    </w:p>
    <w:p>
      <w:pPr>
        <w:pStyle w:val="3"/>
        <w:ind w:firstLine="643"/>
        <w:rPr>
          <w:rFonts w:hint="eastAsia"/>
        </w:rPr>
      </w:pPr>
      <w:bookmarkStart w:id="650" w:name="_Toc9823"/>
      <w:bookmarkStart w:id="651" w:name="_Toc4462"/>
      <w:bookmarkStart w:id="652" w:name="_Toc5248"/>
      <w:bookmarkStart w:id="653" w:name="_Toc15559"/>
      <w:r>
        <w:rPr>
          <w:rFonts w:hint="eastAsia"/>
        </w:rPr>
        <w:t>（二）建议和改进举措</w:t>
      </w:r>
      <w:bookmarkEnd w:id="649"/>
      <w:bookmarkEnd w:id="650"/>
      <w:bookmarkEnd w:id="651"/>
      <w:bookmarkEnd w:id="652"/>
      <w:bookmarkEnd w:id="653"/>
    </w:p>
    <w:p>
      <w:pPr>
        <w:pStyle w:val="4"/>
        <w:ind w:firstLine="643"/>
        <w:rPr>
          <w:rFonts w:hint="eastAsia"/>
        </w:rPr>
      </w:pPr>
      <w:bookmarkStart w:id="654" w:name="_Toc11341"/>
      <w:bookmarkStart w:id="655" w:name="_Toc18862"/>
      <w:bookmarkStart w:id="656" w:name="_Toc9813"/>
      <w:r>
        <w:rPr>
          <w:rFonts w:hint="eastAsia" w:ascii="楷体" w:hAnsi="楷体" w:cs="楷体"/>
        </w:rPr>
        <w:t>1</w:t>
      </w:r>
      <w:r>
        <w:rPr>
          <w:rFonts w:hint="eastAsia"/>
        </w:rPr>
        <w:t>.加强预算管理</w:t>
      </w:r>
      <w:bookmarkEnd w:id="654"/>
      <w:bookmarkEnd w:id="655"/>
      <w:bookmarkEnd w:id="656"/>
    </w:p>
    <w:p>
      <w:pPr>
        <w:ind w:firstLine="640"/>
        <w:rPr>
          <w:rFonts w:hint="eastAsia" w:ascii="仿宋" w:hAnsi="仿宋" w:cs="仿宋"/>
          <w:szCs w:val="32"/>
        </w:rPr>
      </w:pPr>
      <w:r>
        <w:rPr>
          <w:rFonts w:hint="eastAsia"/>
        </w:rPr>
        <w:t>提升预算管理科学性，精细化编制项目经费预算，项目申报前组织业务专家进行研讨，充分论证项目的科学性和可行性，提升预算编制的合理性，</w:t>
      </w:r>
      <w:r>
        <w:rPr>
          <w:rFonts w:hint="eastAsia" w:ascii="仿宋" w:hAnsi="仿宋" w:cs="仿宋"/>
          <w:szCs w:val="32"/>
        </w:rPr>
        <w:t>建立科学合理的绩效指标框架。健全绩效指标和规范体系，采用科学合理的评价指标和评价规范。</w:t>
      </w:r>
    </w:p>
    <w:p>
      <w:pPr>
        <w:ind w:firstLine="640"/>
        <w:rPr>
          <w:rFonts w:hint="eastAsia" w:ascii="仿宋" w:hAnsi="仿宋" w:cs="仿宋"/>
          <w:szCs w:val="32"/>
        </w:rPr>
      </w:pPr>
      <w:r>
        <w:rPr>
          <w:rFonts w:hint="eastAsia" w:ascii="仿宋" w:hAnsi="仿宋" w:cs="仿宋"/>
          <w:szCs w:val="32"/>
        </w:rPr>
        <w:t>加强绩效目标管理，对业务部门进行项目绩效目标申报、绩效目标实施与检查、绩效目标自评等全过程的业务培训，包括指标值的选取与设置、过程的监控和事后的绩效目标评价等内容，增强预算单位绩效目标管理意识和能力。</w:t>
      </w:r>
    </w:p>
    <w:p>
      <w:pPr>
        <w:pStyle w:val="4"/>
        <w:ind w:firstLine="643"/>
        <w:rPr>
          <w:rFonts w:hint="eastAsia"/>
        </w:rPr>
      </w:pPr>
      <w:bookmarkStart w:id="657" w:name="_Toc5100"/>
      <w:bookmarkStart w:id="658" w:name="_Toc21894"/>
      <w:bookmarkStart w:id="659" w:name="_Toc25164"/>
      <w:r>
        <w:rPr>
          <w:rFonts w:hint="eastAsia" w:ascii="楷体" w:hAnsi="楷体" w:cs="楷体"/>
        </w:rPr>
        <w:t>2</w:t>
      </w:r>
      <w:r>
        <w:rPr>
          <w:rFonts w:hint="eastAsia"/>
        </w:rPr>
        <w:t>.加强固定资产管理工作</w:t>
      </w:r>
      <w:bookmarkEnd w:id="657"/>
      <w:bookmarkEnd w:id="658"/>
      <w:bookmarkEnd w:id="659"/>
    </w:p>
    <w:p>
      <w:pPr>
        <w:widowControl/>
        <w:ind w:firstLine="640"/>
        <w:rPr>
          <w:rFonts w:hint="eastAsia" w:ascii="仿宋" w:hAnsi="仿宋" w:cs="仿宋"/>
          <w:kern w:val="0"/>
          <w:szCs w:val="32"/>
          <w:lang w:bidi="ar"/>
        </w:rPr>
      </w:pPr>
      <w:r>
        <w:rPr>
          <w:rFonts w:hint="eastAsia" w:ascii="仿宋" w:hAnsi="仿宋" w:cs="仿宋"/>
          <w:kern w:val="0"/>
          <w:szCs w:val="32"/>
          <w:lang w:bidi="ar"/>
        </w:rPr>
        <w:t>建议根据单位资产管理办法，强化和落实资产管理责任；建议单位每季度、半年和年末组织开展资产清查，摸清行政事业单位国有资产家底，清点账外资产，及时调整账目，保障资产账账、账实相符，盘活闲置资产，提高资产利用率。</w:t>
      </w:r>
    </w:p>
    <w:p>
      <w:pPr>
        <w:pStyle w:val="4"/>
        <w:ind w:firstLine="643"/>
        <w:rPr>
          <w:rFonts w:hint="eastAsia"/>
        </w:rPr>
      </w:pPr>
      <w:bookmarkStart w:id="660" w:name="_Toc7305"/>
      <w:bookmarkStart w:id="661" w:name="_Toc8602"/>
      <w:bookmarkStart w:id="662" w:name="_Toc12308"/>
      <w:r>
        <w:rPr>
          <w:rFonts w:hint="eastAsia" w:ascii="楷体" w:hAnsi="楷体" w:cs="楷体"/>
        </w:rPr>
        <w:t>3</w:t>
      </w:r>
      <w:r>
        <w:rPr>
          <w:rFonts w:hint="eastAsia"/>
        </w:rPr>
        <w:t>.提高制度执行力</w:t>
      </w:r>
      <w:bookmarkEnd w:id="660"/>
      <w:bookmarkEnd w:id="661"/>
      <w:bookmarkEnd w:id="662"/>
    </w:p>
    <w:p>
      <w:pPr>
        <w:ind w:firstLine="640"/>
        <w:rPr>
          <w:rFonts w:hint="eastAsia"/>
        </w:rPr>
      </w:pPr>
      <w:r>
        <w:rPr>
          <w:rFonts w:hint="eastAsia"/>
        </w:rPr>
        <w:t>部分制度执行不到位。建议加强制定执行控制，使制度落地生根；加强财务规范，增加督查力度，对制度执行中的重要节点和关键环节进行督查，保证制度能够顺利执行；加强宣传和教育，让部门工作人员认识到制度执行的重要性和必要性；给予制度执行者充分的激励</w:t>
      </w:r>
      <w:r>
        <w:rPr>
          <w:rFonts w:hint="eastAsia"/>
          <w:lang w:val="en-US" w:eastAsia="zh-CN"/>
        </w:rPr>
        <w:t>,</w:t>
      </w:r>
      <w:r>
        <w:rPr>
          <w:rFonts w:hint="eastAsia"/>
        </w:rPr>
        <w:t>建立对制度执行方面的考核机制。</w:t>
      </w:r>
    </w:p>
    <w:p>
      <w:pPr>
        <w:pStyle w:val="2"/>
        <w:ind w:firstLine="643"/>
        <w:rPr>
          <w:rFonts w:hint="eastAsia" w:ascii="黑体" w:hAnsi="黑体" w:cs="黑体"/>
        </w:rPr>
      </w:pPr>
      <w:bookmarkStart w:id="663" w:name="_Toc25977"/>
      <w:bookmarkStart w:id="664" w:name="_Toc8336"/>
      <w:bookmarkStart w:id="665" w:name="_Toc9198"/>
      <w:r>
        <w:rPr>
          <w:rFonts w:hint="eastAsia" w:ascii="黑体" w:hAnsi="黑体" w:cs="黑体"/>
        </w:rPr>
        <w:fldChar w:fldCharType="begin"/>
      </w:r>
      <w:r>
        <w:rPr>
          <w:rFonts w:hint="eastAsia" w:ascii="黑体" w:hAnsi="黑体" w:cs="黑体"/>
        </w:rPr>
        <w:instrText xml:space="preserve"> HYPERLINK \l "_Toc455996735" </w:instrText>
      </w:r>
      <w:r>
        <w:rPr>
          <w:rFonts w:hint="eastAsia" w:ascii="黑体" w:hAnsi="黑体" w:cs="黑体"/>
        </w:rPr>
        <w:fldChar w:fldCharType="separate"/>
      </w:r>
      <w:r>
        <w:rPr>
          <w:rFonts w:hint="eastAsia" w:ascii="黑体" w:hAnsi="黑体" w:cs="黑体"/>
        </w:rPr>
        <w:t>七、相关附件</w:t>
      </w:r>
      <w:r>
        <w:rPr>
          <w:rFonts w:hint="eastAsia" w:ascii="黑体" w:hAnsi="黑体" w:cs="黑体"/>
        </w:rPr>
        <w:fldChar w:fldCharType="end"/>
      </w:r>
      <w:bookmarkEnd w:id="663"/>
      <w:bookmarkEnd w:id="664"/>
      <w:bookmarkEnd w:id="665"/>
    </w:p>
    <w:p>
      <w:pPr>
        <w:widowControl/>
        <w:ind w:firstLine="640"/>
        <w:rPr>
          <w:rFonts w:hint="eastAsia" w:ascii="仿宋" w:hAnsi="仿宋" w:cs="仿宋"/>
          <w:kern w:val="0"/>
          <w:szCs w:val="32"/>
          <w:lang w:bidi="ar"/>
        </w:rPr>
      </w:pPr>
      <w:r>
        <w:rPr>
          <w:rFonts w:hint="eastAsia" w:ascii="仿宋" w:hAnsi="仿宋" w:cs="仿宋"/>
          <w:kern w:val="0"/>
          <w:szCs w:val="32"/>
          <w:lang w:bidi="ar"/>
        </w:rPr>
        <w:t>附件：遂宁市船山区保升乡初级中学校2023年度部门整体支出绩效评价评分表</w:t>
      </w:r>
    </w:p>
    <w:p>
      <w:pPr>
        <w:widowControl/>
        <w:ind w:firstLine="640"/>
        <w:rPr>
          <w:rFonts w:hint="eastAsia" w:ascii="仿宋" w:hAnsi="仿宋" w:cs="仿宋"/>
          <w:kern w:val="0"/>
          <w:szCs w:val="32"/>
          <w:lang w:bidi="ar"/>
        </w:rPr>
      </w:pPr>
    </w:p>
    <w:p>
      <w:pPr>
        <w:widowControl/>
        <w:ind w:firstLine="640"/>
        <w:rPr>
          <w:rFonts w:hint="eastAsia" w:ascii="仿宋" w:hAnsi="仿宋" w:cs="仿宋"/>
          <w:kern w:val="0"/>
          <w:szCs w:val="32"/>
          <w:lang w:bidi="ar"/>
        </w:rPr>
      </w:pPr>
    </w:p>
    <w:p>
      <w:pPr>
        <w:widowControl/>
        <w:ind w:firstLine="640"/>
        <w:rPr>
          <w:rFonts w:hint="eastAsia" w:ascii="仿宋" w:hAnsi="仿宋" w:cs="仿宋"/>
          <w:kern w:val="0"/>
          <w:szCs w:val="32"/>
          <w:lang w:bidi="ar"/>
        </w:rPr>
      </w:pPr>
    </w:p>
    <w:p>
      <w:pPr>
        <w:widowControl/>
        <w:ind w:firstLine="640"/>
        <w:rPr>
          <w:rFonts w:hint="eastAsia" w:ascii="仿宋" w:hAnsi="仿宋" w:cs="仿宋"/>
          <w:kern w:val="0"/>
          <w:szCs w:val="32"/>
          <w:lang w:bidi="ar"/>
        </w:rPr>
      </w:pPr>
    </w:p>
    <w:p>
      <w:pPr>
        <w:widowControl/>
        <w:ind w:firstLine="640"/>
        <w:rPr>
          <w:rFonts w:hint="eastAsia" w:ascii="仿宋" w:hAnsi="仿宋" w:cs="仿宋"/>
          <w:kern w:val="0"/>
          <w:szCs w:val="32"/>
          <w:lang w:bidi="ar"/>
        </w:rPr>
      </w:pPr>
    </w:p>
    <w:p>
      <w:pPr>
        <w:widowControl/>
        <w:ind w:firstLine="640"/>
        <w:rPr>
          <w:rFonts w:hint="eastAsia" w:ascii="仿宋" w:hAnsi="仿宋" w:cs="仿宋"/>
          <w:kern w:val="0"/>
          <w:szCs w:val="32"/>
          <w:lang w:bidi="ar"/>
        </w:rPr>
      </w:pPr>
    </w:p>
    <w:p>
      <w:pPr>
        <w:widowControl/>
        <w:ind w:firstLine="640"/>
        <w:rPr>
          <w:rFonts w:hint="eastAsia" w:ascii="仿宋" w:hAnsi="仿宋" w:cs="仿宋"/>
          <w:kern w:val="0"/>
          <w:szCs w:val="32"/>
          <w:lang w:bidi="ar"/>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bookmarkStart w:id="666" w:name="_Toc3276"/>
      <w:bookmarkStart w:id="667" w:name="_Toc20460"/>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遂宁高新区市政公用事务中心2023年度</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部门整体支出绩效评价报告</w:t>
      </w:r>
    </w:p>
    <w:bookmarkEnd w:id="666"/>
    <w:bookmarkEnd w:id="667"/>
    <w:p>
      <w:pPr>
        <w:autoSpaceDE w:val="0"/>
        <w:autoSpaceDN w:val="0"/>
        <w:ind w:left="0" w:leftChars="0" w:firstLine="3520" w:firstLineChars="1100"/>
        <w:jc w:val="both"/>
        <w:rPr>
          <w:rFonts w:hint="eastAsia" w:ascii="黑体" w:hAnsi="黑体" w:eastAsia="黑体" w:cs="黑体"/>
          <w:szCs w:val="32"/>
        </w:rPr>
      </w:pPr>
      <w:r>
        <w:rPr>
          <w:rFonts w:hint="eastAsia" w:ascii="黑体" w:hAnsi="黑体" w:eastAsia="黑体" w:cs="黑体"/>
          <w:szCs w:val="32"/>
        </w:rPr>
        <w:t>部门概述</w:t>
      </w:r>
    </w:p>
    <w:p>
      <w:pPr>
        <w:autoSpaceDE w:val="0"/>
        <w:autoSpaceDN w:val="0"/>
        <w:adjustRightInd w:val="0"/>
        <w:snapToGrid w:val="0"/>
        <w:ind w:firstLine="640"/>
        <w:contextualSpacing/>
        <w:rPr>
          <w:rFonts w:hint="eastAsia" w:ascii="仿宋" w:hAnsi="仿宋" w:cs="仿宋"/>
          <w:szCs w:val="32"/>
        </w:rPr>
      </w:pPr>
      <w:r>
        <w:rPr>
          <w:rFonts w:hint="eastAsia" w:ascii="仿宋" w:hAnsi="仿宋" w:cs="仿宋"/>
          <w:szCs w:val="32"/>
        </w:rPr>
        <w:t>遂宁高新区市政公用事务中心为</w:t>
      </w:r>
      <w:r>
        <w:rPr>
          <w:rFonts w:hint="eastAsia" w:ascii="仿宋" w:hAnsi="仿宋" w:cs="仿宋"/>
          <w:kern w:val="0"/>
          <w:szCs w:val="32"/>
          <w:lang w:bidi="ar"/>
        </w:rPr>
        <w:t>遂宁高新区所属正科级公益一类事业单位</w:t>
      </w:r>
      <w:r>
        <w:rPr>
          <w:rStyle w:val="24"/>
          <w:rFonts w:hint="eastAsia" w:ascii="仿宋" w:hAnsi="仿宋" w:cs="仿宋"/>
          <w:sz w:val="32"/>
          <w:szCs w:val="32"/>
        </w:rPr>
        <w:t>。</w:t>
      </w:r>
      <w:r>
        <w:rPr>
          <w:rFonts w:hint="eastAsia" w:ascii="仿宋" w:hAnsi="仿宋" w:cs="仿宋"/>
          <w:szCs w:val="32"/>
          <w:lang w:val="zh-CN"/>
        </w:rPr>
        <w:t>内设</w:t>
      </w:r>
      <w:r>
        <w:rPr>
          <w:rFonts w:hint="eastAsia" w:ascii="仿宋" w:hAnsi="仿宋" w:cs="仿宋"/>
          <w:snapToGrid w:val="0"/>
          <w:szCs w:val="32"/>
        </w:rPr>
        <w:t>城市环境管理组、市政设施管理组、驾驶员3个职能组室。</w:t>
      </w:r>
    </w:p>
    <w:p>
      <w:pPr>
        <w:autoSpaceDE w:val="0"/>
        <w:autoSpaceDN w:val="0"/>
        <w:ind w:firstLine="640"/>
        <w:jc w:val="both"/>
        <w:rPr>
          <w:rFonts w:hint="eastAsia" w:ascii="黑体" w:hAnsi="黑体" w:eastAsia="黑体" w:cs="黑体"/>
          <w:szCs w:val="32"/>
        </w:rPr>
      </w:pPr>
      <w:r>
        <w:rPr>
          <w:rFonts w:hint="eastAsia" w:ascii="黑体" w:hAnsi="黑体" w:eastAsia="黑体" w:cs="黑体"/>
          <w:szCs w:val="32"/>
        </w:rPr>
        <w:t>评价结论</w:t>
      </w:r>
    </w:p>
    <w:p>
      <w:pPr>
        <w:pStyle w:val="8"/>
        <w:autoSpaceDE w:val="0"/>
        <w:autoSpaceDN w:val="0"/>
        <w:ind w:firstLine="640"/>
        <w:jc w:val="both"/>
        <w:rPr>
          <w:rFonts w:hint="eastAsia" w:ascii="仿宋" w:hAnsi="仿宋" w:cs="仿宋"/>
          <w:spacing w:val="5"/>
          <w:szCs w:val="32"/>
        </w:rPr>
      </w:pPr>
      <w:r>
        <w:rPr>
          <w:rFonts w:hint="eastAsia" w:ascii="仿宋" w:hAnsi="仿宋" w:cs="仿宋"/>
          <w:szCs w:val="32"/>
        </w:rPr>
        <w:t>遂宁高新区市政公用事务中心</w:t>
      </w:r>
      <w:r>
        <w:rPr>
          <w:rFonts w:hint="eastAsia" w:ascii="仿宋" w:hAnsi="仿宋" w:cs="仿宋"/>
          <w:spacing w:val="5"/>
          <w:szCs w:val="32"/>
        </w:rPr>
        <w:t>按规定编报了高新区市政中心绩效目标，目标设立合理，</w:t>
      </w:r>
      <w:r>
        <w:rPr>
          <w:rFonts w:hint="eastAsia" w:ascii="仿宋" w:hAnsi="仿宋" w:cs="仿宋"/>
          <w:szCs w:val="32"/>
        </w:rPr>
        <w:t>符合绩效管理相关规定，与地区发展规划的目标方向一致，相应工作内容与“三定”方案确定的职责相契合。遂宁高新区市政公用事务中心</w:t>
      </w:r>
      <w:r>
        <w:rPr>
          <w:rFonts w:hint="eastAsia" w:ascii="仿宋" w:hAnsi="仿宋" w:cs="仿宋"/>
          <w:spacing w:val="5"/>
          <w:szCs w:val="32"/>
        </w:rPr>
        <w:t>制定了中长期发展规划，完成了2023年度各项工作任务，实现了部门绩效总体目标和各项指标。遂宁高新区市政公用事务中心紧抓预算管理和执行，</w:t>
      </w:r>
      <w:r>
        <w:rPr>
          <w:rStyle w:val="24"/>
          <w:rFonts w:hint="eastAsia" w:ascii="仿宋" w:hAnsi="仿宋" w:cs="仿宋"/>
          <w:sz w:val="32"/>
          <w:szCs w:val="32"/>
        </w:rPr>
        <w:t>预算执行率为100.00%。</w:t>
      </w:r>
      <w:r>
        <w:rPr>
          <w:rFonts w:hint="eastAsia" w:ascii="仿宋" w:hAnsi="仿宋" w:cs="仿宋"/>
          <w:spacing w:val="5"/>
          <w:szCs w:val="32"/>
        </w:rPr>
        <w:t>完成了2023年预算支出，2023年度高新区市政中心“三公经费”未发生支出，“三公经费”控制情况良好。2023年度单位在职人员控制在三定方案确定的范围内，</w:t>
      </w:r>
      <w:r>
        <w:rPr>
          <w:rFonts w:hint="eastAsia" w:ascii="仿宋" w:hAnsi="仿宋" w:cs="仿宋"/>
          <w:szCs w:val="32"/>
        </w:rPr>
        <w:t>遂宁高新区市政公用事务中心</w:t>
      </w:r>
      <w:r>
        <w:rPr>
          <w:rFonts w:hint="eastAsia" w:ascii="仿宋" w:hAnsi="仿宋" w:cs="仿宋"/>
          <w:spacing w:val="5"/>
          <w:szCs w:val="32"/>
        </w:rPr>
        <w:t>制定了部分内部管理制度，但不够健全。相关资产管理工作基本能够得到实施，但是</w:t>
      </w:r>
      <w:r>
        <w:rPr>
          <w:rStyle w:val="24"/>
          <w:rFonts w:hint="eastAsia" w:ascii="仿宋" w:hAnsi="仿宋" w:cs="仿宋"/>
          <w:sz w:val="32"/>
          <w:szCs w:val="32"/>
        </w:rPr>
        <w:t>仍需继续</w:t>
      </w:r>
      <w:r>
        <w:rPr>
          <w:rFonts w:hint="eastAsia" w:ascii="仿宋" w:hAnsi="仿宋" w:cs="仿宋"/>
          <w:spacing w:val="5"/>
          <w:szCs w:val="32"/>
        </w:rPr>
        <w:t>加强。</w:t>
      </w:r>
      <w:r>
        <w:rPr>
          <w:rFonts w:hint="eastAsia" w:ascii="仿宋" w:hAnsi="仿宋" w:cs="仿宋"/>
          <w:kern w:val="0"/>
          <w:szCs w:val="32"/>
          <w:shd w:val="clear" w:color="auto" w:fill="FFFFFF"/>
        </w:rPr>
        <w:t>遂宁高新区市政公用事务中心</w:t>
      </w:r>
      <w:r>
        <w:rPr>
          <w:rFonts w:hint="eastAsia" w:ascii="仿宋" w:hAnsi="仿宋" w:cs="仿宋"/>
          <w:spacing w:val="5"/>
          <w:szCs w:val="32"/>
        </w:rPr>
        <w:t>完成了年度各项工作任务，履行了部门职责，保证了部门工作发展稳中有进。</w:t>
      </w:r>
      <w:r>
        <w:rPr>
          <w:rFonts w:hint="eastAsia" w:ascii="仿宋" w:hAnsi="仿宋" w:cs="仿宋"/>
          <w:szCs w:val="32"/>
        </w:rPr>
        <w:t>遂宁高新区市政公用事务中心</w:t>
      </w:r>
      <w:r>
        <w:rPr>
          <w:rFonts w:hint="eastAsia" w:ascii="仿宋" w:hAnsi="仿宋" w:cs="仿宋"/>
          <w:spacing w:val="5"/>
          <w:szCs w:val="32"/>
        </w:rPr>
        <w:t>工作的完成取得了相应的社会效益和一定的经济效益。群众满意度总体较高。经综合评议，</w:t>
      </w:r>
      <w:r>
        <w:rPr>
          <w:rFonts w:hint="eastAsia" w:ascii="仿宋" w:hAnsi="仿宋" w:cs="仿宋"/>
          <w:szCs w:val="32"/>
        </w:rPr>
        <w:t>遂宁高新区市政公用事务中心2023年</w:t>
      </w:r>
      <w:r>
        <w:rPr>
          <w:rFonts w:hint="eastAsia" w:ascii="仿宋" w:hAnsi="仿宋" w:cs="仿宋"/>
          <w:spacing w:val="5"/>
          <w:szCs w:val="32"/>
        </w:rPr>
        <w:t>部门整体支出绩效评价综合得分8</w:t>
      </w:r>
      <w:r>
        <w:rPr>
          <w:rFonts w:hint="eastAsia" w:ascii="仿宋" w:hAnsi="仿宋" w:cs="仿宋"/>
          <w:spacing w:val="5"/>
          <w:szCs w:val="32"/>
          <w:lang w:val="en-US" w:eastAsia="zh-CN"/>
        </w:rPr>
        <w:t>7</w:t>
      </w:r>
      <w:r>
        <w:rPr>
          <w:rFonts w:hint="eastAsia" w:ascii="仿宋" w:hAnsi="仿宋" w:cs="仿宋"/>
          <w:spacing w:val="5"/>
          <w:szCs w:val="32"/>
        </w:rPr>
        <w:t>.00分，综合绩效评定结论为“良”。</w:t>
      </w:r>
    </w:p>
    <w:p>
      <w:pPr>
        <w:autoSpaceDE w:val="0"/>
        <w:autoSpaceDN w:val="0"/>
        <w:ind w:firstLine="640"/>
        <w:jc w:val="both"/>
        <w:rPr>
          <w:rFonts w:hint="eastAsia" w:ascii="黑体" w:hAnsi="黑体" w:eastAsia="黑体" w:cs="黑体"/>
          <w:szCs w:val="32"/>
        </w:rPr>
      </w:pPr>
      <w:r>
        <w:rPr>
          <w:rFonts w:hint="eastAsia" w:ascii="黑体" w:hAnsi="黑体" w:eastAsia="黑体" w:cs="黑体"/>
          <w:szCs w:val="32"/>
        </w:rPr>
        <w:t>绩效分析</w:t>
      </w:r>
    </w:p>
    <w:p>
      <w:pPr>
        <w:pStyle w:val="8"/>
        <w:autoSpaceDE w:val="0"/>
        <w:autoSpaceDN w:val="0"/>
        <w:ind w:firstLine="640"/>
        <w:jc w:val="both"/>
        <w:rPr>
          <w:rFonts w:hint="eastAsia" w:ascii="仿宋" w:hAnsi="仿宋" w:cs="仿宋"/>
          <w:szCs w:val="32"/>
        </w:rPr>
      </w:pPr>
      <w:r>
        <w:rPr>
          <w:rFonts w:hint="eastAsia" w:ascii="仿宋" w:hAnsi="仿宋" w:cs="仿宋"/>
          <w:szCs w:val="32"/>
        </w:rPr>
        <w:t>遂宁高新区市政公用事务中心</w:t>
      </w:r>
      <w:r>
        <w:rPr>
          <w:rFonts w:hint="eastAsia" w:ascii="仿宋" w:hAnsi="仿宋" w:cs="仿宋"/>
          <w:spacing w:val="5"/>
          <w:szCs w:val="32"/>
        </w:rPr>
        <w:t>2023年度整体支出绩效评价，投入指标</w:t>
      </w:r>
      <w:r>
        <w:rPr>
          <w:rFonts w:hint="eastAsia" w:ascii="仿宋" w:hAnsi="仿宋" w:cs="仿宋"/>
          <w:szCs w:val="32"/>
        </w:rPr>
        <w:t>预算编制程序合规，能够按照管理要求申报，预算配置科学合理，能够较好完成全年预算，预算执行情况良好，</w:t>
      </w:r>
      <w:r>
        <w:rPr>
          <w:rFonts w:hint="eastAsia" w:ascii="仿宋" w:hAnsi="仿宋" w:cs="仿宋"/>
          <w:spacing w:val="5"/>
          <w:szCs w:val="32"/>
        </w:rPr>
        <w:t>只是在个别指标设置和绩效指标科学合理性细节失分。投入指标总分20.00分，得分为1</w:t>
      </w:r>
      <w:r>
        <w:rPr>
          <w:rFonts w:hint="eastAsia" w:ascii="仿宋" w:hAnsi="仿宋" w:cs="仿宋"/>
          <w:spacing w:val="5"/>
          <w:szCs w:val="32"/>
          <w:lang w:val="en-US" w:eastAsia="zh-CN"/>
        </w:rPr>
        <w:t>6</w:t>
      </w:r>
      <w:r>
        <w:rPr>
          <w:rFonts w:hint="eastAsia" w:ascii="仿宋" w:hAnsi="仿宋" w:cs="仿宋"/>
          <w:spacing w:val="5"/>
          <w:szCs w:val="32"/>
        </w:rPr>
        <w:t>.50分，得分率</w:t>
      </w:r>
      <w:r>
        <w:rPr>
          <w:rFonts w:hint="eastAsia" w:ascii="仿宋" w:hAnsi="仿宋" w:cs="仿宋"/>
          <w:spacing w:val="5"/>
          <w:szCs w:val="32"/>
          <w:lang w:val="en-US" w:eastAsia="zh-CN"/>
        </w:rPr>
        <w:t>8</w:t>
      </w:r>
      <w:r>
        <w:rPr>
          <w:rFonts w:hint="eastAsia" w:ascii="仿宋" w:hAnsi="仿宋" w:cs="仿宋"/>
          <w:spacing w:val="5"/>
          <w:szCs w:val="32"/>
        </w:rPr>
        <w:t>2.50%。</w:t>
      </w:r>
    </w:p>
    <w:p>
      <w:pPr>
        <w:autoSpaceDE w:val="0"/>
        <w:autoSpaceDN w:val="0"/>
        <w:ind w:firstLine="660"/>
        <w:rPr>
          <w:rFonts w:hint="eastAsia" w:ascii="仿宋" w:hAnsi="仿宋" w:cs="仿宋"/>
          <w:spacing w:val="5"/>
          <w:szCs w:val="32"/>
        </w:rPr>
      </w:pPr>
      <w:r>
        <w:rPr>
          <w:rFonts w:hint="eastAsia" w:ascii="仿宋" w:hAnsi="仿宋" w:cs="仿宋"/>
          <w:spacing w:val="5"/>
          <w:szCs w:val="32"/>
        </w:rPr>
        <w:t>过程指标预算执行总体可控，</w:t>
      </w:r>
      <w:r>
        <w:rPr>
          <w:rFonts w:hint="eastAsia" w:ascii="仿宋" w:hAnsi="仿宋" w:cs="仿宋"/>
          <w:szCs w:val="32"/>
        </w:rPr>
        <w:t>预算管理工作能够做到管理有效控制到位</w:t>
      </w:r>
      <w:r>
        <w:rPr>
          <w:rFonts w:hint="eastAsia" w:ascii="仿宋" w:hAnsi="仿宋" w:cs="仿宋"/>
          <w:spacing w:val="5"/>
          <w:szCs w:val="32"/>
        </w:rPr>
        <w:t>，经费管理有需要加强的地方，会计信息质量控制较好，能够达到客观真实核算和监督单位实际收支，</w:t>
      </w:r>
      <w:r>
        <w:rPr>
          <w:rFonts w:hint="eastAsia" w:ascii="仿宋" w:hAnsi="仿宋" w:cs="仿宋"/>
          <w:szCs w:val="32"/>
        </w:rPr>
        <w:t>资产管理工作存在不足。</w:t>
      </w:r>
      <w:r>
        <w:rPr>
          <w:rFonts w:hint="eastAsia" w:ascii="仿宋" w:hAnsi="仿宋" w:cs="仿宋"/>
          <w:spacing w:val="5"/>
          <w:szCs w:val="32"/>
        </w:rPr>
        <w:t>过程指标总分30.00分，过程指标得分为2</w:t>
      </w:r>
      <w:r>
        <w:rPr>
          <w:rFonts w:hint="eastAsia" w:ascii="仿宋" w:hAnsi="仿宋" w:cs="仿宋"/>
          <w:spacing w:val="5"/>
          <w:szCs w:val="32"/>
          <w:lang w:val="en-US" w:eastAsia="zh-CN"/>
        </w:rPr>
        <w:t>1</w:t>
      </w:r>
      <w:r>
        <w:rPr>
          <w:rFonts w:hint="eastAsia" w:ascii="仿宋" w:hAnsi="仿宋" w:cs="仿宋"/>
          <w:spacing w:val="5"/>
          <w:szCs w:val="32"/>
        </w:rPr>
        <w:t>.00分，得分率7</w:t>
      </w:r>
      <w:r>
        <w:rPr>
          <w:rFonts w:hint="eastAsia" w:ascii="仿宋" w:hAnsi="仿宋" w:cs="仿宋"/>
          <w:spacing w:val="5"/>
          <w:szCs w:val="32"/>
          <w:lang w:val="en-US" w:eastAsia="zh-CN"/>
        </w:rPr>
        <w:t>0</w:t>
      </w:r>
      <w:r>
        <w:rPr>
          <w:rFonts w:hint="eastAsia" w:ascii="仿宋" w:hAnsi="仿宋" w:cs="仿宋"/>
          <w:spacing w:val="5"/>
          <w:szCs w:val="32"/>
        </w:rPr>
        <w:t>.</w:t>
      </w:r>
      <w:r>
        <w:rPr>
          <w:rFonts w:hint="eastAsia" w:ascii="仿宋" w:hAnsi="仿宋" w:cs="仿宋"/>
          <w:spacing w:val="5"/>
          <w:szCs w:val="32"/>
          <w:lang w:val="en-US" w:eastAsia="zh-CN"/>
        </w:rPr>
        <w:t>00</w:t>
      </w:r>
      <w:r>
        <w:rPr>
          <w:rFonts w:hint="eastAsia" w:ascii="仿宋" w:hAnsi="仿宋" w:cs="仿宋"/>
          <w:spacing w:val="5"/>
          <w:szCs w:val="32"/>
        </w:rPr>
        <w:t>%。</w:t>
      </w:r>
    </w:p>
    <w:p>
      <w:pPr>
        <w:autoSpaceDE w:val="0"/>
        <w:autoSpaceDN w:val="0"/>
        <w:ind w:firstLine="660"/>
        <w:rPr>
          <w:rFonts w:hint="eastAsia" w:ascii="仿宋" w:hAnsi="仿宋" w:cs="仿宋"/>
          <w:spacing w:val="5"/>
          <w:szCs w:val="32"/>
        </w:rPr>
      </w:pPr>
      <w:r>
        <w:rPr>
          <w:rFonts w:hint="eastAsia" w:ascii="仿宋" w:hAnsi="仿宋" w:cs="仿宋"/>
          <w:spacing w:val="5"/>
          <w:szCs w:val="32"/>
        </w:rPr>
        <w:t>产出指标完成情况良好，</w:t>
      </w:r>
      <w:r>
        <w:rPr>
          <w:rFonts w:hint="eastAsia" w:ascii="仿宋" w:hAnsi="仿宋" w:cs="仿宋"/>
          <w:szCs w:val="32"/>
        </w:rPr>
        <w:t>遂宁高新区市政公用事务中心</w:t>
      </w:r>
      <w:r>
        <w:rPr>
          <w:rFonts w:hint="eastAsia" w:ascii="仿宋" w:hAnsi="仿宋" w:cs="仿宋"/>
          <w:spacing w:val="5"/>
          <w:szCs w:val="32"/>
        </w:rPr>
        <w:t>2023年度圆满地完成了当年工作任务，相关成果数量和质量都达到绩效目标值。单位履职管理工作成绩稳中有进，但是还不能做到行业前列。产出指标总分30.00分，得分为29.50分，得分率98.33%。</w:t>
      </w:r>
    </w:p>
    <w:p>
      <w:pPr>
        <w:autoSpaceDE w:val="0"/>
        <w:autoSpaceDN w:val="0"/>
        <w:ind w:firstLine="660"/>
        <w:rPr>
          <w:rFonts w:hint="eastAsia" w:ascii="仿宋" w:hAnsi="仿宋" w:cs="仿宋"/>
          <w:spacing w:val="5"/>
          <w:szCs w:val="32"/>
        </w:rPr>
      </w:pPr>
      <w:r>
        <w:rPr>
          <w:rFonts w:hint="eastAsia" w:ascii="仿宋" w:hAnsi="仿宋" w:cs="仿宋"/>
          <w:spacing w:val="5"/>
          <w:szCs w:val="32"/>
        </w:rPr>
        <w:t>效益指标实现情况较好，2023年度</w:t>
      </w:r>
      <w:r>
        <w:rPr>
          <w:rFonts w:hint="eastAsia" w:ascii="仿宋" w:hAnsi="仿宋" w:cs="仿宋"/>
          <w:szCs w:val="32"/>
        </w:rPr>
        <w:t>遂宁高新区市政公用事务中心</w:t>
      </w:r>
      <w:r>
        <w:rPr>
          <w:rFonts w:hint="eastAsia" w:ascii="仿宋" w:hAnsi="仿宋" w:cs="仿宋"/>
          <w:spacing w:val="5"/>
          <w:szCs w:val="32"/>
        </w:rPr>
        <w:t>的工作开展和政策施行产生了一定的社会效益，生态效益。调查对象总体满意度较高。效益指标总分20.00分，得分20.00分，得分率100.00%。</w:t>
      </w:r>
    </w:p>
    <w:p>
      <w:pPr>
        <w:autoSpaceDE w:val="0"/>
        <w:autoSpaceDN w:val="0"/>
        <w:ind w:firstLine="660"/>
        <w:rPr>
          <w:rFonts w:hint="eastAsia" w:ascii="黑体" w:hAnsi="黑体" w:eastAsia="黑体" w:cs="黑体"/>
          <w:spacing w:val="5"/>
          <w:szCs w:val="32"/>
        </w:rPr>
      </w:pPr>
      <w:r>
        <w:rPr>
          <w:rFonts w:hint="eastAsia" w:ascii="黑体" w:hAnsi="黑体" w:eastAsia="黑体" w:cs="黑体"/>
          <w:spacing w:val="5"/>
          <w:szCs w:val="32"/>
        </w:rPr>
        <w:t>问题及建议</w:t>
      </w:r>
    </w:p>
    <w:p>
      <w:pPr>
        <w:autoSpaceDE w:val="0"/>
        <w:autoSpaceDN w:val="0"/>
        <w:ind w:firstLine="640"/>
        <w:rPr>
          <w:rFonts w:hint="eastAsia" w:ascii="仿宋" w:hAnsi="仿宋" w:cs="仿宋"/>
          <w:szCs w:val="32"/>
        </w:rPr>
      </w:pPr>
      <w:r>
        <w:rPr>
          <w:rFonts w:hint="eastAsia" w:ascii="仿宋" w:hAnsi="仿宋" w:cs="仿宋"/>
          <w:kern w:val="0"/>
          <w:szCs w:val="32"/>
          <w:lang w:bidi="ar"/>
        </w:rPr>
        <w:t>本</w:t>
      </w:r>
      <w:r>
        <w:rPr>
          <w:rFonts w:hint="eastAsia" w:ascii="仿宋" w:hAnsi="仿宋" w:cs="仿宋"/>
          <w:szCs w:val="32"/>
          <w:lang w:bidi="ar"/>
        </w:rPr>
        <w:t>次绩效评价发现了单位</w:t>
      </w:r>
      <w:r>
        <w:rPr>
          <w:rFonts w:hint="eastAsia" w:ascii="仿宋" w:hAnsi="仿宋" w:cs="仿宋"/>
          <w:szCs w:val="32"/>
          <w:lang w:val="zh-CN"/>
        </w:rPr>
        <w:t>预算编制管理制度不合理、</w:t>
      </w:r>
      <w:r>
        <w:rPr>
          <w:rFonts w:hint="eastAsia" w:ascii="仿宋" w:hAnsi="仿宋" w:cs="仿宋"/>
          <w:szCs w:val="32"/>
        </w:rPr>
        <w:t>固定资产管理不规范、资金支付与报销管理执行力度不够、内部管理执行力有待提升。</w:t>
      </w:r>
    </w:p>
    <w:p>
      <w:pPr>
        <w:autoSpaceDE w:val="0"/>
        <w:autoSpaceDN w:val="0"/>
        <w:ind w:firstLine="660"/>
        <w:rPr>
          <w:rFonts w:hint="eastAsia" w:ascii="仿宋" w:hAnsi="仿宋" w:cs="仿宋"/>
          <w:szCs w:val="32"/>
        </w:rPr>
      </w:pPr>
      <w:r>
        <w:rPr>
          <w:rFonts w:hint="eastAsia" w:ascii="仿宋" w:hAnsi="仿宋" w:cs="仿宋"/>
          <w:spacing w:val="5"/>
          <w:szCs w:val="32"/>
        </w:rPr>
        <w:t>建议单位提高预算编制及执行管理水平，加强单位固定资产管理工作，强化内部制度的执行力度。</w:t>
      </w:r>
    </w:p>
    <w:p>
      <w:pPr>
        <w:autoSpaceDE w:val="0"/>
        <w:autoSpaceDN w:val="0"/>
        <w:ind w:firstLine="640"/>
        <w:rPr>
          <w:rFonts w:hint="eastAsia" w:ascii="仿宋" w:hAnsi="仿宋" w:cs="仿宋"/>
          <w:szCs w:val="32"/>
        </w:rPr>
      </w:pPr>
      <w:bookmarkStart w:id="668" w:name="_Toc2131"/>
      <w:bookmarkStart w:id="669" w:name="_Toc28443"/>
      <w:bookmarkStart w:id="670" w:name="_Toc7941"/>
      <w:bookmarkStart w:id="671" w:name="_Toc26180"/>
      <w:bookmarkStart w:id="672" w:name="_Toc20355"/>
      <w:bookmarkStart w:id="673" w:name="_Toc10319"/>
      <w:bookmarkStart w:id="674" w:name="_Toc22727"/>
      <w:bookmarkStart w:id="675" w:name="_Toc23026"/>
      <w:bookmarkStart w:id="676" w:name="_Toc5507"/>
      <w:bookmarkStart w:id="677" w:name="_Toc11119"/>
      <w:bookmarkStart w:id="678" w:name="_Toc28947"/>
      <w:bookmarkStart w:id="679" w:name="_Toc9860"/>
      <w:bookmarkStart w:id="680" w:name="_Toc2906"/>
      <w:bookmarkStart w:id="681" w:name="_Toc22104"/>
      <w:bookmarkStart w:id="682" w:name="_Toc31748"/>
      <w:bookmarkStart w:id="683" w:name="_Toc4985"/>
      <w:bookmarkStart w:id="684" w:name="_Toc8130"/>
      <w:bookmarkStart w:id="685" w:name="_Toc1256"/>
    </w:p>
    <w:p>
      <w:pPr>
        <w:autoSpaceDE w:val="0"/>
        <w:autoSpaceDN w:val="0"/>
        <w:ind w:firstLine="0" w:firstLineChars="0"/>
        <w:jc w:val="center"/>
        <w:rPr>
          <w:rFonts w:hint="eastAsia" w:ascii="宋体" w:hAnsi="宋体" w:eastAsia="宋体" w:cs="宋体"/>
          <w:b/>
          <w:bCs/>
          <w:sz w:val="44"/>
          <w:szCs w:val="44"/>
        </w:rPr>
      </w:pPr>
      <w:r>
        <w:rPr>
          <w:rFonts w:hint="eastAsia" w:ascii="宋体" w:hAnsi="宋体" w:eastAsia="宋体" w:cs="宋体"/>
          <w:b/>
          <w:bCs/>
          <w:sz w:val="44"/>
          <w:szCs w:val="44"/>
        </w:rPr>
        <w:t>遂宁市高新区市政公用事务中心2023</w:t>
      </w:r>
      <w:bookmarkEnd w:id="668"/>
      <w:bookmarkEnd w:id="669"/>
      <w:bookmarkStart w:id="686" w:name="_Toc5404"/>
      <w:bookmarkStart w:id="687" w:name="_Toc5590"/>
      <w:r>
        <w:rPr>
          <w:rFonts w:hint="eastAsia" w:ascii="宋体" w:hAnsi="宋体" w:eastAsia="宋体" w:cs="宋体"/>
          <w:b/>
          <w:bCs/>
          <w:sz w:val="44"/>
          <w:szCs w:val="44"/>
        </w:rPr>
        <w:t>年度部门整体支出绩效评价报告</w:t>
      </w:r>
      <w:bookmarkEnd w:id="670"/>
      <w:bookmarkEnd w:id="671"/>
      <w:bookmarkEnd w:id="672"/>
      <w:bookmarkEnd w:id="673"/>
      <w:bookmarkEnd w:id="674"/>
      <w:bookmarkEnd w:id="675"/>
      <w:bookmarkEnd w:id="676"/>
      <w:bookmarkEnd w:id="677"/>
      <w:bookmarkEnd w:id="678"/>
      <w:bookmarkEnd w:id="679"/>
      <w:bookmarkEnd w:id="686"/>
      <w:bookmarkEnd w:id="687"/>
      <w:bookmarkStart w:id="688" w:name="_Toc130"/>
      <w:bookmarkStart w:id="689" w:name="_Toc16276"/>
      <w:bookmarkStart w:id="690" w:name="_Toc10519"/>
      <w:bookmarkStart w:id="691" w:name="_Toc1758"/>
      <w:bookmarkStart w:id="692" w:name="_Toc14492"/>
      <w:bookmarkStart w:id="693" w:name="_Toc16741"/>
      <w:bookmarkStart w:id="694" w:name="_Toc16998"/>
      <w:bookmarkStart w:id="695" w:name="_Toc7731"/>
      <w:bookmarkStart w:id="696" w:name="_Toc22711"/>
      <w:bookmarkStart w:id="697" w:name="_Toc12648"/>
    </w:p>
    <w:p>
      <w:pPr>
        <w:pStyle w:val="2"/>
        <w:spacing w:before="0" w:after="0"/>
        <w:ind w:firstLine="640"/>
        <w:rPr>
          <w:rFonts w:hint="eastAsia"/>
          <w:b w:val="0"/>
          <w:bCs w:val="0"/>
        </w:rPr>
      </w:pPr>
      <w:bookmarkStart w:id="698" w:name="_Toc30558"/>
      <w:bookmarkStart w:id="699" w:name="_Toc17221"/>
      <w:bookmarkStart w:id="700" w:name="_Toc19519"/>
      <w:bookmarkStart w:id="701" w:name="_Toc7211"/>
      <w:bookmarkStart w:id="702" w:name="_Toc27345"/>
      <w:bookmarkStart w:id="703" w:name="_Toc757"/>
      <w:bookmarkStart w:id="704" w:name="_Toc24708"/>
      <w:bookmarkStart w:id="705" w:name="_Toc15598"/>
      <w:bookmarkStart w:id="706" w:name="_Toc20301"/>
      <w:bookmarkStart w:id="707" w:name="_Toc22439"/>
      <w:bookmarkStart w:id="708" w:name="_Toc19867"/>
      <w:bookmarkStart w:id="709" w:name="_Toc4630"/>
      <w:bookmarkStart w:id="710" w:name="_Toc23391"/>
      <w:bookmarkStart w:id="711" w:name="_Toc22623"/>
      <w:bookmarkStart w:id="712" w:name="_Toc18038"/>
      <w:bookmarkStart w:id="713" w:name="_Toc32207"/>
      <w:bookmarkStart w:id="714" w:name="_Toc11707"/>
      <w:r>
        <w:rPr>
          <w:rFonts w:hint="eastAsia"/>
          <w:b w:val="0"/>
          <w:bCs w:val="0"/>
        </w:rPr>
        <w:t>一、部门基本情况</w:t>
      </w:r>
      <w:bookmarkEnd w:id="680"/>
      <w:bookmarkEnd w:id="681"/>
      <w:bookmarkEnd w:id="682"/>
      <w:bookmarkEnd w:id="683"/>
      <w:bookmarkEnd w:id="684"/>
      <w:bookmarkEnd w:id="685"/>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p>
      <w:pPr>
        <w:pStyle w:val="3"/>
        <w:keepLines w:val="0"/>
        <w:autoSpaceDE w:val="0"/>
        <w:autoSpaceDN w:val="0"/>
        <w:spacing w:before="0" w:beforeLines="0"/>
        <w:ind w:firstLine="643"/>
        <w:rPr>
          <w:rFonts w:hint="eastAsia" w:ascii="仿宋_GB2312" w:hAnsi="仿宋_GB2312" w:cs="仿宋_GB2312"/>
        </w:rPr>
      </w:pPr>
      <w:bookmarkStart w:id="715" w:name="_Toc21423"/>
      <w:bookmarkStart w:id="716" w:name="_Toc24768"/>
      <w:bookmarkStart w:id="717" w:name="_Toc19827"/>
      <w:bookmarkStart w:id="718" w:name="_Toc20045"/>
      <w:bookmarkStart w:id="719" w:name="_Toc24224"/>
      <w:bookmarkStart w:id="720" w:name="_Toc30021"/>
      <w:bookmarkStart w:id="721" w:name="_Toc17303"/>
      <w:bookmarkStart w:id="722" w:name="_Toc4887"/>
      <w:bookmarkStart w:id="723" w:name="_Toc28762"/>
      <w:bookmarkStart w:id="724" w:name="_Toc32704"/>
      <w:bookmarkStart w:id="725" w:name="_Toc29051"/>
      <w:bookmarkStart w:id="726" w:name="_Toc8000"/>
      <w:bookmarkStart w:id="727" w:name="_Toc31149"/>
      <w:bookmarkStart w:id="728" w:name="_Toc21223"/>
      <w:bookmarkStart w:id="729" w:name="_Toc170"/>
      <w:bookmarkStart w:id="730" w:name="_Toc27504"/>
      <w:bookmarkStart w:id="731" w:name="_Toc32046"/>
      <w:bookmarkStart w:id="732" w:name="_Toc10298"/>
      <w:bookmarkStart w:id="733" w:name="_Toc5654"/>
      <w:bookmarkStart w:id="734" w:name="_Toc14024"/>
      <w:bookmarkStart w:id="735" w:name="_Toc2140"/>
      <w:bookmarkStart w:id="736" w:name="_Toc21130"/>
      <w:bookmarkStart w:id="737" w:name="_Toc3406"/>
      <w:bookmarkStart w:id="738" w:name="_Toc26829"/>
      <w:bookmarkStart w:id="739" w:name="_Toc5058"/>
      <w:bookmarkStart w:id="740" w:name="_Toc6446"/>
      <w:bookmarkStart w:id="741" w:name="_Toc23726"/>
      <w:bookmarkStart w:id="742" w:name="_Toc10155"/>
      <w:bookmarkStart w:id="743" w:name="_Toc10063"/>
      <w:bookmarkStart w:id="744" w:name="_Toc13652"/>
      <w:bookmarkStart w:id="745" w:name="_Toc13093"/>
      <w:bookmarkStart w:id="746" w:name="_Toc6116"/>
      <w:bookmarkStart w:id="747" w:name="_Toc5670"/>
      <w:r>
        <w:rPr>
          <w:rFonts w:hint="eastAsia" w:ascii="仿宋_GB2312" w:hAnsi="仿宋_GB2312" w:cs="仿宋_GB2312"/>
        </w:rPr>
        <w:t>（一）部门概况</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748" w:name="_Toc32327"/>
      <w:bookmarkStart w:id="749" w:name="_Toc22144"/>
      <w:bookmarkStart w:id="750" w:name="_Toc32374"/>
      <w:bookmarkStart w:id="751" w:name="_Toc17947"/>
      <w:bookmarkStart w:id="752" w:name="_Toc22017"/>
      <w:bookmarkStart w:id="753" w:name="_Toc3844"/>
      <w:bookmarkStart w:id="754" w:name="_Toc25443"/>
      <w:r>
        <w:rPr>
          <w:rFonts w:hint="eastAsia" w:ascii="楷体" w:hAnsi="楷体" w:eastAsia="楷体" w:cs="楷体"/>
        </w:rPr>
        <w:t>1.单位概况</w:t>
      </w:r>
      <w:bookmarkEnd w:id="748"/>
      <w:bookmarkEnd w:id="749"/>
      <w:bookmarkEnd w:id="750"/>
      <w:bookmarkEnd w:id="751"/>
      <w:bookmarkEnd w:id="752"/>
      <w:bookmarkEnd w:id="753"/>
      <w:bookmarkEnd w:id="754"/>
    </w:p>
    <w:p>
      <w:pPr>
        <w:autoSpaceDE w:val="0"/>
        <w:autoSpaceDN w:val="0"/>
        <w:ind w:firstLine="640"/>
        <w:rPr>
          <w:rFonts w:hint="eastAsia" w:ascii="仿宋" w:hAnsi="仿宋" w:cs="仿宋"/>
          <w:szCs w:val="32"/>
        </w:rPr>
      </w:pPr>
      <w:r>
        <w:rPr>
          <w:rFonts w:hint="eastAsia" w:ascii="仿宋" w:hAnsi="仿宋" w:cs="仿宋"/>
          <w:szCs w:val="32"/>
        </w:rPr>
        <w:t>遂宁高新区市政公用事务中心（以下简称“高新区市政中心”）为遂宁高新区所属正科级公益一类事业单位。主要承担园区城市综合服务、环境卫生、城市道路绿化、光彩工程、市政设施设备等方面的事务性工作，单位办公地址：遂宁市船山区物流港物流园区主干道B西南侧健坤商贸物流总部大厦。</w:t>
      </w:r>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755" w:name="_Toc2191"/>
      <w:bookmarkStart w:id="756" w:name="_Toc28737"/>
      <w:bookmarkStart w:id="757" w:name="_Toc9305"/>
      <w:r>
        <w:rPr>
          <w:rFonts w:hint="eastAsia" w:ascii="楷体" w:hAnsi="楷体" w:eastAsia="楷体" w:cs="楷体"/>
        </w:rPr>
        <w:t>2.单位机构设置</w:t>
      </w:r>
      <w:bookmarkEnd w:id="755"/>
      <w:bookmarkEnd w:id="756"/>
      <w:bookmarkEnd w:id="757"/>
    </w:p>
    <w:p>
      <w:pPr>
        <w:autoSpaceDE w:val="0"/>
        <w:autoSpaceDN w:val="0"/>
        <w:ind w:firstLine="640"/>
        <w:rPr>
          <w:rFonts w:hint="eastAsia" w:ascii="仿宋" w:hAnsi="仿宋" w:cs="仿宋"/>
          <w:szCs w:val="32"/>
        </w:rPr>
      </w:pPr>
      <w:r>
        <w:rPr>
          <w:rFonts w:hint="eastAsia" w:ascii="仿宋" w:hAnsi="仿宋" w:cs="仿宋"/>
          <w:kern w:val="0"/>
          <w:szCs w:val="32"/>
          <w:shd w:val="clear" w:color="auto" w:fill="FFFFFF"/>
        </w:rPr>
        <w:t>高新区市政</w:t>
      </w:r>
      <w:r>
        <w:rPr>
          <w:rFonts w:hint="eastAsia" w:ascii="仿宋" w:hAnsi="仿宋" w:cs="仿宋"/>
          <w:szCs w:val="32"/>
        </w:rPr>
        <w:t>中心内设3</w:t>
      </w:r>
      <w:r>
        <w:rPr>
          <w:rFonts w:hint="eastAsia" w:ascii="仿宋" w:hAnsi="仿宋" w:cs="仿宋"/>
          <w:szCs w:val="32"/>
          <w:lang w:val="zh-CN"/>
        </w:rPr>
        <w:t>个职能</w:t>
      </w:r>
      <w:r>
        <w:rPr>
          <w:rFonts w:hint="eastAsia" w:ascii="仿宋" w:hAnsi="仿宋" w:cs="仿宋"/>
          <w:szCs w:val="32"/>
        </w:rPr>
        <w:t>组</w:t>
      </w:r>
      <w:r>
        <w:rPr>
          <w:rFonts w:hint="eastAsia" w:ascii="仿宋" w:hAnsi="仿宋" w:cs="仿宋"/>
          <w:szCs w:val="32"/>
          <w:lang w:val="zh-CN"/>
        </w:rPr>
        <w:t>室，</w:t>
      </w:r>
      <w:r>
        <w:rPr>
          <w:rFonts w:hint="eastAsia" w:ascii="仿宋" w:hAnsi="仿宋" w:cs="仿宋"/>
          <w:szCs w:val="32"/>
        </w:rPr>
        <w:t>分别为：城市环境管理组、市政设施管理组、驾驶员组。各职能组室职责分工如下：</w:t>
      </w:r>
    </w:p>
    <w:p>
      <w:pPr>
        <w:shd w:val="clear" w:color="auto" w:fill="FFFFFF"/>
        <w:autoSpaceDE w:val="0"/>
        <w:autoSpaceDN w:val="0"/>
        <w:adjustRightInd w:val="0"/>
        <w:snapToGrid w:val="0"/>
        <w:ind w:firstLine="640"/>
        <w:textAlignment w:val="baseline"/>
        <w:rPr>
          <w:rFonts w:hint="eastAsia" w:ascii="仿宋" w:hAnsi="仿宋" w:cs="仿宋"/>
          <w:snapToGrid w:val="0"/>
          <w:kern w:val="0"/>
          <w:szCs w:val="32"/>
        </w:rPr>
      </w:pPr>
      <w:r>
        <w:rPr>
          <w:rFonts w:hint="eastAsia" w:ascii="仿宋" w:hAnsi="仿宋" w:cs="仿宋"/>
          <w:snapToGrid w:val="0"/>
          <w:kern w:val="0"/>
          <w:szCs w:val="32"/>
        </w:rPr>
        <w:t>城市环境管理组：负责落实园林绿化事业发展规划和相关政策、建设标准体系和管理办法；负责对城市古树名木认证、备案工作管理的监督和技术指导；负责城乡环境综合治理、环卫事业发展规划，指导落实相关政策、技术标准和管理办法；指导城乡环境综合治理及环境卫生工作；负责辖区内环境卫生、垃圾分类和收集转运的日常监管及指导工作；负责辖区内园林绿化养护、重点节点景观设计及打造、质量日常监管及指导工作；完成领导交办的其他工作。</w:t>
      </w:r>
    </w:p>
    <w:p>
      <w:pPr>
        <w:shd w:val="clear" w:color="auto" w:fill="FFFFFF"/>
        <w:autoSpaceDE w:val="0"/>
        <w:autoSpaceDN w:val="0"/>
        <w:adjustRightInd w:val="0"/>
        <w:snapToGrid w:val="0"/>
        <w:ind w:firstLine="640"/>
        <w:textAlignment w:val="baseline"/>
        <w:rPr>
          <w:rFonts w:hint="eastAsia" w:ascii="仿宋" w:hAnsi="仿宋" w:cs="仿宋"/>
          <w:snapToGrid w:val="0"/>
          <w:kern w:val="0"/>
          <w:szCs w:val="32"/>
        </w:rPr>
      </w:pPr>
      <w:r>
        <w:rPr>
          <w:rFonts w:hint="eastAsia" w:ascii="仿宋" w:hAnsi="仿宋" w:cs="仿宋"/>
          <w:snapToGrid w:val="0"/>
          <w:kern w:val="0"/>
          <w:szCs w:val="32"/>
        </w:rPr>
        <w:t>市政设施管理组：负责本行业生态环境保护督察、污染治理工作；牵头统筹生态环保工作；负责地下管网、城市照明事业的发展规划和管理政策并指导监督实施；指导地下管网、城市照明等市政公用设施的建设管理；指导监督城市防汛排涝工作；负责落实高新区城市城镇生活污水处理、中水回用和市城区排水等方面的发展规划政策；统筹协调市城区生活污水突发事件处置工作，监督指导各辖区城镇生活污水处理行业主管部门加强对企业规范化运行的管理；负责组织辖区生活污水处理费和超计划累进加价水费征收工作；负责辖区内道路开挖审批工作；负责市政维修、道路开挖等临时施工围挡实际管理工作；完成领导交办的其他工作。</w:t>
      </w:r>
    </w:p>
    <w:p>
      <w:pPr>
        <w:shd w:val="clear" w:color="auto" w:fill="FFFFFF"/>
        <w:autoSpaceDE w:val="0"/>
        <w:autoSpaceDN w:val="0"/>
        <w:adjustRightInd w:val="0"/>
        <w:snapToGrid w:val="0"/>
        <w:ind w:firstLine="640"/>
        <w:textAlignment w:val="baseline"/>
        <w:rPr>
          <w:rFonts w:hint="eastAsia" w:ascii="仿宋" w:hAnsi="仿宋" w:cs="仿宋"/>
          <w:snapToGrid w:val="0"/>
          <w:kern w:val="0"/>
          <w:szCs w:val="32"/>
        </w:rPr>
      </w:pPr>
      <w:bookmarkStart w:id="758" w:name="_Toc30123"/>
      <w:bookmarkStart w:id="759" w:name="_Toc29971"/>
      <w:bookmarkStart w:id="760" w:name="_Toc27468"/>
      <w:r>
        <w:rPr>
          <w:rFonts w:hint="eastAsia" w:ascii="仿宋" w:hAnsi="仿宋" w:cs="仿宋"/>
          <w:snapToGrid w:val="0"/>
          <w:kern w:val="0"/>
          <w:szCs w:val="32"/>
        </w:rPr>
        <w:t>驾驶员组：负责小车、皮卡车、环卫作业车车辆驾驶。</w:t>
      </w:r>
      <w:bookmarkEnd w:id="758"/>
      <w:bookmarkEnd w:id="759"/>
      <w:bookmarkEnd w:id="760"/>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cs="楷体"/>
        </w:rPr>
      </w:pPr>
      <w:bookmarkStart w:id="761" w:name="_Toc8657"/>
      <w:r>
        <w:rPr>
          <w:rFonts w:hint="eastAsia" w:ascii="楷体" w:hAnsi="楷体" w:cs="楷体"/>
        </w:rPr>
        <w:t>3.人员编制</w:t>
      </w:r>
      <w:bookmarkEnd w:id="761"/>
    </w:p>
    <w:p>
      <w:pPr>
        <w:autoSpaceDE w:val="0"/>
        <w:autoSpaceDN w:val="0"/>
        <w:ind w:firstLine="605"/>
        <w:rPr>
          <w:rFonts w:hint="eastAsia" w:ascii="仿宋" w:hAnsi="仿宋" w:cs="仿宋"/>
          <w:szCs w:val="32"/>
        </w:rPr>
      </w:pPr>
      <w:bookmarkStart w:id="762" w:name="_Toc21164"/>
      <w:r>
        <w:rPr>
          <w:rFonts w:hint="eastAsia" w:ascii="仿宋" w:hAnsi="仿宋" w:cs="仿宋"/>
          <w:w w:val="95"/>
          <w:szCs w:val="32"/>
        </w:rPr>
        <w:t>根据《中共遂宁市机构编制委员会关于调整遂宁高新区有关机构编制事项的批复》（遂编委发〔2022〕13号），核定高新区市政中心事业编7名。其中，主任1名（正科级），副主任1名（副科级）</w:t>
      </w:r>
      <w:bookmarkEnd w:id="762"/>
      <w:bookmarkStart w:id="763" w:name="_Toc6704"/>
      <w:bookmarkStart w:id="764" w:name="_Toc18206"/>
      <w:bookmarkStart w:id="765" w:name="_Toc8590"/>
      <w:bookmarkStart w:id="766" w:name="_Toc9713"/>
      <w:bookmarkStart w:id="767" w:name="_Toc18564"/>
      <w:bookmarkStart w:id="768" w:name="_Toc21929"/>
      <w:r>
        <w:rPr>
          <w:rStyle w:val="24"/>
          <w:rFonts w:hint="eastAsia" w:ascii="仿宋" w:hAnsi="仿宋" w:cs="仿宋"/>
          <w:sz w:val="32"/>
          <w:szCs w:val="32"/>
        </w:rPr>
        <w:t>。</w:t>
      </w:r>
    </w:p>
    <w:p>
      <w:pPr>
        <w:pStyle w:val="3"/>
        <w:keepLines w:val="0"/>
        <w:overflowPunct w:val="0"/>
        <w:autoSpaceDE w:val="0"/>
        <w:autoSpaceDN w:val="0"/>
        <w:spacing w:before="0" w:beforeLines="0"/>
        <w:ind w:firstLine="643"/>
        <w:rPr>
          <w:rFonts w:hint="eastAsia" w:ascii="仿宋_GB2312" w:hAnsi="仿宋_GB2312" w:cs="仿宋_GB2312"/>
        </w:rPr>
      </w:pPr>
      <w:bookmarkStart w:id="769" w:name="_Toc23000"/>
      <w:bookmarkStart w:id="770" w:name="_Toc32479"/>
      <w:bookmarkStart w:id="771" w:name="_Toc5745"/>
      <w:bookmarkStart w:id="772" w:name="_Toc20917"/>
      <w:bookmarkStart w:id="773" w:name="_Toc1339"/>
      <w:bookmarkStart w:id="774" w:name="_Toc3787"/>
      <w:bookmarkStart w:id="775" w:name="_Toc6813"/>
      <w:bookmarkStart w:id="776" w:name="_Toc26852"/>
      <w:bookmarkStart w:id="777" w:name="_Toc3103"/>
      <w:bookmarkStart w:id="778" w:name="_Toc14951"/>
      <w:bookmarkStart w:id="779" w:name="_Toc14975"/>
      <w:bookmarkStart w:id="780" w:name="_Toc18794"/>
      <w:bookmarkStart w:id="781" w:name="_Toc7627"/>
      <w:bookmarkStart w:id="782" w:name="_Toc23745"/>
      <w:bookmarkStart w:id="783" w:name="_Toc12166"/>
      <w:bookmarkStart w:id="784" w:name="_Toc24848"/>
      <w:bookmarkStart w:id="785" w:name="_Toc18689"/>
      <w:bookmarkStart w:id="786" w:name="_Toc4695"/>
      <w:bookmarkStart w:id="787" w:name="_Toc30038"/>
      <w:bookmarkStart w:id="788" w:name="_Toc985"/>
      <w:bookmarkStart w:id="789" w:name="_Toc14419"/>
      <w:bookmarkStart w:id="790" w:name="_Toc29015"/>
      <w:bookmarkStart w:id="791" w:name="_Toc30584"/>
      <w:bookmarkStart w:id="792" w:name="_Toc31342"/>
      <w:bookmarkStart w:id="793" w:name="_Toc22140"/>
      <w:bookmarkStart w:id="794" w:name="_Toc15552"/>
      <w:bookmarkStart w:id="795" w:name="_Toc13899"/>
      <w:r>
        <w:rPr>
          <w:rFonts w:hint="eastAsia" w:ascii="仿宋_GB2312" w:hAnsi="仿宋_GB2312" w:cs="仿宋_GB2312"/>
        </w:rPr>
        <w:t>（二）单位管理制度</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pPr>
        <w:overflowPunct w:val="0"/>
        <w:autoSpaceDE w:val="0"/>
        <w:autoSpaceDN w:val="0"/>
        <w:ind w:firstLine="640"/>
        <w:rPr>
          <w:rFonts w:hint="eastAsia" w:ascii="仿宋" w:hAnsi="仿宋" w:cs="仿宋"/>
          <w:kern w:val="0"/>
          <w:szCs w:val="32"/>
        </w:rPr>
      </w:pPr>
      <w:r>
        <w:rPr>
          <w:rFonts w:hint="eastAsia" w:ascii="仿宋" w:hAnsi="仿宋" w:cs="仿宋"/>
          <w:kern w:val="0"/>
          <w:szCs w:val="32"/>
        </w:rPr>
        <w:t>根据国家及区有关规定和文件精神，结合日常工作具体情况，</w:t>
      </w:r>
      <w:r>
        <w:rPr>
          <w:rFonts w:hint="eastAsia" w:ascii="仿宋" w:hAnsi="仿宋" w:cs="仿宋"/>
          <w:kern w:val="0"/>
          <w:szCs w:val="32"/>
          <w:shd w:val="clear" w:color="auto" w:fill="FFFFFF"/>
        </w:rPr>
        <w:t>高新区市政中心</w:t>
      </w:r>
      <w:r>
        <w:rPr>
          <w:rFonts w:hint="eastAsia" w:ascii="仿宋" w:hAnsi="仿宋" w:cs="仿宋"/>
          <w:kern w:val="0"/>
          <w:szCs w:val="32"/>
        </w:rPr>
        <w:t>制定了相关制度文件保证日常业务有序开展，内部管理和业务管理制度建设详细情况如下：</w:t>
      </w:r>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796" w:name="_Toc5838"/>
      <w:bookmarkStart w:id="797" w:name="_Toc19916"/>
      <w:bookmarkStart w:id="798" w:name="_Toc29479"/>
      <w:bookmarkStart w:id="799" w:name="_Toc12983"/>
      <w:r>
        <w:rPr>
          <w:rFonts w:hint="eastAsia" w:ascii="楷体" w:hAnsi="楷体" w:eastAsia="楷体" w:cs="楷体"/>
        </w:rPr>
        <w:t>1.内部管理</w:t>
      </w:r>
      <w:bookmarkEnd w:id="796"/>
      <w:bookmarkEnd w:id="797"/>
      <w:bookmarkEnd w:id="798"/>
      <w:bookmarkEnd w:id="799"/>
    </w:p>
    <w:p>
      <w:pPr>
        <w:overflowPunct w:val="0"/>
        <w:autoSpaceDE w:val="0"/>
        <w:autoSpaceDN w:val="0"/>
        <w:ind w:firstLine="640"/>
        <w:rPr>
          <w:rFonts w:hint="eastAsia" w:ascii="仿宋" w:hAnsi="仿宋" w:cs="仿宋"/>
          <w:szCs w:val="32"/>
        </w:rPr>
      </w:pPr>
      <w:r>
        <w:rPr>
          <w:rFonts w:hint="eastAsia" w:ascii="仿宋" w:hAnsi="仿宋" w:cs="仿宋"/>
          <w:kern w:val="0"/>
          <w:szCs w:val="32"/>
          <w:lang w:bidi="ar"/>
        </w:rPr>
        <w:t>为进一步</w:t>
      </w:r>
      <w:r>
        <w:rPr>
          <w:rFonts w:hint="eastAsia" w:ascii="仿宋" w:hAnsi="仿宋" w:cs="仿宋"/>
          <w:szCs w:val="32"/>
        </w:rPr>
        <w:t>提升</w:t>
      </w:r>
      <w:r>
        <w:rPr>
          <w:rFonts w:hint="eastAsia" w:ascii="仿宋" w:hAnsi="仿宋" w:cs="仿宋"/>
          <w:kern w:val="0"/>
          <w:szCs w:val="32"/>
          <w:shd w:val="clear" w:color="auto" w:fill="FFFFFF"/>
        </w:rPr>
        <w:t>高新区市政中心</w:t>
      </w:r>
      <w:r>
        <w:rPr>
          <w:rFonts w:hint="eastAsia" w:ascii="仿宋" w:hAnsi="仿宋" w:cs="仿宋"/>
          <w:szCs w:val="32"/>
        </w:rPr>
        <w:t>议事决策的科学性和规范性，增强工作的透明度，加强对决策重大事项的风险防控和监督管理，以及</w:t>
      </w:r>
      <w:r>
        <w:rPr>
          <w:rFonts w:hint="eastAsia" w:ascii="仿宋" w:hAnsi="仿宋" w:cs="仿宋"/>
          <w:kern w:val="0"/>
          <w:szCs w:val="32"/>
          <w:lang w:bidi="ar"/>
        </w:rPr>
        <w:t>规范各个业务环节的管理，</w:t>
      </w:r>
      <w:r>
        <w:rPr>
          <w:rFonts w:hint="eastAsia" w:ascii="仿宋" w:hAnsi="仿宋" w:cs="仿宋"/>
          <w:kern w:val="0"/>
          <w:szCs w:val="32"/>
          <w:shd w:val="clear" w:color="auto" w:fill="FFFFFF"/>
        </w:rPr>
        <w:t>高新区市政中心</w:t>
      </w:r>
      <w:r>
        <w:rPr>
          <w:rFonts w:hint="eastAsia" w:ascii="仿宋" w:hAnsi="仿宋" w:cs="仿宋"/>
          <w:szCs w:val="32"/>
        </w:rPr>
        <w:t>制定了</w:t>
      </w:r>
      <w:r>
        <w:rPr>
          <w:rFonts w:hint="eastAsia" w:ascii="仿宋" w:hAnsi="仿宋" w:cs="仿宋"/>
          <w:kern w:val="0"/>
          <w:szCs w:val="32"/>
        </w:rPr>
        <w:t>《</w:t>
      </w:r>
      <w:r>
        <w:rPr>
          <w:rFonts w:hint="eastAsia" w:ascii="仿宋" w:hAnsi="仿宋" w:cs="仿宋"/>
          <w:szCs w:val="32"/>
        </w:rPr>
        <w:t>高新区市政中心</w:t>
      </w:r>
      <w:r>
        <w:rPr>
          <w:rFonts w:hint="eastAsia" w:ascii="仿宋" w:hAnsi="仿宋" w:cs="仿宋"/>
          <w:kern w:val="0"/>
          <w:szCs w:val="32"/>
        </w:rPr>
        <w:t>“三重一大”事项集体决策实施细则》《</w:t>
      </w:r>
      <w:r>
        <w:rPr>
          <w:rFonts w:hint="eastAsia" w:ascii="仿宋" w:hAnsi="仿宋" w:cs="仿宋"/>
          <w:szCs w:val="32"/>
        </w:rPr>
        <w:t>高新区市政中心</w:t>
      </w:r>
      <w:r>
        <w:rPr>
          <w:rFonts w:hint="eastAsia" w:ascii="仿宋" w:hAnsi="仿宋" w:cs="仿宋"/>
          <w:kern w:val="0"/>
          <w:szCs w:val="32"/>
        </w:rPr>
        <w:t>政府采购内控管理制度》《内部控制报告管理制度（试行）》</w:t>
      </w:r>
      <w:r>
        <w:rPr>
          <w:rFonts w:hint="eastAsia" w:ascii="仿宋" w:hAnsi="仿宋" w:cs="仿宋"/>
          <w:szCs w:val="32"/>
        </w:rPr>
        <w:t>《印章使用管理办法》《综合事务管理制度（暂行）》等</w:t>
      </w:r>
      <w:r>
        <w:rPr>
          <w:rFonts w:hint="eastAsia" w:ascii="仿宋" w:hAnsi="仿宋" w:cs="仿宋"/>
          <w:kern w:val="0"/>
          <w:szCs w:val="32"/>
        </w:rPr>
        <w:t>管理制度。</w:t>
      </w:r>
      <w:r>
        <w:rPr>
          <w:rFonts w:hint="eastAsia" w:ascii="仿宋" w:hAnsi="仿宋" w:cs="仿宋"/>
          <w:kern w:val="0"/>
          <w:szCs w:val="32"/>
          <w:lang w:bidi="ar"/>
        </w:rPr>
        <w:t>其他各项管理参照的遂宁高新区党政办公室关于印发《机关财务管理制度（试行）》（遂高办</w:t>
      </w:r>
      <w:r>
        <w:rPr>
          <w:rFonts w:hint="eastAsia" w:ascii="仿宋" w:hAnsi="仿宋" w:cs="仿宋"/>
          <w:szCs w:val="32"/>
        </w:rPr>
        <w:t>〔2021〕</w:t>
      </w:r>
      <w:r>
        <w:rPr>
          <w:rFonts w:hint="eastAsia" w:ascii="仿宋" w:hAnsi="仿宋" w:cs="仿宋"/>
          <w:kern w:val="0"/>
          <w:szCs w:val="32"/>
          <w:lang w:bidi="ar"/>
        </w:rPr>
        <w:t>269号）</w:t>
      </w:r>
      <w:r>
        <w:rPr>
          <w:rFonts w:hint="eastAsia" w:ascii="仿宋" w:hAnsi="仿宋" w:cs="仿宋"/>
          <w:kern w:val="0"/>
          <w:szCs w:val="32"/>
          <w:highlight w:val="none"/>
          <w:lang w:bidi="ar"/>
        </w:rPr>
        <w:t>、</w:t>
      </w:r>
      <w:r>
        <w:rPr>
          <w:rFonts w:hint="eastAsia" w:ascii="仿宋" w:hAnsi="仿宋" w:cs="仿宋"/>
          <w:szCs w:val="32"/>
          <w:highlight w:val="none"/>
        </w:rPr>
        <w:t>遂宁高新区党政办公室《遂宁高新区财政性资金使用管理暂行办法（试行）》（遂高办〔2021〕270号）、</w:t>
      </w:r>
      <w:r>
        <w:rPr>
          <w:rFonts w:hint="eastAsia" w:ascii="仿宋" w:hAnsi="仿宋" w:cs="仿宋"/>
          <w:kern w:val="0"/>
          <w:szCs w:val="32"/>
          <w:highlight w:val="none"/>
          <w:lang w:bidi="ar"/>
        </w:rPr>
        <w:t>《遂宁市党政机关国内公务接待管理实施办法的通知》（遂委办发</w:t>
      </w:r>
      <w:r>
        <w:rPr>
          <w:rFonts w:hint="eastAsia" w:ascii="仿宋" w:hAnsi="仿宋" w:cs="仿宋"/>
          <w:szCs w:val="32"/>
          <w:highlight w:val="none"/>
        </w:rPr>
        <w:t>〔2014〕</w:t>
      </w:r>
      <w:r>
        <w:rPr>
          <w:rFonts w:hint="eastAsia" w:ascii="仿宋" w:hAnsi="仿宋" w:cs="仿宋"/>
          <w:kern w:val="0"/>
          <w:szCs w:val="32"/>
          <w:highlight w:val="none"/>
          <w:lang w:bidi="ar"/>
        </w:rPr>
        <w:t>18号）、《遂宁</w:t>
      </w:r>
      <w:r>
        <w:rPr>
          <w:rFonts w:hint="eastAsia" w:ascii="仿宋" w:hAnsi="仿宋" w:cs="仿宋"/>
          <w:kern w:val="0"/>
          <w:szCs w:val="32"/>
          <w:lang w:bidi="ar"/>
        </w:rPr>
        <w:t>高新区财政性资金使用管理暂行办法（试行）》</w:t>
      </w:r>
      <w:r>
        <w:rPr>
          <w:rFonts w:hint="eastAsia" w:ascii="仿宋" w:hAnsi="仿宋" w:cs="仿宋"/>
          <w:szCs w:val="32"/>
        </w:rPr>
        <w:t>等文件规定。</w:t>
      </w:r>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800" w:name="_Toc9023"/>
      <w:bookmarkStart w:id="801" w:name="_Toc6158"/>
      <w:bookmarkStart w:id="802" w:name="_Toc15599"/>
      <w:bookmarkStart w:id="803" w:name="_Toc22332"/>
      <w:r>
        <w:rPr>
          <w:rFonts w:hint="eastAsia" w:ascii="楷体" w:hAnsi="楷体" w:eastAsia="楷体" w:cs="楷体"/>
        </w:rPr>
        <w:t>2.业务管理</w:t>
      </w:r>
      <w:bookmarkEnd w:id="800"/>
      <w:bookmarkEnd w:id="801"/>
      <w:bookmarkEnd w:id="802"/>
      <w:bookmarkEnd w:id="803"/>
    </w:p>
    <w:p>
      <w:pPr>
        <w:autoSpaceDE w:val="0"/>
        <w:autoSpaceDN w:val="0"/>
        <w:ind w:firstLine="640"/>
        <w:rPr>
          <w:rFonts w:hint="eastAsia" w:ascii="仿宋" w:hAnsi="仿宋" w:cs="仿宋"/>
          <w:kern w:val="0"/>
          <w:szCs w:val="32"/>
        </w:rPr>
      </w:pPr>
      <w:r>
        <w:rPr>
          <w:rFonts w:hint="eastAsia" w:ascii="仿宋" w:hAnsi="仿宋" w:cs="仿宋"/>
          <w:kern w:val="0"/>
          <w:szCs w:val="32"/>
        </w:rPr>
        <w:t>为了确保高新区市政中心各项业务活动的顺利开展和高效管理，并能够满足其设定的目标和服务要求高新区市政中心制定了《</w:t>
      </w:r>
      <w:bookmarkStart w:id="804" w:name="_Toc2068"/>
      <w:bookmarkStart w:id="805" w:name="_Toc10124"/>
      <w:r>
        <w:rPr>
          <w:rFonts w:hint="eastAsia" w:ascii="仿宋" w:hAnsi="仿宋" w:cs="仿宋"/>
          <w:kern w:val="0"/>
          <w:szCs w:val="32"/>
        </w:rPr>
        <w:t>政府采购业务管理制度</w:t>
      </w:r>
      <w:bookmarkEnd w:id="804"/>
      <w:bookmarkEnd w:id="805"/>
      <w:r>
        <w:rPr>
          <w:rFonts w:hint="eastAsia" w:ascii="仿宋" w:hAnsi="仿宋" w:cs="仿宋"/>
          <w:kern w:val="0"/>
          <w:szCs w:val="32"/>
        </w:rPr>
        <w:t>》《人员定期轮岗制度》《建设项目管理制度》《高新区市政中心资产管理制度》《高新区市政中心预算业务制度》《</w:t>
      </w:r>
      <w:bookmarkStart w:id="806" w:name="_Toc26638"/>
      <w:bookmarkStart w:id="807" w:name="_Toc27375"/>
      <w:r>
        <w:rPr>
          <w:rFonts w:hint="eastAsia" w:ascii="仿宋" w:hAnsi="仿宋" w:cs="仿宋"/>
          <w:kern w:val="0"/>
          <w:szCs w:val="32"/>
        </w:rPr>
        <w:t>单位收支业务管理制度</w:t>
      </w:r>
      <w:bookmarkEnd w:id="806"/>
      <w:bookmarkEnd w:id="807"/>
      <w:r>
        <w:rPr>
          <w:rFonts w:hint="eastAsia" w:ascii="仿宋" w:hAnsi="仿宋" w:cs="仿宋"/>
          <w:kern w:val="0"/>
          <w:szCs w:val="32"/>
        </w:rPr>
        <w:t>》等相关的文件。</w:t>
      </w:r>
    </w:p>
    <w:p>
      <w:pPr>
        <w:pStyle w:val="3"/>
        <w:keepLines w:val="0"/>
        <w:overflowPunct w:val="0"/>
        <w:autoSpaceDE w:val="0"/>
        <w:autoSpaceDN w:val="0"/>
        <w:spacing w:before="0" w:beforeLines="0"/>
        <w:ind w:firstLine="643"/>
        <w:rPr>
          <w:rStyle w:val="24"/>
          <w:rFonts w:hint="eastAsia" w:ascii="仿宋_GB2312" w:hAnsi="仿宋_GB2312" w:cs="仿宋_GB2312"/>
          <w:sz w:val="32"/>
          <w:szCs w:val="32"/>
        </w:rPr>
      </w:pPr>
      <w:bookmarkStart w:id="808" w:name="_Toc10544"/>
      <w:bookmarkStart w:id="809" w:name="_Toc26430"/>
      <w:bookmarkStart w:id="810" w:name="_Toc7884"/>
      <w:bookmarkStart w:id="811" w:name="_Toc26686"/>
      <w:bookmarkStart w:id="812" w:name="_Toc30686"/>
      <w:bookmarkStart w:id="813" w:name="_Toc26165"/>
      <w:bookmarkStart w:id="814" w:name="_Toc10017"/>
      <w:bookmarkStart w:id="815" w:name="_Toc19334"/>
      <w:bookmarkStart w:id="816" w:name="_Toc18381"/>
      <w:bookmarkStart w:id="817" w:name="_Toc85"/>
      <w:bookmarkStart w:id="818" w:name="_Toc4504"/>
      <w:bookmarkStart w:id="819" w:name="_Toc17903"/>
      <w:bookmarkStart w:id="820" w:name="_Toc6892"/>
      <w:bookmarkStart w:id="821" w:name="_Toc7821"/>
      <w:bookmarkStart w:id="822" w:name="_Toc10883"/>
      <w:bookmarkStart w:id="823" w:name="_Toc22344"/>
      <w:bookmarkStart w:id="824" w:name="_Toc16912"/>
      <w:bookmarkStart w:id="825" w:name="_Toc177"/>
      <w:bookmarkStart w:id="826" w:name="_Toc12245"/>
      <w:bookmarkStart w:id="827" w:name="_Toc12960"/>
      <w:bookmarkStart w:id="828" w:name="_Toc19201"/>
      <w:bookmarkStart w:id="829" w:name="_Toc5452"/>
      <w:bookmarkStart w:id="830" w:name="_Toc20840"/>
      <w:bookmarkStart w:id="831" w:name="_Toc31456"/>
      <w:bookmarkStart w:id="832" w:name="_Toc16771"/>
      <w:bookmarkStart w:id="833" w:name="_Toc15346"/>
      <w:bookmarkStart w:id="834" w:name="_Toc21346"/>
      <w:bookmarkStart w:id="835" w:name="_Toc20900"/>
      <w:bookmarkStart w:id="836" w:name="_Toc27779"/>
      <w:bookmarkStart w:id="837" w:name="_Toc21441"/>
      <w:bookmarkStart w:id="838" w:name="_Toc26179"/>
      <w:bookmarkStart w:id="839" w:name="_Toc5021"/>
      <w:r>
        <w:rPr>
          <w:rFonts w:hint="eastAsia" w:ascii="仿宋_GB2312" w:hAnsi="仿宋_GB2312" w:cs="仿宋_GB2312"/>
        </w:rPr>
        <w:t>（三）单位预算资金</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840" w:name="_Toc8601"/>
      <w:bookmarkStart w:id="841" w:name="_Toc32149"/>
      <w:bookmarkStart w:id="842" w:name="_Toc18475"/>
      <w:bookmarkStart w:id="843" w:name="_Toc16595"/>
      <w:bookmarkStart w:id="844" w:name="_Toc28989"/>
      <w:r>
        <w:rPr>
          <w:rFonts w:hint="eastAsia" w:ascii="楷体" w:hAnsi="楷体" w:eastAsia="楷体" w:cs="楷体"/>
        </w:rPr>
        <w:t>1.预算安排和执行情况</w:t>
      </w:r>
      <w:bookmarkEnd w:id="840"/>
      <w:bookmarkEnd w:id="841"/>
      <w:bookmarkEnd w:id="842"/>
      <w:bookmarkEnd w:id="843"/>
      <w:bookmarkEnd w:id="844"/>
    </w:p>
    <w:p>
      <w:pPr>
        <w:overflowPunct w:val="0"/>
        <w:autoSpaceDE w:val="0"/>
        <w:autoSpaceDN w:val="0"/>
        <w:ind w:firstLine="640"/>
        <w:rPr>
          <w:rFonts w:hint="eastAsia" w:ascii="仿宋" w:hAnsi="仿宋" w:cs="仿宋"/>
          <w:kern w:val="0"/>
          <w:szCs w:val="32"/>
        </w:rPr>
      </w:pPr>
      <w:r>
        <w:rPr>
          <w:rFonts w:hint="eastAsia" w:ascii="仿宋" w:hAnsi="仿宋" w:cs="仿宋"/>
          <w:kern w:val="0"/>
          <w:szCs w:val="32"/>
        </w:rPr>
        <w:t>2023年高新区市政中心年初预算总额4,964.36万元，其中资金来源于一般公共预算4,964.36万元，其他收入0.00万元。后经预算调整，预算总额为</w:t>
      </w:r>
      <w:r>
        <w:rPr>
          <w:rFonts w:hint="eastAsia" w:ascii="仿宋" w:hAnsi="仿宋" w:cs="仿宋"/>
          <w:szCs w:val="32"/>
        </w:rPr>
        <w:t>2,909.85</w:t>
      </w:r>
      <w:r>
        <w:rPr>
          <w:rFonts w:hint="eastAsia" w:ascii="仿宋" w:hAnsi="仿宋" w:cs="仿宋"/>
          <w:kern w:val="0"/>
          <w:szCs w:val="32"/>
        </w:rPr>
        <w:t>万元，其中基本支出25.18万元（人员经费19.19万元、公用经费5.99万元），项目支出2,884.67万元。</w:t>
      </w:r>
    </w:p>
    <w:p>
      <w:pPr>
        <w:overflowPunct w:val="0"/>
        <w:autoSpaceDE w:val="0"/>
        <w:autoSpaceDN w:val="0"/>
        <w:ind w:firstLine="640"/>
        <w:rPr>
          <w:rFonts w:hint="eastAsia" w:ascii="仿宋" w:hAnsi="仿宋" w:cs="仿宋"/>
          <w:kern w:val="0"/>
          <w:szCs w:val="32"/>
        </w:rPr>
      </w:pPr>
      <w:r>
        <w:rPr>
          <w:rFonts w:hint="eastAsia" w:ascii="仿宋" w:hAnsi="仿宋" w:cs="仿宋"/>
          <w:kern w:val="0"/>
          <w:szCs w:val="32"/>
        </w:rPr>
        <w:t>全年共实际支出2,909.85万元，其中人员经费支出19.19万元，占总支出的0.66%，公用经费支出5.99万元，占总支出的0.21%；项目支出2,884.67万元，占总支出的99.13%。</w:t>
      </w:r>
    </w:p>
    <w:p>
      <w:pPr>
        <w:overflowPunct w:val="0"/>
        <w:autoSpaceDE w:val="0"/>
        <w:autoSpaceDN w:val="0"/>
        <w:spacing w:line="240" w:lineRule="atLeast"/>
        <w:ind w:left="160" w:leftChars="50" w:firstLine="0" w:firstLineChars="0"/>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预算安排与执行情况表</w:t>
      </w:r>
    </w:p>
    <w:p>
      <w:pPr>
        <w:pStyle w:val="7"/>
        <w:overflowPunct w:val="0"/>
        <w:autoSpaceDE w:val="0"/>
        <w:autoSpaceDN w:val="0"/>
        <w:spacing w:line="240" w:lineRule="atLeast"/>
        <w:ind w:left="96" w:leftChars="30" w:firstLine="0" w:firstLineChars="0"/>
        <w:jc w:val="right"/>
        <w:rPr>
          <w:rFonts w:hint="eastAsia" w:ascii="宋体" w:hAnsi="宋体" w:eastAsia="宋体" w:cs="宋体"/>
          <w:snapToGrid w:val="0"/>
          <w:kern w:val="0"/>
          <w:sz w:val="28"/>
          <w:szCs w:val="28"/>
        </w:rPr>
      </w:pPr>
      <w:r>
        <w:rPr>
          <w:rFonts w:hint="eastAsia" w:ascii="宋体" w:hAnsi="宋体" w:eastAsia="宋体" w:cs="宋体"/>
          <w:snapToGrid w:val="0"/>
          <w:kern w:val="0"/>
          <w:sz w:val="28"/>
          <w:szCs w:val="28"/>
        </w:rPr>
        <w:t>单位：万元</w:t>
      </w:r>
    </w:p>
    <w:tbl>
      <w:tblPr>
        <w:tblStyle w:val="18"/>
        <w:tblW w:w="8757" w:type="dxa"/>
        <w:jc w:val="center"/>
        <w:tblLayout w:type="fixed"/>
        <w:tblCellMar>
          <w:top w:w="0" w:type="dxa"/>
          <w:left w:w="108" w:type="dxa"/>
          <w:bottom w:w="0" w:type="dxa"/>
          <w:right w:w="108" w:type="dxa"/>
        </w:tblCellMar>
      </w:tblPr>
      <w:tblGrid>
        <w:gridCol w:w="742"/>
        <w:gridCol w:w="465"/>
        <w:gridCol w:w="1396"/>
        <w:gridCol w:w="1240"/>
        <w:gridCol w:w="1287"/>
        <w:gridCol w:w="1101"/>
        <w:gridCol w:w="1354"/>
        <w:gridCol w:w="1172"/>
      </w:tblGrid>
      <w:tr>
        <w:tblPrEx>
          <w:tblCellMar>
            <w:top w:w="0" w:type="dxa"/>
            <w:left w:w="108" w:type="dxa"/>
            <w:bottom w:w="0" w:type="dxa"/>
            <w:right w:w="108" w:type="dxa"/>
          </w:tblCellMar>
        </w:tblPrEx>
        <w:trPr>
          <w:trHeight w:val="312"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支出类别</w:t>
            </w:r>
          </w:p>
        </w:tc>
        <w:tc>
          <w:tcPr>
            <w:tcW w:w="186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项目名称</w:t>
            </w:r>
          </w:p>
        </w:tc>
        <w:tc>
          <w:tcPr>
            <w:tcW w:w="1240"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rPr>
                <w:rFonts w:hint="eastAsia" w:ascii="宋体" w:hAnsi="宋体" w:eastAsia="宋体" w:cs="宋体"/>
                <w:b/>
                <w:bCs/>
                <w:sz w:val="24"/>
              </w:rPr>
            </w:pPr>
            <w:r>
              <w:rPr>
                <w:rFonts w:hint="eastAsia" w:ascii="宋体" w:hAnsi="宋体" w:eastAsia="宋体" w:cs="宋体"/>
                <w:b/>
                <w:bCs/>
                <w:sz w:val="24"/>
              </w:rPr>
              <w:t>年初预算</w:t>
            </w:r>
          </w:p>
        </w:tc>
        <w:tc>
          <w:tcPr>
            <w:tcW w:w="1287"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调整后预算</w:t>
            </w:r>
          </w:p>
        </w:tc>
        <w:tc>
          <w:tcPr>
            <w:tcW w:w="1101"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预算调整率</w:t>
            </w:r>
          </w:p>
        </w:tc>
        <w:tc>
          <w:tcPr>
            <w:tcW w:w="1354"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rPr>
                <w:rFonts w:hint="eastAsia" w:ascii="宋体" w:hAnsi="宋体" w:eastAsia="宋体" w:cs="宋体"/>
                <w:b/>
                <w:bCs/>
                <w:sz w:val="24"/>
              </w:rPr>
            </w:pPr>
            <w:r>
              <w:rPr>
                <w:rFonts w:hint="eastAsia" w:ascii="宋体" w:hAnsi="宋体" w:eastAsia="宋体" w:cs="宋体"/>
                <w:b/>
                <w:bCs/>
                <w:sz w:val="24"/>
              </w:rPr>
              <w:t>执行金额</w:t>
            </w:r>
          </w:p>
        </w:tc>
        <w:tc>
          <w:tcPr>
            <w:tcW w:w="1172"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rPr>
                <w:rFonts w:hint="eastAsia" w:ascii="宋体" w:hAnsi="宋体" w:eastAsia="宋体" w:cs="宋体"/>
                <w:b/>
                <w:bCs/>
                <w:sz w:val="24"/>
              </w:rPr>
            </w:pPr>
            <w:r>
              <w:rPr>
                <w:rFonts w:hint="eastAsia" w:ascii="宋体" w:hAnsi="宋体" w:eastAsia="宋体" w:cs="宋体"/>
                <w:b/>
                <w:bCs/>
                <w:sz w:val="24"/>
              </w:rPr>
              <w:t>执行率</w:t>
            </w:r>
          </w:p>
        </w:tc>
      </w:tr>
      <w:tr>
        <w:tblPrEx>
          <w:tblCellMar>
            <w:top w:w="0" w:type="dxa"/>
            <w:left w:w="108" w:type="dxa"/>
            <w:bottom w:w="0" w:type="dxa"/>
            <w:right w:w="108" w:type="dxa"/>
          </w:tblCellMar>
        </w:tblPrEx>
        <w:trPr>
          <w:trHeight w:val="598"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86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center"/>
              <w:rPr>
                <w:rFonts w:hint="eastAsia" w:ascii="宋体" w:hAnsi="宋体" w:eastAsia="宋体" w:cs="宋体"/>
                <w:b w:val="0"/>
                <w:bCs w:val="0"/>
                <w:sz w:val="24"/>
                <w:szCs w:val="24"/>
              </w:rPr>
            </w:pPr>
          </w:p>
        </w:tc>
        <w:tc>
          <w:tcPr>
            <w:tcW w:w="1240"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287"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101"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354"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17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r>
      <w:tr>
        <w:tblPrEx>
          <w:tblCellMar>
            <w:top w:w="0" w:type="dxa"/>
            <w:left w:w="108" w:type="dxa"/>
            <w:bottom w:w="0" w:type="dxa"/>
            <w:right w:w="108" w:type="dxa"/>
          </w:tblCellMar>
        </w:tblPrEx>
        <w:trPr>
          <w:trHeight w:val="608"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rPr>
                <w:rFonts w:hint="eastAsia" w:ascii="宋体" w:hAnsi="宋体" w:eastAsia="宋体" w:cs="宋体"/>
                <w:sz w:val="24"/>
              </w:rPr>
            </w:pPr>
            <w:r>
              <w:rPr>
                <w:rFonts w:hint="eastAsia" w:ascii="宋体" w:hAnsi="宋体" w:eastAsia="宋体" w:cs="宋体"/>
                <w:sz w:val="24"/>
              </w:rPr>
              <w:t>基本支出</w:t>
            </w: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人员经费</w:t>
            </w:r>
          </w:p>
        </w:tc>
        <w:tc>
          <w:tcPr>
            <w:tcW w:w="1240"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58.39</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19.19</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-67.13%</w:t>
            </w:r>
          </w:p>
        </w:tc>
        <w:tc>
          <w:tcPr>
            <w:tcW w:w="1354"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19.19</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CellMar>
            <w:top w:w="0" w:type="dxa"/>
            <w:left w:w="108" w:type="dxa"/>
            <w:bottom w:w="0" w:type="dxa"/>
            <w:right w:w="108" w:type="dxa"/>
          </w:tblCellMar>
        </w:tblPrEx>
        <w:trPr>
          <w:trHeight w:val="608"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公用经费</w:t>
            </w:r>
          </w:p>
        </w:tc>
        <w:tc>
          <w:tcPr>
            <w:tcW w:w="1240"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26.03</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5.99</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-76.99%</w:t>
            </w:r>
          </w:p>
        </w:tc>
        <w:tc>
          <w:tcPr>
            <w:tcW w:w="1354"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5.99</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CellMar>
            <w:top w:w="0" w:type="dxa"/>
            <w:left w:w="108" w:type="dxa"/>
            <w:bottom w:w="0" w:type="dxa"/>
            <w:right w:w="108" w:type="dxa"/>
          </w:tblCellMar>
        </w:tblPrEx>
        <w:trPr>
          <w:trHeight w:val="608"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861" w:type="dxa"/>
            <w:gridSpan w:val="2"/>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小计</w:t>
            </w:r>
          </w:p>
        </w:tc>
        <w:tc>
          <w:tcPr>
            <w:tcW w:w="1240"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84.42</w:t>
            </w:r>
          </w:p>
        </w:tc>
        <w:tc>
          <w:tcPr>
            <w:tcW w:w="1287"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25.18</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-70.17%</w:t>
            </w:r>
          </w:p>
        </w:tc>
        <w:tc>
          <w:tcPr>
            <w:tcW w:w="1354"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25.18</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CellMar>
            <w:top w:w="0" w:type="dxa"/>
            <w:left w:w="108" w:type="dxa"/>
            <w:bottom w:w="0" w:type="dxa"/>
            <w:right w:w="108" w:type="dxa"/>
          </w:tblCellMar>
        </w:tblPrEx>
        <w:trPr>
          <w:trHeight w:val="608" w:hRule="atLeast"/>
          <w:jc w:val="center"/>
        </w:trPr>
        <w:tc>
          <w:tcPr>
            <w:tcW w:w="742" w:type="dxa"/>
            <w:vMerge w:val="restart"/>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rPr>
                <w:rFonts w:hint="eastAsia" w:ascii="宋体" w:hAnsi="宋体" w:eastAsia="宋体" w:cs="宋体"/>
                <w:sz w:val="24"/>
              </w:rPr>
            </w:pPr>
            <w:r>
              <w:rPr>
                <w:rFonts w:hint="eastAsia" w:ascii="宋体" w:hAnsi="宋体" w:eastAsia="宋体" w:cs="宋体"/>
                <w:sz w:val="24"/>
              </w:rPr>
              <w:t>项目支出</w:t>
            </w:r>
          </w:p>
        </w:tc>
        <w:tc>
          <w:tcPr>
            <w:tcW w:w="465" w:type="dxa"/>
            <w:tcBorders>
              <w:top w:val="single" w:color="000000" w:sz="4" w:space="0"/>
              <w:left w:val="single" w:color="000000" w:sz="4" w:space="0"/>
              <w:bottom w:val="single" w:color="000000" w:sz="4" w:space="0"/>
              <w:right w:val="single" w:color="000000" w:sz="4" w:space="0"/>
            </w:tcBorders>
            <w:noWrap w:val="0"/>
            <w:vAlign w:val="center"/>
          </w:tcPr>
          <w:p>
            <w:pPr>
              <w:tabs>
                <w:tab w:val="center" w:pos="163"/>
              </w:tabs>
              <w:overflowPunct w:val="0"/>
              <w:autoSpaceDE w:val="0"/>
              <w:autoSpaceDN w:val="0"/>
              <w:spacing w:line="240" w:lineRule="auto"/>
              <w:ind w:firstLine="0" w:firstLineChars="0"/>
              <w:rPr>
                <w:rFonts w:hint="eastAsia" w:ascii="宋体" w:hAnsi="宋体" w:eastAsia="宋体" w:cs="宋体"/>
                <w:sz w:val="24"/>
              </w:rPr>
            </w:pPr>
            <w:r>
              <w:rPr>
                <w:rFonts w:hint="eastAsia" w:ascii="宋体" w:hAnsi="宋体" w:eastAsia="宋体" w:cs="宋体"/>
                <w:sz w:val="24"/>
              </w:rPr>
              <w:t>1</w:t>
            </w:r>
          </w:p>
        </w:tc>
        <w:tc>
          <w:tcPr>
            <w:tcW w:w="1396"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节能环保支出</w:t>
            </w:r>
          </w:p>
        </w:tc>
        <w:tc>
          <w:tcPr>
            <w:tcW w:w="1240"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1,007.66</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635.42</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-36.94%</w:t>
            </w:r>
          </w:p>
        </w:tc>
        <w:tc>
          <w:tcPr>
            <w:tcW w:w="1354"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635.42</w:t>
            </w:r>
          </w:p>
        </w:tc>
        <w:tc>
          <w:tcPr>
            <w:tcW w:w="1172"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CellMar>
            <w:top w:w="0" w:type="dxa"/>
            <w:left w:w="108" w:type="dxa"/>
            <w:bottom w:w="0" w:type="dxa"/>
            <w:right w:w="108" w:type="dxa"/>
          </w:tblCellMar>
        </w:tblPrEx>
        <w:trPr>
          <w:trHeight w:val="608"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465" w:type="dxa"/>
            <w:tcBorders>
              <w:top w:val="single" w:color="000000" w:sz="4" w:space="0"/>
              <w:left w:val="single" w:color="000000" w:sz="4" w:space="0"/>
              <w:bottom w:val="single" w:color="000000" w:sz="4" w:space="0"/>
              <w:right w:val="single" w:color="000000" w:sz="4" w:space="0"/>
            </w:tcBorders>
            <w:noWrap w:val="0"/>
            <w:vAlign w:val="center"/>
          </w:tcPr>
          <w:p>
            <w:pPr>
              <w:tabs>
                <w:tab w:val="center" w:pos="163"/>
              </w:tabs>
              <w:overflowPunct w:val="0"/>
              <w:autoSpaceDE w:val="0"/>
              <w:autoSpaceDN w:val="0"/>
              <w:spacing w:line="240" w:lineRule="auto"/>
              <w:ind w:firstLine="0" w:firstLineChars="0"/>
              <w:rPr>
                <w:rFonts w:hint="eastAsia" w:ascii="宋体" w:hAnsi="宋体" w:eastAsia="宋体" w:cs="宋体"/>
                <w:sz w:val="24"/>
              </w:rPr>
            </w:pPr>
            <w:r>
              <w:rPr>
                <w:rFonts w:hint="eastAsia" w:ascii="宋体" w:hAnsi="宋体" w:eastAsia="宋体" w:cs="宋体"/>
                <w:sz w:val="24"/>
              </w:rPr>
              <w:t>2</w:t>
            </w:r>
          </w:p>
        </w:tc>
        <w:tc>
          <w:tcPr>
            <w:tcW w:w="1396" w:type="dxa"/>
            <w:tcBorders>
              <w:top w:val="single" w:color="000000" w:sz="4" w:space="0"/>
              <w:left w:val="single" w:color="000000" w:sz="4" w:space="0"/>
              <w:bottom w:val="single" w:color="000000" w:sz="4" w:space="0"/>
              <w:right w:val="single" w:color="000000" w:sz="4" w:space="0"/>
            </w:tcBorders>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城乡社区支出</w:t>
            </w:r>
          </w:p>
        </w:tc>
        <w:tc>
          <w:tcPr>
            <w:tcW w:w="1240"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3,872.28</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2,249.25</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-41.91%</w:t>
            </w:r>
          </w:p>
        </w:tc>
        <w:tc>
          <w:tcPr>
            <w:tcW w:w="1354"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2,249.25</w:t>
            </w:r>
          </w:p>
        </w:tc>
        <w:tc>
          <w:tcPr>
            <w:tcW w:w="1172"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CellMar>
            <w:top w:w="0" w:type="dxa"/>
            <w:left w:w="108" w:type="dxa"/>
            <w:bottom w:w="0" w:type="dxa"/>
            <w:right w:w="108" w:type="dxa"/>
          </w:tblCellMar>
        </w:tblPrEx>
        <w:trPr>
          <w:trHeight w:val="608" w:hRule="atLeast"/>
          <w:jc w:val="center"/>
        </w:trPr>
        <w:tc>
          <w:tcPr>
            <w:tcW w:w="742" w:type="dxa"/>
            <w:vMerge w:val="continue"/>
            <w:tcBorders>
              <w:top w:val="single" w:color="000000" w:sz="4" w:space="0"/>
              <w:left w:val="single" w:color="000000" w:sz="4" w:space="0"/>
              <w:bottom w:val="single" w:color="000000" w:sz="4" w:space="0"/>
              <w:right w:val="single" w:color="000000" w:sz="4" w:space="0"/>
            </w:tcBorders>
            <w:noWrap w:val="0"/>
            <w:vAlign w:val="center"/>
          </w:tcPr>
          <w:p>
            <w:pPr>
              <w:pStyle w:val="4"/>
              <w:keepLines w:val="0"/>
              <w:overflowPunct w:val="0"/>
              <w:autoSpaceDE w:val="0"/>
              <w:autoSpaceDN w:val="0"/>
              <w:spacing w:line="240" w:lineRule="auto"/>
              <w:ind w:firstLine="480"/>
              <w:jc w:val="both"/>
              <w:rPr>
                <w:rFonts w:hint="eastAsia" w:ascii="宋体" w:hAnsi="宋体" w:eastAsia="宋体" w:cs="宋体"/>
                <w:b w:val="0"/>
                <w:bCs w:val="0"/>
                <w:sz w:val="24"/>
                <w:szCs w:val="24"/>
              </w:rPr>
            </w:pPr>
          </w:p>
        </w:tc>
        <w:tc>
          <w:tcPr>
            <w:tcW w:w="1861" w:type="dxa"/>
            <w:gridSpan w:val="2"/>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480"/>
              <w:rPr>
                <w:rFonts w:hint="eastAsia" w:ascii="宋体" w:hAnsi="宋体" w:eastAsia="宋体" w:cs="宋体"/>
                <w:sz w:val="24"/>
              </w:rPr>
            </w:pPr>
            <w:r>
              <w:rPr>
                <w:rFonts w:hint="eastAsia" w:ascii="宋体" w:hAnsi="宋体" w:eastAsia="宋体" w:cs="宋体"/>
                <w:sz w:val="24"/>
              </w:rPr>
              <w:t>小计</w:t>
            </w:r>
          </w:p>
        </w:tc>
        <w:tc>
          <w:tcPr>
            <w:tcW w:w="1240"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4,879.94</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2,884.67</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-40.89%</w:t>
            </w:r>
          </w:p>
        </w:tc>
        <w:tc>
          <w:tcPr>
            <w:tcW w:w="1354"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sz w:val="24"/>
              </w:rPr>
            </w:pPr>
            <w:r>
              <w:rPr>
                <w:rFonts w:hint="eastAsia" w:ascii="宋体" w:hAnsi="宋体" w:eastAsia="宋体" w:cs="宋体"/>
                <w:sz w:val="24"/>
              </w:rPr>
              <w:t>2,884.67</w:t>
            </w:r>
          </w:p>
        </w:tc>
        <w:tc>
          <w:tcPr>
            <w:tcW w:w="1172"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CellMar>
            <w:top w:w="0" w:type="dxa"/>
            <w:left w:w="108" w:type="dxa"/>
            <w:bottom w:w="0" w:type="dxa"/>
            <w:right w:w="108" w:type="dxa"/>
          </w:tblCellMar>
        </w:tblPrEx>
        <w:trPr>
          <w:trHeight w:val="617" w:hRule="atLeast"/>
          <w:jc w:val="center"/>
        </w:trPr>
        <w:tc>
          <w:tcPr>
            <w:tcW w:w="2603" w:type="dxa"/>
            <w:gridSpan w:val="3"/>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482"/>
              <w:rPr>
                <w:rFonts w:hint="eastAsia" w:ascii="宋体" w:hAnsi="宋体" w:eastAsia="宋体" w:cs="宋体"/>
                <w:b/>
                <w:bCs/>
                <w:sz w:val="24"/>
              </w:rPr>
            </w:pPr>
            <w:r>
              <w:rPr>
                <w:rFonts w:hint="eastAsia" w:ascii="宋体" w:hAnsi="宋体" w:eastAsia="宋体" w:cs="宋体"/>
                <w:b/>
                <w:bCs/>
                <w:sz w:val="24"/>
              </w:rPr>
              <w:t>合计</w:t>
            </w:r>
          </w:p>
        </w:tc>
        <w:tc>
          <w:tcPr>
            <w:tcW w:w="1240"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b/>
                <w:bCs/>
                <w:sz w:val="24"/>
              </w:rPr>
            </w:pPr>
            <w:r>
              <w:rPr>
                <w:rFonts w:hint="eastAsia" w:ascii="宋体" w:hAnsi="宋体" w:eastAsia="宋体" w:cs="宋体"/>
                <w:b/>
                <w:bCs/>
                <w:sz w:val="24"/>
              </w:rPr>
              <w:t>4,964.36</w:t>
            </w:r>
          </w:p>
        </w:tc>
        <w:tc>
          <w:tcPr>
            <w:tcW w:w="1287"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b/>
                <w:bCs/>
                <w:sz w:val="24"/>
              </w:rPr>
            </w:pPr>
            <w:r>
              <w:rPr>
                <w:rFonts w:hint="eastAsia" w:ascii="宋体" w:hAnsi="宋体" w:eastAsia="宋体" w:cs="宋体"/>
                <w:b/>
                <w:bCs/>
                <w:sz w:val="24"/>
              </w:rPr>
              <w:t>2,909.85</w:t>
            </w:r>
          </w:p>
        </w:tc>
        <w:tc>
          <w:tcPr>
            <w:tcW w:w="1101"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-41.39%</w:t>
            </w:r>
          </w:p>
        </w:tc>
        <w:tc>
          <w:tcPr>
            <w:tcW w:w="1354"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right"/>
              <w:rPr>
                <w:rFonts w:hint="eastAsia" w:ascii="宋体" w:hAnsi="宋体" w:eastAsia="宋体" w:cs="宋体"/>
                <w:b/>
                <w:bCs/>
                <w:sz w:val="24"/>
              </w:rPr>
            </w:pPr>
            <w:r>
              <w:rPr>
                <w:rFonts w:hint="eastAsia" w:ascii="宋体" w:hAnsi="宋体" w:eastAsia="宋体" w:cs="宋体"/>
                <w:b/>
                <w:bCs/>
                <w:sz w:val="24"/>
              </w:rPr>
              <w:t>2,909.85</w:t>
            </w:r>
          </w:p>
        </w:tc>
        <w:tc>
          <w:tcPr>
            <w:tcW w:w="1172" w:type="dxa"/>
            <w:tcBorders>
              <w:top w:val="single" w:color="000000" w:sz="4" w:space="0"/>
              <w:left w:val="single" w:color="000000" w:sz="4" w:space="0"/>
              <w:bottom w:val="single" w:color="000000" w:sz="4" w:space="0"/>
              <w:right w:val="single" w:color="000000" w:sz="4" w:space="0"/>
            </w:tcBorders>
            <w:noWrap/>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100.00%</w:t>
            </w:r>
          </w:p>
        </w:tc>
      </w:tr>
    </w:tbl>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845" w:name="_Toc31716"/>
      <w:bookmarkStart w:id="846" w:name="_Toc23940"/>
      <w:bookmarkStart w:id="847" w:name="_Toc11777"/>
      <w:bookmarkStart w:id="848" w:name="_Toc28921"/>
      <w:bookmarkStart w:id="849" w:name="_Toc31963"/>
      <w:r>
        <w:rPr>
          <w:rFonts w:hint="eastAsia" w:ascii="楷体" w:hAnsi="楷体" w:eastAsia="楷体" w:cs="楷体"/>
        </w:rPr>
        <w:t>2.预算调整情况</w:t>
      </w:r>
      <w:bookmarkEnd w:id="845"/>
      <w:bookmarkEnd w:id="846"/>
      <w:bookmarkEnd w:id="847"/>
      <w:bookmarkEnd w:id="848"/>
      <w:bookmarkEnd w:id="849"/>
    </w:p>
    <w:p>
      <w:pPr>
        <w:overflowPunct w:val="0"/>
        <w:autoSpaceDE w:val="0"/>
        <w:autoSpaceDN w:val="0"/>
        <w:ind w:firstLine="640"/>
        <w:rPr>
          <w:rFonts w:hint="eastAsia" w:ascii="仿宋" w:hAnsi="仿宋" w:cs="仿宋"/>
          <w:kern w:val="0"/>
          <w:szCs w:val="32"/>
        </w:rPr>
      </w:pPr>
      <w:r>
        <w:rPr>
          <w:rFonts w:hint="eastAsia" w:ascii="仿宋" w:hAnsi="仿宋" w:cs="仿宋"/>
          <w:kern w:val="0"/>
          <w:szCs w:val="32"/>
        </w:rPr>
        <w:t>2023年，高新区市政中心的年初预算总额为4,964.36万元。经过预算调整后，预算总额为2,909.85万元，预算调减2,054.51万元，预算调整率41.39%。其中基本支出调整减少额为59.24万元，预算调整率为70.17%</w:t>
      </w:r>
      <w:r>
        <w:rPr>
          <w:rFonts w:hint="eastAsia" w:ascii="仿宋" w:hAnsi="仿宋" w:cs="仿宋"/>
          <w:kern w:val="0"/>
          <w:szCs w:val="32"/>
          <w:lang w:eastAsia="zh-CN"/>
        </w:rPr>
        <w:t>；</w:t>
      </w:r>
      <w:r>
        <w:rPr>
          <w:rFonts w:hint="eastAsia" w:ascii="仿宋" w:hAnsi="仿宋" w:cs="仿宋"/>
          <w:kern w:val="0"/>
          <w:szCs w:val="32"/>
        </w:rPr>
        <w:t>而项目支出则调整减少1,995.27万元，预算调整率为40.89%。</w:t>
      </w:r>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850" w:name="_Toc19147"/>
      <w:bookmarkStart w:id="851" w:name="_Toc13029"/>
      <w:bookmarkStart w:id="852" w:name="_Toc23867"/>
      <w:bookmarkStart w:id="853" w:name="_Toc9850"/>
      <w:r>
        <w:rPr>
          <w:rFonts w:hint="eastAsia" w:ascii="楷体" w:hAnsi="楷体" w:eastAsia="楷体" w:cs="楷体"/>
        </w:rPr>
        <w:t>3.预算结余情况</w:t>
      </w:r>
      <w:bookmarkEnd w:id="850"/>
      <w:bookmarkEnd w:id="851"/>
      <w:bookmarkEnd w:id="852"/>
      <w:bookmarkEnd w:id="853"/>
    </w:p>
    <w:p>
      <w:pPr>
        <w:pStyle w:val="8"/>
        <w:overflowPunct w:val="0"/>
        <w:autoSpaceDE w:val="0"/>
        <w:autoSpaceDN w:val="0"/>
        <w:ind w:firstLine="640"/>
        <w:jc w:val="both"/>
        <w:rPr>
          <w:rFonts w:hint="eastAsia" w:ascii="仿宋" w:hAnsi="仿宋" w:cs="仿宋"/>
          <w:szCs w:val="32"/>
        </w:rPr>
      </w:pPr>
      <w:r>
        <w:rPr>
          <w:rFonts w:hint="eastAsia" w:ascii="仿宋" w:hAnsi="仿宋" w:cs="仿宋"/>
          <w:szCs w:val="32"/>
          <w:lang w:val="zh-CN"/>
        </w:rPr>
        <w:t>20</w:t>
      </w:r>
      <w:r>
        <w:rPr>
          <w:rFonts w:hint="eastAsia" w:ascii="仿宋" w:hAnsi="仿宋" w:cs="仿宋"/>
          <w:szCs w:val="32"/>
        </w:rPr>
        <w:t>23</w:t>
      </w:r>
      <w:r>
        <w:rPr>
          <w:rFonts w:hint="eastAsia" w:ascii="仿宋" w:hAnsi="仿宋" w:cs="仿宋"/>
          <w:szCs w:val="32"/>
          <w:lang w:val="zh-CN"/>
        </w:rPr>
        <w:t>年</w:t>
      </w:r>
      <w:r>
        <w:rPr>
          <w:rFonts w:hint="eastAsia" w:ascii="仿宋" w:hAnsi="仿宋" w:cs="仿宋"/>
          <w:szCs w:val="32"/>
        </w:rPr>
        <w:t>年初</w:t>
      </w:r>
      <w:r>
        <w:rPr>
          <w:rFonts w:hint="eastAsia" w:ascii="仿宋" w:hAnsi="仿宋" w:cs="仿宋"/>
          <w:szCs w:val="32"/>
          <w:lang w:val="zh-CN"/>
        </w:rPr>
        <w:t>收</w:t>
      </w:r>
      <w:r>
        <w:rPr>
          <w:rFonts w:hint="eastAsia" w:ascii="仿宋" w:hAnsi="仿宋" w:cs="仿宋"/>
          <w:kern w:val="0"/>
          <w:szCs w:val="32"/>
          <w:lang w:val="zh-CN"/>
        </w:rPr>
        <w:t>入预算</w:t>
      </w:r>
      <w:r>
        <w:rPr>
          <w:rFonts w:hint="eastAsia" w:ascii="仿宋" w:hAnsi="仿宋" w:cs="仿宋"/>
          <w:kern w:val="0"/>
          <w:szCs w:val="32"/>
        </w:rPr>
        <w:t>4,964.36万</w:t>
      </w:r>
      <w:r>
        <w:rPr>
          <w:rFonts w:hint="eastAsia" w:ascii="仿宋" w:hAnsi="仿宋" w:cs="仿宋"/>
          <w:kern w:val="0"/>
          <w:szCs w:val="32"/>
          <w:lang w:val="zh-CN"/>
        </w:rPr>
        <w:t>元，</w:t>
      </w:r>
      <w:r>
        <w:rPr>
          <w:rFonts w:hint="eastAsia" w:ascii="仿宋" w:hAnsi="仿宋" w:cs="仿宋"/>
          <w:szCs w:val="32"/>
        </w:rPr>
        <w:t>调整后预算为</w:t>
      </w:r>
      <w:r>
        <w:rPr>
          <w:rFonts w:hint="eastAsia" w:ascii="仿宋" w:hAnsi="仿宋" w:cs="仿宋"/>
          <w:kern w:val="0"/>
          <w:szCs w:val="32"/>
        </w:rPr>
        <w:t>2,909.85万</w:t>
      </w:r>
      <w:r>
        <w:rPr>
          <w:rFonts w:hint="eastAsia" w:ascii="仿宋" w:hAnsi="仿宋" w:cs="仿宋"/>
          <w:szCs w:val="32"/>
          <w:lang w:val="zh-CN"/>
        </w:rPr>
        <w:t>元。</w:t>
      </w:r>
      <w:r>
        <w:rPr>
          <w:rFonts w:hint="eastAsia" w:ascii="仿宋" w:hAnsi="仿宋" w:cs="仿宋"/>
          <w:szCs w:val="32"/>
        </w:rPr>
        <w:t>本年度</w:t>
      </w:r>
      <w:r>
        <w:rPr>
          <w:rFonts w:hint="eastAsia" w:ascii="仿宋" w:hAnsi="仿宋" w:cs="仿宋"/>
          <w:kern w:val="0"/>
          <w:szCs w:val="32"/>
          <w:shd w:val="clear" w:color="auto" w:fill="FFFFFF"/>
        </w:rPr>
        <w:t>实际支出</w:t>
      </w:r>
      <w:r>
        <w:rPr>
          <w:rFonts w:hint="eastAsia" w:ascii="仿宋" w:hAnsi="仿宋" w:cs="仿宋"/>
          <w:kern w:val="0"/>
          <w:szCs w:val="32"/>
        </w:rPr>
        <w:t>2,909.85万</w:t>
      </w:r>
      <w:r>
        <w:rPr>
          <w:rFonts w:hint="eastAsia" w:ascii="仿宋" w:hAnsi="仿宋" w:cs="仿宋"/>
          <w:kern w:val="0"/>
          <w:szCs w:val="32"/>
          <w:shd w:val="clear" w:color="auto" w:fill="FFFFFF"/>
        </w:rPr>
        <w:t>元，预算</w:t>
      </w:r>
      <w:r>
        <w:rPr>
          <w:rFonts w:hint="eastAsia" w:ascii="仿宋" w:hAnsi="仿宋" w:cs="仿宋"/>
          <w:szCs w:val="32"/>
        </w:rPr>
        <w:t>结余为0.00万元。</w:t>
      </w:r>
    </w:p>
    <w:p>
      <w:pPr>
        <w:pStyle w:val="3"/>
        <w:keepLines w:val="0"/>
        <w:overflowPunct w:val="0"/>
        <w:autoSpaceDE w:val="0"/>
        <w:autoSpaceDN w:val="0"/>
        <w:spacing w:before="0" w:beforeLines="0"/>
        <w:ind w:firstLine="643"/>
        <w:rPr>
          <w:rFonts w:hint="eastAsia" w:ascii="仿宋_GB2312" w:hAnsi="仿宋_GB2312" w:cs="仿宋_GB2312"/>
        </w:rPr>
      </w:pPr>
      <w:bookmarkStart w:id="854" w:name="_Toc11399"/>
      <w:bookmarkStart w:id="855" w:name="_Toc29942"/>
      <w:bookmarkStart w:id="856" w:name="_Toc12703"/>
      <w:bookmarkStart w:id="857" w:name="_Toc1430"/>
      <w:bookmarkStart w:id="858" w:name="_Toc21997"/>
      <w:bookmarkStart w:id="859" w:name="_Toc7315"/>
      <w:bookmarkStart w:id="860" w:name="_Toc29198"/>
      <w:bookmarkStart w:id="861" w:name="_Toc24289"/>
      <w:bookmarkStart w:id="862" w:name="_Toc24680"/>
      <w:bookmarkStart w:id="863" w:name="_Toc27613"/>
      <w:bookmarkStart w:id="864" w:name="_Toc17812"/>
      <w:bookmarkStart w:id="865" w:name="_Toc17325"/>
      <w:bookmarkStart w:id="866" w:name="_Toc28038"/>
      <w:bookmarkStart w:id="867" w:name="_Toc9901"/>
      <w:bookmarkStart w:id="868" w:name="_Toc14243"/>
      <w:bookmarkStart w:id="869" w:name="_Toc23479"/>
      <w:bookmarkStart w:id="870" w:name="_Toc4482"/>
      <w:bookmarkStart w:id="871" w:name="_Toc15435"/>
      <w:bookmarkStart w:id="872" w:name="_Toc17851"/>
      <w:bookmarkStart w:id="873" w:name="_Toc7529"/>
      <w:bookmarkStart w:id="874" w:name="_Toc8648"/>
      <w:bookmarkStart w:id="875" w:name="_Toc3322"/>
      <w:bookmarkStart w:id="876" w:name="_Toc20604"/>
      <w:bookmarkStart w:id="877" w:name="_Toc7515"/>
      <w:bookmarkStart w:id="878" w:name="_Toc30417"/>
      <w:bookmarkStart w:id="879" w:name="_Toc22077"/>
      <w:bookmarkStart w:id="880" w:name="_Toc25427"/>
      <w:bookmarkStart w:id="881" w:name="_Toc253"/>
      <w:bookmarkStart w:id="882" w:name="_Toc11811"/>
      <w:r>
        <w:rPr>
          <w:rFonts w:hint="eastAsia" w:ascii="仿宋_GB2312" w:hAnsi="仿宋_GB2312" w:cs="仿宋_GB2312"/>
        </w:rPr>
        <w:t>（四）部门资产情况</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883" w:name="_Toc9325"/>
      <w:bookmarkStart w:id="884" w:name="_Toc16747"/>
      <w:bookmarkStart w:id="885" w:name="_Toc24878"/>
      <w:bookmarkStart w:id="886" w:name="_Toc24037"/>
      <w:bookmarkStart w:id="887" w:name="_Toc14498"/>
      <w:r>
        <w:rPr>
          <w:rFonts w:hint="eastAsia" w:ascii="楷体" w:hAnsi="楷体" w:eastAsia="楷体" w:cs="楷体"/>
        </w:rPr>
        <w:t>1.流动资产</w:t>
      </w:r>
      <w:bookmarkEnd w:id="883"/>
      <w:bookmarkEnd w:id="884"/>
      <w:bookmarkEnd w:id="885"/>
      <w:bookmarkEnd w:id="886"/>
      <w:bookmarkEnd w:id="887"/>
    </w:p>
    <w:p>
      <w:pPr>
        <w:overflowPunct w:val="0"/>
        <w:autoSpaceDE w:val="0"/>
        <w:autoSpaceDN w:val="0"/>
        <w:ind w:firstLine="640"/>
        <w:rPr>
          <w:rStyle w:val="24"/>
          <w:rFonts w:hint="eastAsia" w:ascii="仿宋" w:hAnsi="仿宋" w:cs="仿宋"/>
          <w:sz w:val="32"/>
          <w:szCs w:val="32"/>
        </w:rPr>
      </w:pPr>
      <w:r>
        <w:rPr>
          <w:rFonts w:hint="eastAsia" w:ascii="仿宋" w:hAnsi="仿宋" w:cs="仿宋"/>
          <w:szCs w:val="32"/>
        </w:rPr>
        <w:t>截至2023年末，流动资产无余额。</w:t>
      </w:r>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888" w:name="_Toc32052"/>
      <w:bookmarkStart w:id="889" w:name="_Toc5115"/>
      <w:bookmarkStart w:id="890" w:name="_Toc18574"/>
      <w:bookmarkStart w:id="891" w:name="_Toc22674"/>
      <w:bookmarkStart w:id="892" w:name="_Toc21065"/>
      <w:r>
        <w:rPr>
          <w:rFonts w:hint="eastAsia" w:ascii="楷体" w:hAnsi="楷体" w:eastAsia="楷体" w:cs="楷体"/>
        </w:rPr>
        <w:t>2.固定资产</w:t>
      </w:r>
      <w:bookmarkEnd w:id="888"/>
      <w:bookmarkEnd w:id="889"/>
      <w:bookmarkEnd w:id="890"/>
      <w:bookmarkEnd w:id="891"/>
      <w:bookmarkEnd w:id="892"/>
    </w:p>
    <w:p>
      <w:pPr>
        <w:pStyle w:val="8"/>
        <w:autoSpaceDE w:val="0"/>
        <w:autoSpaceDN w:val="0"/>
        <w:ind w:firstLine="640"/>
        <w:jc w:val="both"/>
        <w:rPr>
          <w:rFonts w:hint="eastAsia" w:ascii="仿宋" w:hAnsi="仿宋" w:cs="仿宋"/>
          <w:szCs w:val="32"/>
        </w:rPr>
      </w:pPr>
      <w:r>
        <w:rPr>
          <w:rFonts w:hint="eastAsia" w:ascii="仿宋" w:hAnsi="仿宋" w:cs="仿宋"/>
          <w:kern w:val="0"/>
          <w:szCs w:val="32"/>
          <w:shd w:val="clear" w:color="auto" w:fill="FFFFFF"/>
        </w:rPr>
        <w:t>高新区市政中心</w:t>
      </w:r>
      <w:r>
        <w:rPr>
          <w:rFonts w:hint="eastAsia" w:ascii="仿宋" w:hAnsi="仿宋" w:cs="仿宋"/>
          <w:szCs w:val="32"/>
        </w:rPr>
        <w:t>综合组人员对高新区市政中心的固定资产负有管理责任。截至2023年12月31日，</w:t>
      </w:r>
      <w:r>
        <w:rPr>
          <w:rFonts w:hint="eastAsia" w:ascii="仿宋" w:hAnsi="仿宋" w:cs="仿宋"/>
          <w:kern w:val="0"/>
          <w:szCs w:val="32"/>
          <w:shd w:val="clear" w:color="auto" w:fill="FFFFFF"/>
        </w:rPr>
        <w:t>高新区市政中心</w:t>
      </w:r>
      <w:r>
        <w:rPr>
          <w:rFonts w:hint="eastAsia" w:ascii="仿宋" w:hAnsi="仿宋" w:cs="仿宋"/>
          <w:szCs w:val="32"/>
        </w:rPr>
        <w:t>固定资产实有净值共计1.86万元，其中通用设备0.64万元；家具、用具、装具及动植物1.22万元。经实际盘点和查看，无闲置固定资产，资产利用率为100%。但发现高新区市政策中心存在账外资产，且部分资产未明确使用人，未做到账目与实物的一致性，</w:t>
      </w:r>
      <w:bookmarkStart w:id="893" w:name="_Toc28491"/>
      <w:bookmarkStart w:id="894" w:name="_Toc20884"/>
      <w:bookmarkStart w:id="895" w:name="_Toc16052"/>
      <w:bookmarkStart w:id="896" w:name="_Toc16621"/>
      <w:bookmarkStart w:id="897" w:name="_Toc9264"/>
      <w:bookmarkStart w:id="898" w:name="_Toc10644"/>
      <w:bookmarkStart w:id="899" w:name="_Toc1547"/>
      <w:bookmarkStart w:id="900" w:name="_Toc1774"/>
      <w:bookmarkStart w:id="901" w:name="_Toc13400"/>
      <w:bookmarkStart w:id="902" w:name="_Toc1988"/>
      <w:bookmarkStart w:id="903" w:name="_Toc21142"/>
      <w:bookmarkStart w:id="904" w:name="_Toc3920"/>
      <w:bookmarkStart w:id="905" w:name="_Toc9589"/>
      <w:bookmarkStart w:id="906" w:name="_Toc25789"/>
      <w:bookmarkStart w:id="907" w:name="_Toc12486"/>
      <w:bookmarkStart w:id="908" w:name="_Toc26919"/>
      <w:bookmarkStart w:id="909" w:name="_Toc31588"/>
      <w:bookmarkStart w:id="910" w:name="_Toc15027"/>
      <w:r>
        <w:rPr>
          <w:rFonts w:hint="eastAsia" w:ascii="仿宋" w:hAnsi="仿宋" w:cs="仿宋"/>
          <w:szCs w:val="32"/>
        </w:rPr>
        <w:t>资产管理工作有待进一步加强</w:t>
      </w:r>
      <w:r>
        <w:rPr>
          <w:rStyle w:val="24"/>
          <w:rFonts w:hint="eastAsia" w:ascii="仿宋" w:hAnsi="仿宋" w:cs="仿宋"/>
          <w:sz w:val="32"/>
          <w:szCs w:val="32"/>
        </w:rPr>
        <w:t>。</w:t>
      </w:r>
    </w:p>
    <w:p>
      <w:pPr>
        <w:pStyle w:val="2"/>
        <w:spacing w:before="0" w:after="0"/>
        <w:ind w:firstLine="640"/>
        <w:rPr>
          <w:rFonts w:hint="eastAsia" w:ascii="黑体" w:hAnsi="黑体" w:cs="黑体"/>
          <w:b w:val="0"/>
          <w:bCs w:val="0"/>
        </w:rPr>
      </w:pPr>
      <w:bookmarkStart w:id="911" w:name="_Toc6932"/>
      <w:bookmarkStart w:id="912" w:name="_Toc23673"/>
      <w:bookmarkStart w:id="913" w:name="_Toc14599"/>
      <w:bookmarkStart w:id="914" w:name="_Toc6043"/>
      <w:bookmarkStart w:id="915" w:name="_Toc13577"/>
      <w:bookmarkStart w:id="916" w:name="_Toc28340"/>
      <w:bookmarkStart w:id="917" w:name="_Toc24782"/>
      <w:bookmarkStart w:id="918" w:name="_Toc26866"/>
      <w:bookmarkStart w:id="919" w:name="_Toc31382"/>
      <w:bookmarkStart w:id="920" w:name="_Toc11246"/>
      <w:bookmarkStart w:id="921" w:name="_Toc9448"/>
      <w:bookmarkStart w:id="922" w:name="_Toc14146"/>
      <w:bookmarkStart w:id="923" w:name="_Toc13600"/>
      <w:bookmarkStart w:id="924" w:name="_Toc30481"/>
      <w:bookmarkStart w:id="925" w:name="_Toc15963"/>
      <w:r>
        <w:rPr>
          <w:rFonts w:hint="eastAsia" w:ascii="黑体" w:hAnsi="黑体" w:cs="黑体"/>
          <w:b w:val="0"/>
          <w:bCs w:val="0"/>
        </w:rPr>
        <w:t>二、单位绩效目标</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pPr>
        <w:pStyle w:val="3"/>
        <w:keepLines w:val="0"/>
        <w:overflowPunct w:val="0"/>
        <w:autoSpaceDE w:val="0"/>
        <w:autoSpaceDN w:val="0"/>
        <w:spacing w:before="0" w:beforeLines="0"/>
        <w:ind w:firstLine="643"/>
        <w:rPr>
          <w:rFonts w:hint="eastAsia" w:ascii="仿宋_GB2312" w:hAnsi="仿宋_GB2312" w:cs="仿宋_GB2312"/>
        </w:rPr>
      </w:pPr>
      <w:bookmarkStart w:id="926" w:name="_Toc10173"/>
      <w:bookmarkStart w:id="927" w:name="_Toc3864"/>
      <w:bookmarkStart w:id="928" w:name="_Toc1922"/>
      <w:bookmarkStart w:id="929" w:name="_Toc12533"/>
      <w:bookmarkStart w:id="930" w:name="_Toc23842"/>
      <w:bookmarkStart w:id="931" w:name="_Toc7849"/>
      <w:bookmarkStart w:id="932" w:name="_Toc13931"/>
      <w:bookmarkStart w:id="933" w:name="_Toc16454"/>
      <w:bookmarkStart w:id="934" w:name="_Toc32195"/>
      <w:bookmarkStart w:id="935" w:name="_Toc14495"/>
      <w:bookmarkStart w:id="936" w:name="_Toc3164"/>
      <w:bookmarkStart w:id="937" w:name="_Toc6586"/>
      <w:bookmarkStart w:id="938" w:name="_Toc4878"/>
      <w:bookmarkStart w:id="939" w:name="_Toc22866"/>
      <w:bookmarkStart w:id="940" w:name="_Toc9752"/>
      <w:bookmarkStart w:id="941" w:name="_Toc29054"/>
      <w:bookmarkStart w:id="942" w:name="_Toc8936"/>
      <w:bookmarkStart w:id="943" w:name="_Toc20581"/>
      <w:bookmarkStart w:id="944" w:name="_Toc4819"/>
      <w:bookmarkStart w:id="945" w:name="_Toc18267"/>
      <w:bookmarkStart w:id="946" w:name="_Toc26511"/>
      <w:bookmarkStart w:id="947" w:name="_Toc197"/>
      <w:bookmarkStart w:id="948" w:name="_Toc13099"/>
      <w:bookmarkStart w:id="949" w:name="_Toc13458"/>
      <w:bookmarkStart w:id="950" w:name="_Toc16859"/>
      <w:bookmarkStart w:id="951" w:name="_Toc27933"/>
      <w:bookmarkStart w:id="952" w:name="_Toc3856"/>
      <w:bookmarkStart w:id="953" w:name="_Toc13001"/>
      <w:bookmarkStart w:id="954" w:name="_Toc17509"/>
      <w:bookmarkStart w:id="955" w:name="_Toc10817"/>
      <w:bookmarkStart w:id="956" w:name="_Toc15332"/>
      <w:bookmarkStart w:id="957" w:name="_Toc2065"/>
      <w:bookmarkStart w:id="958" w:name="_Toc320"/>
      <w:r>
        <w:rPr>
          <w:rFonts w:hint="eastAsia" w:ascii="仿宋_GB2312" w:hAnsi="仿宋_GB2312" w:cs="仿宋_GB2312"/>
        </w:rPr>
        <w:t>（一）单位战略目标</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pPr>
        <w:overflowPunct w:val="0"/>
        <w:autoSpaceDE w:val="0"/>
        <w:autoSpaceDN w:val="0"/>
        <w:ind w:firstLine="640"/>
        <w:rPr>
          <w:rFonts w:hint="eastAsia" w:ascii="仿宋" w:hAnsi="仿宋" w:cs="仿宋"/>
          <w:szCs w:val="32"/>
        </w:rPr>
      </w:pPr>
      <w:r>
        <w:rPr>
          <w:rFonts w:hint="eastAsia" w:ascii="仿宋" w:hAnsi="仿宋" w:cs="仿宋"/>
          <w:szCs w:val="32"/>
        </w:rPr>
        <w:t>高新区市政中心是一个多维度的体系，旨在通过行业管理、机制创新、项目建设、高质量发展、党建引领等方面的努力，推动市政公用事业的全面进步和可持续发展为了市政管理工作认真贯彻上级部门及园区相关文件要求和会议精神，紧紧围绕城市绿化管理狠抓环境提升，提升市政公用设施服务水平保障公共安全与环境保护，推动园区可持续发展，增强市民满意度，响应政府政策与规划。</w:t>
      </w:r>
    </w:p>
    <w:p>
      <w:pPr>
        <w:pStyle w:val="3"/>
        <w:keepLines w:val="0"/>
        <w:overflowPunct w:val="0"/>
        <w:autoSpaceDE w:val="0"/>
        <w:autoSpaceDN w:val="0"/>
        <w:spacing w:before="0" w:beforeLines="0"/>
        <w:ind w:firstLine="643"/>
        <w:rPr>
          <w:rFonts w:hint="eastAsia" w:ascii="仿宋_GB2312" w:hAnsi="仿宋_GB2312" w:cs="仿宋_GB2312"/>
        </w:rPr>
      </w:pPr>
      <w:bookmarkStart w:id="959" w:name="_Toc30375"/>
      <w:bookmarkStart w:id="960" w:name="_Toc8518"/>
      <w:bookmarkStart w:id="961" w:name="_Toc15489"/>
      <w:bookmarkStart w:id="962" w:name="_Toc3774"/>
      <w:bookmarkStart w:id="963" w:name="_Toc7217"/>
      <w:bookmarkStart w:id="964" w:name="_Toc6496"/>
      <w:bookmarkStart w:id="965" w:name="_Toc17212"/>
      <w:bookmarkStart w:id="966" w:name="_Toc30025"/>
      <w:bookmarkStart w:id="967" w:name="_Toc25415"/>
      <w:bookmarkStart w:id="968" w:name="_Toc9838"/>
      <w:bookmarkStart w:id="969" w:name="_Toc31891"/>
      <w:bookmarkStart w:id="970" w:name="_Toc1766"/>
      <w:bookmarkStart w:id="971" w:name="_Toc10454"/>
      <w:bookmarkStart w:id="972" w:name="_Toc18169"/>
      <w:bookmarkStart w:id="973" w:name="_Toc18718"/>
      <w:bookmarkStart w:id="974" w:name="_Toc21992"/>
      <w:bookmarkStart w:id="975" w:name="_Toc8119"/>
      <w:bookmarkStart w:id="976" w:name="_Toc28302"/>
      <w:bookmarkStart w:id="977" w:name="_Toc8212"/>
      <w:bookmarkStart w:id="978" w:name="_Toc1462"/>
      <w:bookmarkStart w:id="979" w:name="_Toc14025"/>
      <w:bookmarkStart w:id="980" w:name="_Toc14370"/>
      <w:bookmarkStart w:id="981" w:name="_Toc17785"/>
      <w:bookmarkStart w:id="982" w:name="_Toc6090"/>
      <w:bookmarkStart w:id="983" w:name="_Toc21881"/>
      <w:bookmarkStart w:id="984" w:name="_Toc6828"/>
      <w:bookmarkStart w:id="985" w:name="_Toc20649"/>
      <w:bookmarkStart w:id="986" w:name="_Toc13100"/>
      <w:bookmarkStart w:id="987" w:name="_Toc15546"/>
      <w:bookmarkStart w:id="988" w:name="_Toc16075"/>
      <w:bookmarkStart w:id="989" w:name="_Toc4616"/>
      <w:bookmarkStart w:id="990" w:name="_Toc12095"/>
      <w:r>
        <w:rPr>
          <w:rFonts w:hint="eastAsia" w:ascii="仿宋_GB2312" w:hAnsi="仿宋_GB2312" w:cs="仿宋_GB2312"/>
        </w:rPr>
        <w:t>（二）单位中长期规划</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pPr>
        <w:autoSpaceDE w:val="0"/>
        <w:autoSpaceDN w:val="0"/>
        <w:ind w:firstLine="640"/>
        <w:rPr>
          <w:rFonts w:hint="eastAsia" w:ascii="仿宋" w:hAnsi="仿宋" w:cs="仿宋"/>
          <w:szCs w:val="32"/>
        </w:rPr>
      </w:pPr>
      <w:r>
        <w:rPr>
          <w:rFonts w:hint="eastAsia" w:ascii="仿宋" w:hAnsi="仿宋" w:cs="仿宋"/>
          <w:szCs w:val="32"/>
        </w:rPr>
        <w:t>2023年度根据文件要求，高新区市政中心成立两年向高新区党工委进行了工作总结汇报，对于高新区市政中心今后五年工作安排做了规划报告。</w:t>
      </w:r>
    </w:p>
    <w:p>
      <w:pPr>
        <w:pStyle w:val="4"/>
        <w:ind w:firstLine="643"/>
        <w:rPr>
          <w:rFonts w:hint="eastAsia" w:ascii="楷体" w:hAnsi="楷体" w:eastAsia="楷体" w:cs="楷体"/>
        </w:rPr>
      </w:pPr>
      <w:bookmarkStart w:id="991" w:name="_Toc6138"/>
      <w:bookmarkStart w:id="992" w:name="_Toc28158"/>
      <w:bookmarkStart w:id="993" w:name="_Toc13698"/>
      <w:bookmarkStart w:id="994" w:name="_Toc6542"/>
      <w:bookmarkStart w:id="995" w:name="_Toc6253"/>
      <w:bookmarkStart w:id="996" w:name="_Toc27787"/>
      <w:bookmarkStart w:id="997" w:name="_Toc28199"/>
      <w:r>
        <w:rPr>
          <w:rFonts w:hint="eastAsia" w:ascii="楷体" w:hAnsi="楷体" w:eastAsia="楷体" w:cs="楷体"/>
        </w:rPr>
        <w:t>1.加强监督管理，强化考核制度</w:t>
      </w:r>
      <w:bookmarkEnd w:id="991"/>
      <w:bookmarkEnd w:id="992"/>
      <w:bookmarkEnd w:id="993"/>
      <w:bookmarkEnd w:id="994"/>
      <w:bookmarkEnd w:id="995"/>
      <w:bookmarkEnd w:id="996"/>
      <w:bookmarkEnd w:id="997"/>
    </w:p>
    <w:p>
      <w:pPr>
        <w:autoSpaceDE w:val="0"/>
        <w:autoSpaceDN w:val="0"/>
        <w:ind w:firstLine="640"/>
        <w:rPr>
          <w:rFonts w:hint="eastAsia" w:ascii="仿宋" w:hAnsi="仿宋" w:cs="仿宋"/>
          <w:szCs w:val="32"/>
        </w:rPr>
      </w:pPr>
      <w:r>
        <w:rPr>
          <w:rFonts w:hint="eastAsia" w:ascii="仿宋" w:hAnsi="仿宋" w:cs="仿宋"/>
          <w:kern w:val="0"/>
          <w:szCs w:val="32"/>
        </w:rPr>
        <w:t>加强对服务外包单位日常监督管理考核力度</w:t>
      </w:r>
      <w:r>
        <w:rPr>
          <w:rFonts w:hint="eastAsia" w:ascii="仿宋" w:hAnsi="仿宋" w:cs="仿宋"/>
          <w:szCs w:val="32"/>
        </w:rPr>
        <w:t>高新区市政中心采取“日巡查、周考核”方式对道路清扫保洁、绿化养护等服务作业质量进行管理，坚持定期与不定期对服务外包单位进行考核，通过各组室交叉考核、限时整改、考核处罚等管理方式，加强监督管理，强化考核制度。</w:t>
      </w:r>
    </w:p>
    <w:p>
      <w:pPr>
        <w:autoSpaceDE w:val="0"/>
        <w:autoSpaceDN w:val="0"/>
        <w:ind w:firstLine="640"/>
        <w:rPr>
          <w:rFonts w:hint="eastAsia" w:ascii="仿宋" w:hAnsi="仿宋" w:cs="仿宋"/>
          <w:kern w:val="0"/>
          <w:szCs w:val="32"/>
        </w:rPr>
      </w:pPr>
      <w:r>
        <w:rPr>
          <w:rFonts w:hint="eastAsia" w:ascii="仿宋" w:hAnsi="仿宋" w:cs="仿宋"/>
          <w:kern w:val="0"/>
          <w:szCs w:val="32"/>
        </w:rPr>
        <w:t>加强辖区污垃基础设施运维监管力度</w:t>
      </w:r>
      <w:r>
        <w:rPr>
          <w:rFonts w:hint="eastAsia" w:ascii="仿宋" w:hAnsi="仿宋" w:cs="仿宋"/>
          <w:szCs w:val="32"/>
        </w:rPr>
        <w:t>高新区市政中心利用日常巡查与重点检查相结合的方式，加大了辖区污垃基础设施巡查力度，并建立健全相关巡检台账记录和影像资料。对园区建成区生活污水处理厂运维管理、农村生活垃圾治理情况进行常规督查，共计巡查污水处理厂10余次，督促营运管理单位高效、稳定、安全地达标运营。</w:t>
      </w:r>
    </w:p>
    <w:p>
      <w:pPr>
        <w:pStyle w:val="4"/>
        <w:ind w:firstLine="643"/>
        <w:rPr>
          <w:rFonts w:hint="eastAsia" w:ascii="楷体" w:hAnsi="楷体" w:eastAsia="楷体" w:cs="楷体"/>
        </w:rPr>
      </w:pPr>
      <w:bookmarkStart w:id="998" w:name="_Toc18451"/>
      <w:bookmarkStart w:id="999" w:name="_Toc11882"/>
      <w:bookmarkStart w:id="1000" w:name="_Toc3624"/>
      <w:bookmarkStart w:id="1001" w:name="_Toc11112"/>
      <w:bookmarkStart w:id="1002" w:name="_Toc30450"/>
      <w:bookmarkStart w:id="1003" w:name="_Toc13209"/>
      <w:bookmarkStart w:id="1004" w:name="_Toc15674"/>
      <w:r>
        <w:rPr>
          <w:rFonts w:hint="eastAsia" w:ascii="楷体" w:hAnsi="楷体" w:eastAsia="楷体" w:cs="楷体"/>
        </w:rPr>
        <w:t>2.夯实管护治理水平，提升城乡环境形象</w:t>
      </w:r>
      <w:bookmarkEnd w:id="998"/>
      <w:bookmarkEnd w:id="999"/>
      <w:bookmarkEnd w:id="1000"/>
      <w:bookmarkEnd w:id="1001"/>
      <w:bookmarkEnd w:id="1002"/>
      <w:bookmarkEnd w:id="1003"/>
      <w:bookmarkEnd w:id="1004"/>
    </w:p>
    <w:p>
      <w:pPr>
        <w:autoSpaceDE w:val="0"/>
        <w:autoSpaceDN w:val="0"/>
        <w:ind w:firstLine="640"/>
        <w:rPr>
          <w:rFonts w:hint="eastAsia" w:ascii="仿宋" w:hAnsi="仿宋" w:cs="仿宋"/>
          <w:szCs w:val="32"/>
        </w:rPr>
      </w:pPr>
      <w:r>
        <w:rPr>
          <w:rFonts w:hint="eastAsia" w:ascii="仿宋" w:hAnsi="仿宋" w:cs="仿宋"/>
          <w:szCs w:val="32"/>
        </w:rPr>
        <w:t>开展市政环卫日常管护工作提升垃圾清运处理水平加大农村生活垃圾乱倾倒现象监管整治工作扎实有序推进生活垃圾分类相关工作开展辖区雨污水管网以及易涝点整治工作加强生态环境保护，补齐基础设施短板。</w:t>
      </w:r>
    </w:p>
    <w:p>
      <w:pPr>
        <w:pStyle w:val="4"/>
        <w:ind w:firstLine="643"/>
        <w:rPr>
          <w:rFonts w:hint="eastAsia" w:ascii="楷体" w:hAnsi="楷体" w:eastAsia="楷体" w:cs="楷体"/>
        </w:rPr>
      </w:pPr>
      <w:bookmarkStart w:id="1005" w:name="_Toc11950"/>
      <w:bookmarkStart w:id="1006" w:name="_Toc15956"/>
      <w:bookmarkStart w:id="1007" w:name="_Toc13037"/>
      <w:bookmarkStart w:id="1008" w:name="_Toc6507"/>
      <w:bookmarkStart w:id="1009" w:name="_Toc19258"/>
      <w:bookmarkStart w:id="1010" w:name="_Toc28410"/>
      <w:bookmarkStart w:id="1011" w:name="_Toc4956"/>
      <w:bookmarkStart w:id="1012" w:name="_Toc30781"/>
      <w:bookmarkStart w:id="1013" w:name="_Toc12050"/>
      <w:bookmarkStart w:id="1014" w:name="_Toc9958"/>
      <w:bookmarkStart w:id="1015" w:name="_Toc32239"/>
      <w:bookmarkStart w:id="1016" w:name="_Toc20866"/>
      <w:bookmarkStart w:id="1017" w:name="_Toc28238"/>
      <w:bookmarkStart w:id="1018" w:name="_Toc14435"/>
      <w:bookmarkStart w:id="1019" w:name="_Toc15930"/>
      <w:bookmarkStart w:id="1020" w:name="_Toc7214"/>
      <w:bookmarkStart w:id="1021" w:name="_Toc26295"/>
      <w:bookmarkStart w:id="1022" w:name="_Toc18958"/>
      <w:bookmarkStart w:id="1023" w:name="_Toc15228"/>
      <w:bookmarkStart w:id="1024" w:name="_Toc26682"/>
      <w:bookmarkStart w:id="1025" w:name="_Toc23580"/>
      <w:bookmarkStart w:id="1026" w:name="_Toc28918"/>
      <w:bookmarkStart w:id="1027" w:name="_Toc9040"/>
      <w:bookmarkStart w:id="1028" w:name="_Toc26182"/>
      <w:bookmarkStart w:id="1029" w:name="_Toc29652"/>
      <w:bookmarkStart w:id="1030" w:name="_Toc12295"/>
      <w:r>
        <w:rPr>
          <w:rFonts w:hint="eastAsia" w:ascii="楷体" w:hAnsi="楷体" w:eastAsia="楷体" w:cs="楷体"/>
        </w:rPr>
        <w:t>3.加快城镇生活污水和城乡生活垃圾处理设施建设</w:t>
      </w:r>
      <w:bookmarkEnd w:id="1005"/>
      <w:bookmarkEnd w:id="1006"/>
      <w:bookmarkEnd w:id="1007"/>
      <w:bookmarkEnd w:id="1008"/>
      <w:bookmarkEnd w:id="1009"/>
      <w:bookmarkEnd w:id="1010"/>
      <w:bookmarkEnd w:id="1011"/>
    </w:p>
    <w:p>
      <w:pPr>
        <w:overflowPunct w:val="0"/>
        <w:autoSpaceDE w:val="0"/>
        <w:autoSpaceDN w:val="0"/>
        <w:ind w:firstLine="640"/>
        <w:rPr>
          <w:rFonts w:hint="eastAsia" w:ascii="仿宋" w:hAnsi="仿宋" w:cs="仿宋"/>
          <w:szCs w:val="32"/>
        </w:rPr>
      </w:pPr>
      <w:r>
        <w:rPr>
          <w:rFonts w:hint="eastAsia" w:ascii="仿宋" w:hAnsi="仿宋" w:cs="仿宋"/>
          <w:szCs w:val="32"/>
        </w:rPr>
        <w:t>按照《遂宁市城镇生活污水和城乡生活垃圾处理设施建设三年推进实施方案（2021—2023年）》，全力加快建成区病灶管网整治工作，务必保质保量完成整治，有效提升污水处理厂进水浓度和进水率，同时，加快建设园区空白区域污水管网。</w:t>
      </w:r>
    </w:p>
    <w:p>
      <w:pPr>
        <w:pStyle w:val="3"/>
        <w:spacing w:before="120"/>
        <w:ind w:firstLine="643"/>
        <w:rPr>
          <w:rFonts w:hint="eastAsia"/>
        </w:rPr>
      </w:pPr>
      <w:bookmarkStart w:id="1031" w:name="_Toc31951"/>
      <w:bookmarkStart w:id="1032" w:name="_Toc6996"/>
      <w:bookmarkStart w:id="1033" w:name="_Toc23103"/>
      <w:bookmarkStart w:id="1034" w:name="_Toc31232"/>
      <w:bookmarkStart w:id="1035" w:name="_Toc13682"/>
      <w:bookmarkStart w:id="1036" w:name="_Toc30370"/>
      <w:bookmarkStart w:id="1037" w:name="_Toc8690"/>
      <w:bookmarkStart w:id="1038" w:name="_Toc17547"/>
      <w:bookmarkStart w:id="1039" w:name="_Toc22212"/>
      <w:bookmarkStart w:id="1040" w:name="_Toc12881"/>
      <w:bookmarkStart w:id="1041" w:name="_Toc14103"/>
      <w:bookmarkStart w:id="1042" w:name="_Toc32636"/>
      <w:bookmarkStart w:id="1043" w:name="_Toc4447"/>
      <w:bookmarkStart w:id="1044" w:name="_Toc18593"/>
      <w:r>
        <w:rPr>
          <w:rFonts w:hint="eastAsia"/>
        </w:rPr>
        <w:t>（三）</w:t>
      </w:r>
      <w:bookmarkEnd w:id="1012"/>
      <w:bookmarkEnd w:id="1013"/>
      <w:bookmarkEnd w:id="1014"/>
      <w:bookmarkEnd w:id="1015"/>
      <w:bookmarkEnd w:id="1016"/>
      <w:bookmarkEnd w:id="1017"/>
      <w:r>
        <w:rPr>
          <w:rFonts w:hint="eastAsia"/>
        </w:rPr>
        <w:t>单位分年度工作计划及重点项目</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pPr>
        <w:pStyle w:val="4"/>
        <w:ind w:firstLine="643"/>
        <w:rPr>
          <w:rFonts w:hint="eastAsia" w:ascii="楷体" w:hAnsi="楷体" w:eastAsia="楷体" w:cs="楷体"/>
        </w:rPr>
      </w:pPr>
      <w:bookmarkStart w:id="1045" w:name="_Toc8056"/>
      <w:bookmarkStart w:id="1046" w:name="_Toc32525"/>
      <w:bookmarkStart w:id="1047" w:name="_Toc31662"/>
      <w:bookmarkStart w:id="1048" w:name="_Toc16089"/>
      <w:bookmarkStart w:id="1049" w:name="_Toc16357"/>
      <w:bookmarkStart w:id="1050" w:name="_Toc32058"/>
      <w:bookmarkStart w:id="1051" w:name="_Toc7543"/>
      <w:r>
        <w:rPr>
          <w:rFonts w:hint="eastAsia" w:ascii="楷体" w:hAnsi="楷体" w:eastAsia="楷体" w:cs="楷体"/>
        </w:rPr>
        <w:t>1.推进生活垃圾分类投放收集</w:t>
      </w:r>
      <w:bookmarkEnd w:id="1045"/>
      <w:bookmarkEnd w:id="1046"/>
      <w:bookmarkEnd w:id="1047"/>
      <w:bookmarkEnd w:id="1048"/>
      <w:bookmarkEnd w:id="1049"/>
      <w:bookmarkEnd w:id="1050"/>
      <w:bookmarkEnd w:id="1051"/>
    </w:p>
    <w:p>
      <w:pPr>
        <w:overflowPunct w:val="0"/>
        <w:autoSpaceDE w:val="0"/>
        <w:autoSpaceDN w:val="0"/>
        <w:ind w:firstLine="640"/>
        <w:rPr>
          <w:rFonts w:hint="eastAsia" w:ascii="仿宋" w:hAnsi="仿宋" w:cs="仿宋"/>
          <w:szCs w:val="32"/>
        </w:rPr>
      </w:pPr>
      <w:r>
        <w:rPr>
          <w:rFonts w:hint="eastAsia" w:ascii="仿宋" w:hAnsi="仿宋" w:cs="仿宋"/>
          <w:szCs w:val="32"/>
        </w:rPr>
        <w:t>按照《遂宁市中心城区生活垃圾分类投放收集示范片区建设三年（2022—2024年）推进实施方案》，全面开展生活垃圾分类全域覆盖项目，推进高新区整建制生活垃圾分类建设项目。</w:t>
      </w:r>
    </w:p>
    <w:p>
      <w:pPr>
        <w:pStyle w:val="4"/>
        <w:ind w:firstLine="643"/>
        <w:rPr>
          <w:rFonts w:hint="eastAsia" w:ascii="楷体" w:hAnsi="楷体" w:eastAsia="楷体" w:cs="楷体"/>
        </w:rPr>
      </w:pPr>
      <w:bookmarkStart w:id="1052" w:name="_Toc16806"/>
      <w:bookmarkStart w:id="1053" w:name="_Toc6596"/>
      <w:bookmarkStart w:id="1054" w:name="_Toc30432"/>
      <w:bookmarkStart w:id="1055" w:name="_Toc29235"/>
      <w:bookmarkStart w:id="1056" w:name="_Toc14297"/>
      <w:bookmarkStart w:id="1057" w:name="_Toc6324"/>
      <w:bookmarkStart w:id="1058" w:name="_Toc8508"/>
      <w:r>
        <w:rPr>
          <w:rFonts w:hint="eastAsia" w:ascii="楷体" w:hAnsi="楷体" w:eastAsia="楷体" w:cs="楷体"/>
        </w:rPr>
        <w:t>3.推进园区日常维护管理</w:t>
      </w:r>
      <w:bookmarkEnd w:id="1052"/>
      <w:bookmarkEnd w:id="1053"/>
      <w:bookmarkEnd w:id="1054"/>
      <w:bookmarkEnd w:id="1055"/>
      <w:bookmarkEnd w:id="1056"/>
      <w:bookmarkEnd w:id="1057"/>
      <w:bookmarkEnd w:id="1058"/>
    </w:p>
    <w:p>
      <w:pPr>
        <w:autoSpaceDE w:val="0"/>
        <w:autoSpaceDN w:val="0"/>
        <w:ind w:firstLine="640"/>
        <w:rPr>
          <w:rFonts w:hint="eastAsia" w:ascii="仿宋" w:hAnsi="仿宋" w:cs="仿宋"/>
          <w:szCs w:val="32"/>
        </w:rPr>
      </w:pPr>
      <w:r>
        <w:rPr>
          <w:rFonts w:hint="eastAsia" w:ascii="仿宋" w:hAnsi="仿宋" w:cs="仿宋"/>
          <w:szCs w:val="32"/>
        </w:rPr>
        <w:t>园区公共园林绿化日常维护管理以及建成区餐厨垃圾收转运政府采购工作，持续开展园区节点景观提升工作，不断提升园林绿化管理水平，优化园区营商环境。</w:t>
      </w:r>
    </w:p>
    <w:p>
      <w:pPr>
        <w:pStyle w:val="4"/>
        <w:ind w:firstLine="643"/>
        <w:rPr>
          <w:rFonts w:hint="eastAsia" w:ascii="楷体" w:hAnsi="楷体" w:eastAsia="楷体" w:cs="楷体"/>
        </w:rPr>
      </w:pPr>
      <w:bookmarkStart w:id="1059" w:name="_Toc21073"/>
      <w:bookmarkStart w:id="1060" w:name="_Toc1354"/>
      <w:bookmarkStart w:id="1061" w:name="_Toc3540"/>
      <w:bookmarkStart w:id="1062" w:name="_Toc14135"/>
      <w:bookmarkStart w:id="1063" w:name="_Toc21467"/>
      <w:bookmarkStart w:id="1064" w:name="_Toc16417"/>
      <w:bookmarkStart w:id="1065" w:name="_Toc29277"/>
      <w:r>
        <w:rPr>
          <w:rFonts w:hint="eastAsia" w:ascii="楷体" w:hAnsi="楷体" w:eastAsia="楷体" w:cs="楷体"/>
        </w:rPr>
        <w:t>4.加强外包服务队伍监督和管理</w:t>
      </w:r>
      <w:bookmarkEnd w:id="1059"/>
      <w:bookmarkEnd w:id="1060"/>
      <w:bookmarkEnd w:id="1061"/>
      <w:bookmarkEnd w:id="1062"/>
      <w:bookmarkEnd w:id="1063"/>
      <w:bookmarkEnd w:id="1064"/>
      <w:bookmarkEnd w:id="1065"/>
    </w:p>
    <w:p>
      <w:pPr>
        <w:pStyle w:val="12"/>
        <w:autoSpaceDE w:val="0"/>
        <w:autoSpaceDN w:val="0"/>
        <w:ind w:firstLine="640"/>
        <w:jc w:val="both"/>
        <w:rPr>
          <w:rFonts w:hint="eastAsia" w:ascii="仿宋" w:hAnsi="仿宋" w:cs="仿宋"/>
          <w:sz w:val="32"/>
          <w:szCs w:val="32"/>
        </w:rPr>
      </w:pPr>
      <w:r>
        <w:rPr>
          <w:rFonts w:hint="eastAsia" w:ascii="仿宋" w:hAnsi="仿宋" w:cs="仿宋"/>
          <w:sz w:val="32"/>
          <w:szCs w:val="32"/>
        </w:rPr>
        <w:t>各块外包服务队伍或三方管理单位的监管力度，严管服务质量，严格以“精细化、标准化、规范化”三化标准进行管理，定期与不定期抽查管理质量，严格落实考核制度，确保监管常态化。</w:t>
      </w:r>
    </w:p>
    <w:p>
      <w:pPr>
        <w:pStyle w:val="4"/>
        <w:ind w:firstLine="643"/>
        <w:rPr>
          <w:rFonts w:hint="eastAsia" w:ascii="楷体" w:hAnsi="楷体" w:eastAsia="楷体" w:cs="楷体"/>
        </w:rPr>
      </w:pPr>
      <w:bookmarkStart w:id="1066" w:name="_Toc13260"/>
      <w:bookmarkStart w:id="1067" w:name="_Toc20987"/>
      <w:bookmarkStart w:id="1068" w:name="_Toc21261"/>
      <w:bookmarkStart w:id="1069" w:name="_Toc20408"/>
      <w:bookmarkStart w:id="1070" w:name="_Toc22189"/>
      <w:bookmarkStart w:id="1071" w:name="_Toc16233"/>
      <w:bookmarkStart w:id="1072" w:name="_Toc8969"/>
      <w:r>
        <w:rPr>
          <w:rFonts w:hint="eastAsia" w:ascii="楷体" w:hAnsi="楷体" w:eastAsia="楷体" w:cs="楷体"/>
        </w:rPr>
        <w:t>5.推进城镇污水和城乡垃圾建设营运</w:t>
      </w:r>
      <w:bookmarkEnd w:id="1066"/>
      <w:bookmarkEnd w:id="1067"/>
      <w:bookmarkEnd w:id="1068"/>
      <w:bookmarkEnd w:id="1069"/>
      <w:bookmarkEnd w:id="1070"/>
      <w:bookmarkEnd w:id="1071"/>
      <w:bookmarkEnd w:id="1072"/>
    </w:p>
    <w:p>
      <w:pPr>
        <w:pStyle w:val="12"/>
        <w:autoSpaceDE w:val="0"/>
        <w:autoSpaceDN w:val="0"/>
        <w:ind w:firstLine="640"/>
        <w:jc w:val="both"/>
        <w:rPr>
          <w:rFonts w:hint="eastAsia" w:ascii="仿宋" w:hAnsi="仿宋" w:cs="仿宋"/>
          <w:sz w:val="32"/>
          <w:szCs w:val="32"/>
        </w:rPr>
      </w:pPr>
      <w:r>
        <w:rPr>
          <w:rFonts w:hint="eastAsia" w:ascii="仿宋" w:hAnsi="仿宋" w:cs="仿宋"/>
          <w:sz w:val="32"/>
          <w:szCs w:val="32"/>
        </w:rPr>
        <w:t>推进全市城镇污水和城乡垃圾建设营运PPP项目营运管理工作，并形成常态化管理模式。协调相关部门完成高新区垃圾中转站外进场道路的建设工作，保障高新区垃圾中转站运行。</w:t>
      </w:r>
    </w:p>
    <w:p>
      <w:pPr>
        <w:pStyle w:val="4"/>
        <w:ind w:firstLine="643"/>
        <w:rPr>
          <w:rFonts w:hint="eastAsia" w:ascii="楷体" w:hAnsi="楷体" w:eastAsia="楷体" w:cs="楷体"/>
        </w:rPr>
      </w:pPr>
      <w:bookmarkStart w:id="1073" w:name="_Toc8570"/>
      <w:bookmarkStart w:id="1074" w:name="_Toc19738"/>
      <w:bookmarkStart w:id="1075" w:name="_Toc32719"/>
      <w:bookmarkStart w:id="1076" w:name="_Toc26284"/>
      <w:bookmarkStart w:id="1077" w:name="_Toc24305"/>
      <w:r>
        <w:rPr>
          <w:rFonts w:hint="eastAsia" w:ascii="楷体" w:hAnsi="楷体" w:eastAsia="楷体" w:cs="楷体"/>
        </w:rPr>
        <w:t>6.认真抓好中心其他</w:t>
      </w:r>
      <w:bookmarkEnd w:id="1073"/>
      <w:bookmarkEnd w:id="1074"/>
      <w:r>
        <w:rPr>
          <w:rFonts w:hint="eastAsia" w:ascii="楷体" w:hAnsi="楷体" w:eastAsia="楷体" w:cs="楷体"/>
        </w:rPr>
        <w:t>工作</w:t>
      </w:r>
      <w:bookmarkEnd w:id="1075"/>
      <w:bookmarkEnd w:id="1076"/>
      <w:bookmarkEnd w:id="1077"/>
    </w:p>
    <w:p>
      <w:pPr>
        <w:pStyle w:val="12"/>
        <w:overflowPunct w:val="0"/>
        <w:autoSpaceDE w:val="0"/>
        <w:autoSpaceDN w:val="0"/>
        <w:ind w:firstLine="640"/>
        <w:jc w:val="both"/>
        <w:rPr>
          <w:rFonts w:hint="eastAsia" w:ascii="仿宋" w:hAnsi="仿宋" w:cs="仿宋"/>
          <w:sz w:val="32"/>
          <w:szCs w:val="32"/>
        </w:rPr>
      </w:pPr>
      <w:r>
        <w:rPr>
          <w:rFonts w:hint="eastAsia" w:ascii="仿宋" w:hAnsi="仿宋" w:cs="仿宋"/>
          <w:sz w:val="32"/>
          <w:szCs w:val="32"/>
        </w:rPr>
        <w:t>加强园区一线工人安全教育，定期与不定期召开安全意识教育培训会议，进一步增强一线工人的安全意识，将安全隐患消除在萌芽状态，有效预防和避免安全隐患的发生。</w:t>
      </w:r>
    </w:p>
    <w:p>
      <w:pPr>
        <w:pStyle w:val="3"/>
        <w:spacing w:before="120"/>
        <w:ind w:firstLine="643"/>
        <w:rPr>
          <w:rFonts w:hint="eastAsia"/>
        </w:rPr>
      </w:pPr>
      <w:bookmarkStart w:id="1078" w:name="_Toc2890"/>
      <w:bookmarkStart w:id="1079" w:name="_Toc16874"/>
      <w:bookmarkStart w:id="1080" w:name="_Toc16028"/>
      <w:bookmarkStart w:id="1081" w:name="_Toc17377"/>
      <w:bookmarkStart w:id="1082" w:name="_Toc24870"/>
      <w:bookmarkStart w:id="1083" w:name="_Toc11781"/>
      <w:bookmarkStart w:id="1084" w:name="_Toc20018"/>
      <w:bookmarkStart w:id="1085" w:name="_Toc30177"/>
      <w:bookmarkStart w:id="1086" w:name="_Toc27240"/>
      <w:bookmarkStart w:id="1087" w:name="_Toc275"/>
      <w:bookmarkStart w:id="1088" w:name="_Toc13598"/>
      <w:bookmarkStart w:id="1089" w:name="_Toc17026"/>
      <w:bookmarkStart w:id="1090" w:name="_Toc2600"/>
      <w:bookmarkStart w:id="1091" w:name="_Toc14283"/>
      <w:bookmarkStart w:id="1092" w:name="_Toc18060"/>
      <w:bookmarkStart w:id="1093" w:name="_Toc21647"/>
      <w:bookmarkStart w:id="1094" w:name="_Toc23468"/>
      <w:bookmarkStart w:id="1095" w:name="_Toc18101"/>
      <w:bookmarkStart w:id="1096" w:name="_Toc8540"/>
      <w:bookmarkStart w:id="1097" w:name="_Toc16272"/>
      <w:bookmarkStart w:id="1098" w:name="_Toc29634"/>
      <w:bookmarkStart w:id="1099" w:name="_Toc15110"/>
      <w:bookmarkStart w:id="1100" w:name="_Toc24067"/>
      <w:bookmarkStart w:id="1101" w:name="_Toc3233"/>
      <w:bookmarkStart w:id="1102" w:name="_Toc2698"/>
      <w:bookmarkStart w:id="1103" w:name="_Toc27144"/>
      <w:bookmarkStart w:id="1104" w:name="_Toc17896"/>
      <w:bookmarkStart w:id="1105" w:name="_Toc15748"/>
      <w:bookmarkStart w:id="1106" w:name="_Toc31966"/>
      <w:bookmarkStart w:id="1107" w:name="_Toc10338"/>
      <w:bookmarkStart w:id="1108" w:name="_Toc19097"/>
      <w:bookmarkStart w:id="1109" w:name="_Toc14569"/>
      <w:bookmarkStart w:id="1110" w:name="_Toc5531"/>
      <w:r>
        <w:rPr>
          <w:rFonts w:hint="eastAsia"/>
        </w:rPr>
        <w:t>（四）单位整体支出绩效目标</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pPr>
        <w:pStyle w:val="4"/>
        <w:keepNext/>
        <w:keepLines/>
        <w:pageBreakBefore w:val="0"/>
        <w:widowControl w:val="0"/>
        <w:kinsoku/>
        <w:wordWrap/>
        <w:overflowPunct/>
        <w:topLinePunct w:val="0"/>
        <w:autoSpaceDE/>
        <w:autoSpaceDN/>
        <w:bidi w:val="0"/>
        <w:adjustRightInd/>
        <w:snapToGrid/>
        <w:ind w:firstLine="643"/>
        <w:jc w:val="both"/>
        <w:textAlignment w:val="auto"/>
        <w:rPr>
          <w:rFonts w:hint="eastAsia" w:ascii="楷体" w:hAnsi="楷体" w:eastAsia="楷体" w:cs="楷体"/>
        </w:rPr>
      </w:pPr>
      <w:bookmarkStart w:id="1111" w:name="_Toc22735"/>
      <w:bookmarkStart w:id="1112" w:name="_Toc24407"/>
      <w:bookmarkStart w:id="1113" w:name="_Toc12474"/>
      <w:bookmarkStart w:id="1114" w:name="_Toc12742"/>
      <w:bookmarkStart w:id="1115" w:name="_Toc22054"/>
      <w:bookmarkStart w:id="1116" w:name="_Toc18508"/>
      <w:r>
        <w:rPr>
          <w:rFonts w:hint="eastAsia" w:ascii="楷体" w:hAnsi="楷体" w:eastAsia="楷体" w:cs="楷体"/>
        </w:rPr>
        <w:t>1.总体目标</w:t>
      </w:r>
      <w:bookmarkEnd w:id="1111"/>
      <w:bookmarkEnd w:id="1112"/>
      <w:bookmarkEnd w:id="1113"/>
      <w:bookmarkEnd w:id="1114"/>
      <w:bookmarkEnd w:id="1115"/>
      <w:bookmarkEnd w:id="1116"/>
    </w:p>
    <w:p>
      <w:pPr>
        <w:shd w:val="clear" w:color="auto" w:fill="FDFDFE"/>
        <w:overflowPunct w:val="0"/>
        <w:autoSpaceDE w:val="0"/>
        <w:autoSpaceDN w:val="0"/>
        <w:ind w:firstLine="640"/>
        <w:rPr>
          <w:rFonts w:hint="eastAsia" w:ascii="仿宋" w:hAnsi="仿宋" w:cs="仿宋"/>
          <w:szCs w:val="32"/>
        </w:rPr>
      </w:pPr>
      <w:r>
        <w:rPr>
          <w:rFonts w:hint="eastAsia" w:ascii="仿宋" w:hAnsi="仿宋" w:cs="仿宋"/>
          <w:szCs w:val="32"/>
        </w:rPr>
        <w:t>2023年，高新区市政中心确立了绩效总体目标，旨在保障园区高效运作及居民生活的舒适性。</w:t>
      </w:r>
      <w:r>
        <w:rPr>
          <w:rFonts w:hint="eastAsia" w:ascii="仿宋" w:hAnsi="仿宋" w:cs="仿宋"/>
          <w:szCs w:val="32"/>
          <w:shd w:val="clear" w:color="auto" w:fill="FDFDFE"/>
        </w:rPr>
        <w:t>确保民生项目有效实施，提升居民生活质量。加强对园区路灯、交通信号灯、变压器及市政道路附属设施的维护管理，保障安全与畅通。实现生活垃圾、餐厨垃圾的无害化、高效化收转运及处置，确保垃圾日产日清，覆盖率与处理率达标。打造生活垃圾分类示范街道，提升垃圾分类意识和实施效果。加强道路清扫保洁与喷雾降尘，控制扬尘污染，维护园区清洁环境</w:t>
      </w:r>
      <w:bookmarkStart w:id="1117" w:name="_Toc25010"/>
      <w:bookmarkStart w:id="1118" w:name="_Toc8859"/>
      <w:bookmarkStart w:id="1119" w:name="_Toc355"/>
      <w:r>
        <w:rPr>
          <w:rFonts w:hint="eastAsia" w:ascii="仿宋" w:hAnsi="仿宋" w:cs="仿宋"/>
          <w:szCs w:val="32"/>
        </w:rPr>
        <w:t>。</w:t>
      </w:r>
    </w:p>
    <w:p>
      <w:pPr>
        <w:pStyle w:val="4"/>
        <w:ind w:firstLine="643"/>
        <w:rPr>
          <w:rFonts w:hint="eastAsia" w:ascii="楷体" w:hAnsi="楷体" w:eastAsia="楷体" w:cs="楷体"/>
        </w:rPr>
      </w:pPr>
      <w:bookmarkStart w:id="1120" w:name="_Toc10181"/>
      <w:bookmarkStart w:id="1121" w:name="_Toc21511"/>
      <w:bookmarkStart w:id="1122" w:name="_Toc14337"/>
      <w:bookmarkStart w:id="1123" w:name="_Toc21973"/>
      <w:r>
        <w:rPr>
          <w:rFonts w:hint="eastAsia" w:ascii="楷体" w:hAnsi="楷体" w:eastAsia="楷体" w:cs="楷体"/>
        </w:rPr>
        <w:t>2.具体目标</w:t>
      </w:r>
      <w:bookmarkEnd w:id="1117"/>
      <w:bookmarkEnd w:id="1118"/>
      <w:bookmarkEnd w:id="1119"/>
      <w:bookmarkEnd w:id="1120"/>
      <w:bookmarkEnd w:id="1121"/>
      <w:bookmarkEnd w:id="1122"/>
      <w:bookmarkEnd w:id="1123"/>
    </w:p>
    <w:p>
      <w:pPr>
        <w:pStyle w:val="5"/>
        <w:keepLines w:val="0"/>
        <w:autoSpaceDE w:val="0"/>
        <w:autoSpaceDN w:val="0"/>
        <w:ind w:firstLine="643"/>
        <w:rPr>
          <w:rFonts w:hint="eastAsia" w:ascii="仿宋" w:hAnsi="仿宋" w:cs="仿宋"/>
          <w:szCs w:val="32"/>
        </w:rPr>
      </w:pPr>
      <w:bookmarkStart w:id="1124" w:name="_Toc26462"/>
      <w:bookmarkStart w:id="1125" w:name="_Toc21546"/>
      <w:bookmarkStart w:id="1126" w:name="_Toc9609"/>
      <w:bookmarkStart w:id="1127" w:name="_Toc31726"/>
      <w:r>
        <w:rPr>
          <w:rFonts w:hint="eastAsia" w:ascii="仿宋" w:hAnsi="仿宋" w:cs="仿宋"/>
          <w:szCs w:val="32"/>
        </w:rPr>
        <w:t>（1）园区市政设施、绿化养护及道路清扫保洁</w:t>
      </w:r>
      <w:bookmarkEnd w:id="1124"/>
      <w:bookmarkEnd w:id="1125"/>
      <w:bookmarkEnd w:id="1126"/>
      <w:bookmarkEnd w:id="1127"/>
    </w:p>
    <w:p>
      <w:pPr>
        <w:overflowPunct w:val="0"/>
        <w:autoSpaceDE w:val="0"/>
        <w:autoSpaceDN w:val="0"/>
        <w:ind w:firstLine="640"/>
        <w:rPr>
          <w:rFonts w:hint="eastAsia" w:ascii="仿宋" w:hAnsi="仿宋" w:cs="仿宋"/>
          <w:szCs w:val="32"/>
        </w:rPr>
      </w:pPr>
      <w:r>
        <w:rPr>
          <w:rFonts w:hint="eastAsia" w:ascii="仿宋" w:hAnsi="仿宋" w:cs="仿宋"/>
          <w:szCs w:val="32"/>
          <w:shd w:val="clear" w:color="auto" w:fill="FDFDFE"/>
        </w:rPr>
        <w:t>确保完成20万平方米的绿化区域精细养护，保持绿化景观的生机与美观，提升园区生态品质。高效完成260万平方米的道路清扫保洁任务，实现道路环境全天候清洁，提升园区整体卫生水平。计划对园区内约8000套市政道路检查井盖、雨水篦盖等设施进行定期检查与维护，同时加强道路护栏、照明及消防设施的日常管理，确保设施完好率与运行安全。实现环境卫生达标率100%，维护管理工作按时完成率100%，持续提升服务质量，保持绿化景观良好状态。</w:t>
      </w:r>
    </w:p>
    <w:p>
      <w:pPr>
        <w:pStyle w:val="5"/>
        <w:keepLines w:val="0"/>
        <w:autoSpaceDE w:val="0"/>
        <w:autoSpaceDN w:val="0"/>
        <w:ind w:firstLine="643"/>
        <w:rPr>
          <w:rFonts w:hint="eastAsia" w:ascii="仿宋" w:hAnsi="仿宋" w:cs="仿宋"/>
          <w:szCs w:val="32"/>
        </w:rPr>
      </w:pPr>
      <w:bookmarkStart w:id="1128" w:name="_Toc29237"/>
      <w:bookmarkStart w:id="1129" w:name="_Toc6643"/>
      <w:bookmarkStart w:id="1130" w:name="_Toc22583"/>
      <w:bookmarkStart w:id="1131" w:name="_Toc18641"/>
      <w:r>
        <w:rPr>
          <w:rFonts w:hint="eastAsia" w:ascii="仿宋" w:hAnsi="仿宋" w:cs="仿宋"/>
          <w:szCs w:val="32"/>
        </w:rPr>
        <w:t>（2）在园区生活及餐厨垃圾转运处理方面</w:t>
      </w:r>
      <w:bookmarkEnd w:id="1128"/>
      <w:bookmarkEnd w:id="1129"/>
      <w:bookmarkEnd w:id="1130"/>
      <w:bookmarkEnd w:id="1131"/>
    </w:p>
    <w:p>
      <w:pPr>
        <w:overflowPunct w:val="0"/>
        <w:autoSpaceDE w:val="0"/>
        <w:autoSpaceDN w:val="0"/>
        <w:ind w:firstLine="640"/>
        <w:rPr>
          <w:rFonts w:hint="eastAsia" w:ascii="仿宋" w:hAnsi="仿宋" w:cs="仿宋"/>
          <w:szCs w:val="32"/>
          <w:shd w:val="clear" w:color="auto" w:fill="FDFDFE"/>
        </w:rPr>
      </w:pPr>
      <w:r>
        <w:rPr>
          <w:rFonts w:hint="eastAsia" w:ascii="仿宋" w:hAnsi="仿宋" w:cs="仿宋"/>
          <w:szCs w:val="32"/>
          <w:shd w:val="clear" w:color="auto" w:fill="FDFDFE"/>
        </w:rPr>
        <w:t>2023年度内计划收集转运并处置生活垃圾约2万吨，确保垃圾清运及时，减少堆积与二次污染，实现无害化处理率100%。针对餐厨垃圾，计划收集转运并处置约4000吨，通过专项处理流程，有效减少环境污染，提升资源回收利用率，确保收集转运垃圾无害化处理100%，收集转运工作按时完成率100%，提高农村生活垃圾处理率，加深公众对生活垃圾分类的认识与参与度。</w:t>
      </w:r>
    </w:p>
    <w:p>
      <w:pPr>
        <w:pStyle w:val="5"/>
        <w:keepLines w:val="0"/>
        <w:autoSpaceDE w:val="0"/>
        <w:autoSpaceDN w:val="0"/>
        <w:ind w:firstLine="643"/>
        <w:rPr>
          <w:rFonts w:hint="eastAsia" w:ascii="仿宋" w:hAnsi="仿宋" w:cs="仿宋"/>
          <w:szCs w:val="32"/>
        </w:rPr>
      </w:pPr>
      <w:bookmarkStart w:id="1132" w:name="_Toc10895"/>
      <w:bookmarkStart w:id="1133" w:name="_Toc20069"/>
      <w:bookmarkStart w:id="1134" w:name="_Toc7204"/>
      <w:bookmarkStart w:id="1135" w:name="_Toc11471"/>
      <w:r>
        <w:rPr>
          <w:rFonts w:hint="eastAsia" w:ascii="仿宋" w:hAnsi="仿宋" w:cs="仿宋"/>
          <w:szCs w:val="32"/>
        </w:rPr>
        <w:t>（3）在园区污水处理方面</w:t>
      </w:r>
      <w:bookmarkEnd w:id="1132"/>
      <w:bookmarkEnd w:id="1133"/>
      <w:bookmarkEnd w:id="1134"/>
      <w:bookmarkEnd w:id="1135"/>
    </w:p>
    <w:p>
      <w:pPr>
        <w:overflowPunct w:val="0"/>
        <w:autoSpaceDE w:val="0"/>
        <w:autoSpaceDN w:val="0"/>
        <w:ind w:firstLine="640"/>
        <w:rPr>
          <w:rFonts w:hint="eastAsia" w:ascii="仿宋" w:hAnsi="仿宋" w:cs="仿宋"/>
          <w:szCs w:val="32"/>
        </w:rPr>
      </w:pPr>
      <w:r>
        <w:rPr>
          <w:rFonts w:hint="eastAsia" w:ascii="仿宋" w:hAnsi="仿宋" w:cs="仿宋"/>
          <w:szCs w:val="32"/>
          <w:shd w:val="clear" w:color="auto" w:fill="FDFDFE"/>
        </w:rPr>
        <w:t>2023年度内计划处理生活污水约300万吨，通过提升污水处理厂的运行效率与监管力度，收集污水全部达标处理排放100%，保障水质达标排放。加大巡查频次，建立健全巡检台账，对污水处理设施及农村生活垃圾治理情况进行全面监控，确保设施稳定运行。通过高效处理污水，显著改善园区及周边水环境质量，促进生态环境可持续发展。</w:t>
      </w:r>
    </w:p>
    <w:p>
      <w:pPr>
        <w:pStyle w:val="5"/>
        <w:keepLines w:val="0"/>
        <w:autoSpaceDE w:val="0"/>
        <w:autoSpaceDN w:val="0"/>
        <w:ind w:firstLine="643"/>
        <w:rPr>
          <w:rFonts w:hint="eastAsia" w:ascii="仿宋" w:hAnsi="仿宋" w:cs="仿宋"/>
          <w:szCs w:val="32"/>
        </w:rPr>
      </w:pPr>
      <w:bookmarkStart w:id="1136" w:name="_Toc29986"/>
      <w:bookmarkStart w:id="1137" w:name="_Toc5699"/>
      <w:bookmarkStart w:id="1138" w:name="_Toc13079"/>
      <w:bookmarkStart w:id="1139" w:name="_Toc5719"/>
      <w:r>
        <w:rPr>
          <w:rFonts w:hint="eastAsia" w:ascii="仿宋" w:hAnsi="仿宋" w:cs="仿宋"/>
          <w:szCs w:val="32"/>
        </w:rPr>
        <w:t>（4）重要节点景观提升方面</w:t>
      </w:r>
      <w:bookmarkEnd w:id="1136"/>
      <w:bookmarkEnd w:id="1137"/>
      <w:bookmarkEnd w:id="1138"/>
      <w:bookmarkEnd w:id="1139"/>
    </w:p>
    <w:p>
      <w:pPr>
        <w:overflowPunct w:val="0"/>
        <w:autoSpaceDE w:val="0"/>
        <w:autoSpaceDN w:val="0"/>
        <w:ind w:firstLine="640"/>
        <w:rPr>
          <w:rFonts w:hint="eastAsia" w:ascii="仿宋" w:hAnsi="仿宋" w:cs="仿宋"/>
          <w:szCs w:val="32"/>
        </w:rPr>
      </w:pPr>
      <w:r>
        <w:rPr>
          <w:rFonts w:hint="eastAsia" w:ascii="仿宋" w:hAnsi="仿宋" w:cs="仿宋"/>
          <w:szCs w:val="32"/>
          <w:shd w:val="clear" w:color="auto" w:fill="FDFDFE"/>
        </w:rPr>
        <w:t>2023年重要节日及大型迎检期间，精心策划并实施鲜花景观提升项目，以鲜花布置、绿化造景等方式，显著提升园区生态环境形象。通过景观提升工作，不仅美化园区环境，还进一步改善居民的生活与工作环境，提升居民的幸福感与满意度。确保景观提升项目按时高质量完成，为园区增添亮丽风景线，展现园区良好的生态环境与人文风貌。</w:t>
      </w:r>
    </w:p>
    <w:p>
      <w:pPr>
        <w:pStyle w:val="2"/>
        <w:spacing w:before="0" w:after="0"/>
        <w:ind w:firstLine="640"/>
        <w:rPr>
          <w:rFonts w:hint="eastAsia" w:ascii="黑体" w:hAnsi="黑体" w:cs="黑体"/>
          <w:b w:val="0"/>
          <w:bCs w:val="0"/>
        </w:rPr>
      </w:pPr>
      <w:bookmarkStart w:id="1140" w:name="_Toc31974"/>
      <w:bookmarkStart w:id="1141" w:name="_Toc1850"/>
      <w:bookmarkStart w:id="1142" w:name="_Toc28554"/>
      <w:bookmarkStart w:id="1143" w:name="_Toc7930"/>
      <w:bookmarkStart w:id="1144" w:name="_Toc29341"/>
      <w:bookmarkStart w:id="1145" w:name="_Toc28971"/>
      <w:bookmarkStart w:id="1146" w:name="_Toc2483"/>
      <w:bookmarkStart w:id="1147" w:name="_Toc25554"/>
      <w:bookmarkStart w:id="1148" w:name="_Toc32643"/>
      <w:bookmarkStart w:id="1149" w:name="_Toc15220"/>
      <w:bookmarkStart w:id="1150" w:name="_Toc23493"/>
      <w:bookmarkStart w:id="1151" w:name="_Toc8180"/>
      <w:bookmarkStart w:id="1152" w:name="_Toc11155"/>
      <w:bookmarkStart w:id="1153" w:name="_Toc27096"/>
      <w:bookmarkStart w:id="1154" w:name="_Toc23129"/>
      <w:bookmarkStart w:id="1155" w:name="_Toc23563"/>
      <w:bookmarkStart w:id="1156" w:name="_Toc7749"/>
      <w:bookmarkStart w:id="1157" w:name="_Toc16827"/>
      <w:bookmarkStart w:id="1158" w:name="_Toc3686"/>
      <w:bookmarkStart w:id="1159" w:name="_Toc5455"/>
      <w:bookmarkStart w:id="1160" w:name="_Toc6889"/>
      <w:bookmarkStart w:id="1161" w:name="_Toc27465"/>
      <w:bookmarkStart w:id="1162" w:name="_Toc6960"/>
      <w:bookmarkStart w:id="1163" w:name="_Toc15719"/>
      <w:bookmarkStart w:id="1164" w:name="_Toc4800"/>
      <w:bookmarkStart w:id="1165" w:name="_Toc11243"/>
      <w:bookmarkStart w:id="1166" w:name="_Toc161"/>
      <w:bookmarkStart w:id="1167" w:name="_Toc24520"/>
      <w:bookmarkStart w:id="1168" w:name="_Toc16045"/>
      <w:bookmarkStart w:id="1169" w:name="_Toc15637"/>
      <w:bookmarkStart w:id="1170" w:name="_Toc32680"/>
      <w:bookmarkStart w:id="1171" w:name="_Toc17793"/>
      <w:bookmarkStart w:id="1172" w:name="_Toc4233"/>
      <w:r>
        <w:rPr>
          <w:rFonts w:hint="eastAsia" w:ascii="黑体" w:hAnsi="黑体" w:cs="黑体"/>
          <w:b w:val="0"/>
          <w:bCs w:val="0"/>
        </w:rPr>
        <w:t>三、评价思路</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pPr>
        <w:pStyle w:val="3"/>
        <w:keepLines w:val="0"/>
        <w:autoSpaceDE w:val="0"/>
        <w:autoSpaceDN w:val="0"/>
        <w:spacing w:before="0" w:beforeLines="0"/>
        <w:ind w:firstLine="643"/>
        <w:rPr>
          <w:rFonts w:hint="eastAsia" w:ascii="仿宋_GB2312" w:hAnsi="仿宋_GB2312" w:cs="仿宋_GB2312"/>
        </w:rPr>
      </w:pPr>
      <w:bookmarkStart w:id="1173" w:name="_Toc17900"/>
      <w:bookmarkStart w:id="1174" w:name="_Toc32320"/>
      <w:bookmarkStart w:id="1175" w:name="_Toc23796"/>
      <w:bookmarkStart w:id="1176" w:name="_Toc17802"/>
      <w:bookmarkStart w:id="1177" w:name="_Toc20811"/>
      <w:bookmarkStart w:id="1178" w:name="_Toc4069"/>
      <w:bookmarkStart w:id="1179" w:name="_Toc18887"/>
      <w:bookmarkStart w:id="1180" w:name="_Toc14684"/>
      <w:bookmarkStart w:id="1181" w:name="_Toc24629"/>
      <w:bookmarkStart w:id="1182" w:name="_Toc19879"/>
      <w:bookmarkStart w:id="1183" w:name="_Toc13844"/>
      <w:bookmarkStart w:id="1184" w:name="_Toc13264"/>
      <w:bookmarkStart w:id="1185" w:name="_Toc17110"/>
      <w:bookmarkStart w:id="1186" w:name="_Toc10819"/>
      <w:bookmarkStart w:id="1187" w:name="_Toc19727"/>
      <w:bookmarkStart w:id="1188" w:name="_Toc10309"/>
      <w:bookmarkStart w:id="1189" w:name="_Toc2157"/>
      <w:bookmarkStart w:id="1190" w:name="_Toc4704"/>
      <w:bookmarkStart w:id="1191" w:name="_Toc777"/>
      <w:bookmarkStart w:id="1192" w:name="_Toc5510"/>
      <w:bookmarkStart w:id="1193" w:name="_Toc20912"/>
      <w:bookmarkStart w:id="1194" w:name="_Toc2077"/>
      <w:bookmarkStart w:id="1195" w:name="_Toc21468"/>
      <w:bookmarkStart w:id="1196" w:name="_Toc28650"/>
      <w:bookmarkStart w:id="1197" w:name="_Toc3750"/>
      <w:bookmarkStart w:id="1198" w:name="_Toc14932"/>
      <w:bookmarkStart w:id="1199" w:name="_Toc16518"/>
      <w:bookmarkStart w:id="1200" w:name="_Toc15518"/>
      <w:bookmarkStart w:id="1201" w:name="_Toc2495"/>
      <w:bookmarkStart w:id="1202" w:name="_Toc21540"/>
      <w:bookmarkStart w:id="1203" w:name="_Toc11038"/>
      <w:bookmarkStart w:id="1204" w:name="_Toc30089"/>
      <w:bookmarkStart w:id="1205" w:name="_Toc23833"/>
      <w:r>
        <w:rPr>
          <w:rFonts w:hint="eastAsia" w:ascii="仿宋_GB2312" w:hAnsi="仿宋_GB2312" w:cs="仿宋_GB2312"/>
        </w:rPr>
        <w:t>（一）评价思路及关注点</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pPr>
        <w:autoSpaceDE w:val="0"/>
        <w:autoSpaceDN w:val="0"/>
        <w:ind w:firstLine="640"/>
        <w:rPr>
          <w:rFonts w:hint="eastAsia" w:ascii="仿宋" w:hAnsi="仿宋" w:cs="仿宋"/>
          <w:szCs w:val="32"/>
        </w:rPr>
      </w:pPr>
      <w:r>
        <w:rPr>
          <w:rFonts w:hint="eastAsia" w:ascii="仿宋" w:hAnsi="仿宋" w:cs="仿宋"/>
          <w:szCs w:val="32"/>
        </w:rPr>
        <w:t>从部门整体出发，遵循“职责－规划计划－重点任务－项目－资金资源配置－管理效率－履职效能”并回溯的闭环逻辑，围绕</w:t>
      </w:r>
      <w:r>
        <w:rPr>
          <w:rFonts w:hint="eastAsia" w:ascii="仿宋" w:hAnsi="仿宋" w:cs="仿宋"/>
          <w:kern w:val="0"/>
          <w:szCs w:val="32"/>
          <w:shd w:val="clear" w:color="auto" w:fill="FFFFFF"/>
        </w:rPr>
        <w:t>高新区市政公用事务中心</w:t>
      </w:r>
      <w:r>
        <w:rPr>
          <w:rFonts w:hint="eastAsia" w:ascii="仿宋" w:hAnsi="仿宋" w:cs="仿宋"/>
          <w:szCs w:val="32"/>
        </w:rPr>
        <w:t>部门整体绩效目标设置、资金资源统筹配置、管理效率、运行成本、履职效能、可持续发展能力及满意度等，聚焦于部门履职及管理过程的重点环节。评价要素及评价重点如下：</w:t>
      </w:r>
    </w:p>
    <w:p>
      <w:pPr>
        <w:autoSpaceDE w:val="0"/>
        <w:autoSpaceDN w:val="0"/>
        <w:ind w:firstLine="640"/>
        <w:rPr>
          <w:rFonts w:hint="eastAsia" w:ascii="仿宋" w:hAnsi="仿宋" w:cs="仿宋"/>
          <w:szCs w:val="32"/>
        </w:rPr>
      </w:pPr>
      <w:r>
        <w:rPr>
          <w:rFonts w:hint="eastAsia" w:ascii="仿宋" w:hAnsi="仿宋" w:cs="仿宋"/>
          <w:szCs w:val="32"/>
        </w:rPr>
        <w:t>战略及职责目标：部门绩效目标与部门职能职责、事业发展规划、年度工作任务和正常业绩水平是否相符；部门绩效目标能否有效反映部门履职效果。</w:t>
      </w:r>
    </w:p>
    <w:p>
      <w:pPr>
        <w:autoSpaceDE w:val="0"/>
        <w:autoSpaceDN w:val="0"/>
        <w:ind w:firstLine="640"/>
        <w:rPr>
          <w:rFonts w:hint="eastAsia" w:ascii="仿宋" w:hAnsi="仿宋" w:cs="仿宋"/>
          <w:szCs w:val="32"/>
        </w:rPr>
      </w:pPr>
      <w:r>
        <w:rPr>
          <w:rFonts w:hint="eastAsia" w:ascii="仿宋" w:hAnsi="仿宋" w:cs="仿宋"/>
          <w:szCs w:val="32"/>
        </w:rPr>
        <w:t>资金资源统筹配置：预算支出结构与部门职能是否匹配，部门的项目支出结构与履职需求是否相符，资金安排是否合理；收入预算编制是否完整。</w:t>
      </w:r>
    </w:p>
    <w:p>
      <w:pPr>
        <w:autoSpaceDE w:val="0"/>
        <w:autoSpaceDN w:val="0"/>
        <w:ind w:firstLine="640"/>
        <w:rPr>
          <w:rFonts w:hint="eastAsia" w:ascii="仿宋" w:hAnsi="仿宋" w:cs="仿宋"/>
          <w:szCs w:val="32"/>
        </w:rPr>
      </w:pPr>
      <w:r>
        <w:rPr>
          <w:rFonts w:hint="eastAsia" w:ascii="仿宋" w:hAnsi="仿宋" w:cs="仿宋"/>
          <w:szCs w:val="32"/>
        </w:rPr>
        <w:t>管理效率：部门支出预算编制是否细化、完整，预算管理执行是否规范；部门资产管理是否规范及固定资产使用情况。</w:t>
      </w:r>
    </w:p>
    <w:p>
      <w:pPr>
        <w:autoSpaceDE w:val="0"/>
        <w:autoSpaceDN w:val="0"/>
        <w:ind w:firstLine="640"/>
        <w:rPr>
          <w:rFonts w:hint="eastAsia" w:ascii="仿宋" w:hAnsi="仿宋" w:cs="仿宋"/>
          <w:szCs w:val="32"/>
        </w:rPr>
      </w:pPr>
      <w:r>
        <w:rPr>
          <w:rFonts w:hint="eastAsia" w:ascii="仿宋" w:hAnsi="仿宋" w:cs="仿宋"/>
          <w:szCs w:val="32"/>
        </w:rPr>
        <w:t>运行成本：公用经费、三公经费、培训费、会议费、机关运行经费控制情况。</w:t>
      </w:r>
    </w:p>
    <w:p>
      <w:pPr>
        <w:autoSpaceDE w:val="0"/>
        <w:autoSpaceDN w:val="0"/>
        <w:ind w:firstLine="640"/>
        <w:rPr>
          <w:rFonts w:hint="eastAsia" w:ascii="仿宋" w:hAnsi="仿宋" w:cs="仿宋"/>
          <w:szCs w:val="32"/>
        </w:rPr>
      </w:pPr>
      <w:r>
        <w:rPr>
          <w:rFonts w:hint="eastAsia" w:ascii="仿宋" w:hAnsi="仿宋" w:cs="仿宋"/>
          <w:szCs w:val="32"/>
        </w:rPr>
        <w:t>履职工作效能：部门整体绩效目标及年度工作任务完成情况及效果；部门工作取得的积极发展情况；主要经济指标排位升降情况；单位重点工作的办理落实程度。</w:t>
      </w:r>
    </w:p>
    <w:p>
      <w:pPr>
        <w:autoSpaceDE w:val="0"/>
        <w:autoSpaceDN w:val="0"/>
        <w:ind w:firstLine="640"/>
        <w:rPr>
          <w:rFonts w:hint="eastAsia" w:ascii="仿宋" w:hAnsi="仿宋" w:cs="仿宋"/>
          <w:szCs w:val="32"/>
        </w:rPr>
      </w:pPr>
      <w:r>
        <w:rPr>
          <w:rFonts w:hint="eastAsia" w:ascii="仿宋" w:hAnsi="仿宋" w:cs="仿宋"/>
          <w:szCs w:val="32"/>
        </w:rPr>
        <w:t>可持续发展：信息化建设、服务中心人才队伍建设等方面可持续发展能力；部门中长期规划是否建立；满意度评价。</w:t>
      </w:r>
    </w:p>
    <w:p>
      <w:pPr>
        <w:pStyle w:val="3"/>
        <w:spacing w:before="0" w:beforeLines="0"/>
        <w:ind w:firstLine="643"/>
        <w:rPr>
          <w:rFonts w:hint="eastAsia"/>
        </w:rPr>
      </w:pPr>
      <w:bookmarkStart w:id="1206" w:name="_Toc13003"/>
      <w:bookmarkStart w:id="1207" w:name="_Toc13713"/>
      <w:bookmarkStart w:id="1208" w:name="_Toc6551"/>
      <w:bookmarkStart w:id="1209" w:name="_Toc7635"/>
      <w:bookmarkStart w:id="1210" w:name="_Toc6849"/>
      <w:bookmarkStart w:id="1211" w:name="_Toc16596"/>
      <w:bookmarkStart w:id="1212" w:name="_Toc2380"/>
      <w:bookmarkStart w:id="1213" w:name="_Toc7980"/>
      <w:bookmarkStart w:id="1214" w:name="_Toc24898"/>
      <w:bookmarkStart w:id="1215" w:name="_Toc29918"/>
      <w:bookmarkStart w:id="1216" w:name="_Toc19317"/>
      <w:bookmarkStart w:id="1217" w:name="_Toc8946"/>
      <w:bookmarkStart w:id="1218" w:name="_Toc10227"/>
      <w:bookmarkStart w:id="1219" w:name="_Toc11783"/>
      <w:bookmarkStart w:id="1220" w:name="_Toc29459"/>
      <w:bookmarkStart w:id="1221" w:name="_Toc18738"/>
      <w:bookmarkStart w:id="1222" w:name="_Toc10988"/>
      <w:bookmarkStart w:id="1223" w:name="_Toc4551"/>
      <w:bookmarkStart w:id="1224" w:name="_Toc32561"/>
      <w:bookmarkStart w:id="1225" w:name="_Toc9297"/>
      <w:bookmarkStart w:id="1226" w:name="_Toc26352"/>
      <w:bookmarkStart w:id="1227" w:name="_Toc19040"/>
      <w:bookmarkStart w:id="1228" w:name="_Toc31323"/>
      <w:bookmarkStart w:id="1229" w:name="_Toc14960"/>
      <w:bookmarkStart w:id="1230" w:name="_Toc4285"/>
      <w:bookmarkStart w:id="1231" w:name="_Toc69"/>
      <w:bookmarkStart w:id="1232" w:name="_Toc16779"/>
      <w:bookmarkStart w:id="1233" w:name="_Toc4488"/>
      <w:bookmarkStart w:id="1234" w:name="_Toc8085"/>
      <w:bookmarkStart w:id="1235" w:name="_Toc9419"/>
      <w:bookmarkStart w:id="1236" w:name="_Toc22565"/>
      <w:r>
        <w:rPr>
          <w:rFonts w:hint="eastAsia"/>
        </w:rPr>
        <w:t>（二）评价方法</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pPr>
        <w:pStyle w:val="4"/>
        <w:ind w:firstLine="643"/>
        <w:rPr>
          <w:rFonts w:hint="eastAsia" w:ascii="楷体" w:hAnsi="楷体" w:eastAsia="楷体" w:cs="楷体"/>
        </w:rPr>
      </w:pPr>
      <w:bookmarkStart w:id="1237" w:name="_Toc12164"/>
      <w:bookmarkStart w:id="1238" w:name="_Toc26117"/>
      <w:bookmarkStart w:id="1239" w:name="_Toc30537"/>
      <w:bookmarkStart w:id="1240" w:name="_Toc10743"/>
      <w:bookmarkStart w:id="1241" w:name="_Toc26854"/>
      <w:r>
        <w:rPr>
          <w:rFonts w:hint="eastAsia" w:ascii="楷体" w:hAnsi="楷体" w:eastAsia="楷体" w:cs="楷体"/>
        </w:rPr>
        <w:t>1.案卷研究法</w:t>
      </w:r>
      <w:bookmarkEnd w:id="1237"/>
      <w:bookmarkEnd w:id="1238"/>
      <w:bookmarkEnd w:id="1239"/>
      <w:bookmarkEnd w:id="1240"/>
      <w:bookmarkEnd w:id="1241"/>
    </w:p>
    <w:p>
      <w:pPr>
        <w:autoSpaceDE w:val="0"/>
        <w:autoSpaceDN w:val="0"/>
        <w:ind w:firstLine="640"/>
        <w:rPr>
          <w:rFonts w:hint="eastAsia" w:ascii="仿宋" w:hAnsi="仿宋" w:cs="仿宋"/>
          <w:szCs w:val="32"/>
        </w:rPr>
      </w:pPr>
      <w:r>
        <w:rPr>
          <w:rFonts w:hint="eastAsia" w:ascii="仿宋" w:hAnsi="仿宋" w:cs="仿宋"/>
          <w:szCs w:val="32"/>
        </w:rPr>
        <w:t>对高新区市政中心职能、中长期规划、部门年度工作计划及工作总结、部门资金使用管理情况等相关资料进行研究、比较、分析，提取重要信息。同时，查找财政管理方面政策文件及相关资料，了解</w:t>
      </w:r>
      <w:r>
        <w:rPr>
          <w:rFonts w:hint="eastAsia" w:ascii="仿宋" w:hAnsi="仿宋" w:cs="仿宋"/>
          <w:kern w:val="0"/>
          <w:szCs w:val="32"/>
          <w:shd w:val="clear" w:color="auto" w:fill="FFFFFF"/>
        </w:rPr>
        <w:t>高新区市政中心</w:t>
      </w:r>
      <w:r>
        <w:rPr>
          <w:rFonts w:hint="eastAsia" w:ascii="仿宋" w:hAnsi="仿宋" w:cs="仿宋"/>
          <w:szCs w:val="32"/>
        </w:rPr>
        <w:t>在履行部门职能、实现经营目标方面的发展现状、面临的主要问题及未来发展趋势，支撑评价工作的开展和评价结论的得出。</w:t>
      </w:r>
    </w:p>
    <w:p>
      <w:pPr>
        <w:keepNext/>
        <w:keepLines/>
        <w:autoSpaceDE w:val="0"/>
        <w:autoSpaceDN w:val="0"/>
        <w:ind w:firstLine="643"/>
        <w:rPr>
          <w:rFonts w:hint="eastAsia" w:ascii="楷体" w:hAnsi="楷体" w:eastAsia="楷体" w:cs="楷体"/>
          <w:b/>
          <w:bCs/>
        </w:rPr>
      </w:pPr>
      <w:bookmarkStart w:id="1242" w:name="_Toc26408"/>
      <w:bookmarkStart w:id="1243" w:name="_Toc19133"/>
      <w:bookmarkStart w:id="1244" w:name="_Toc30302"/>
      <w:r>
        <w:rPr>
          <w:rFonts w:hint="eastAsia" w:ascii="楷体" w:hAnsi="楷体" w:eastAsia="楷体" w:cs="楷体"/>
          <w:b/>
          <w:bCs/>
        </w:rPr>
        <w:t>2.成本效益分析法</w:t>
      </w:r>
      <w:bookmarkEnd w:id="1242"/>
      <w:bookmarkEnd w:id="1243"/>
      <w:bookmarkEnd w:id="1244"/>
    </w:p>
    <w:p>
      <w:pPr>
        <w:autoSpaceDE w:val="0"/>
        <w:autoSpaceDN w:val="0"/>
        <w:ind w:firstLine="640"/>
        <w:rPr>
          <w:rFonts w:hint="eastAsia" w:ascii="仿宋" w:hAnsi="仿宋" w:cs="仿宋"/>
          <w:szCs w:val="32"/>
        </w:rPr>
      </w:pPr>
      <w:r>
        <w:rPr>
          <w:rFonts w:hint="eastAsia" w:ascii="仿宋" w:hAnsi="仿宋" w:cs="仿宋"/>
          <w:szCs w:val="32"/>
        </w:rPr>
        <w:t>将部门整体投入成本与效益进行对比分析，评价绩效目标实现程度。</w:t>
      </w:r>
    </w:p>
    <w:p>
      <w:pPr>
        <w:pStyle w:val="4"/>
        <w:ind w:firstLine="643"/>
        <w:rPr>
          <w:rFonts w:hint="eastAsia" w:ascii="楷体" w:hAnsi="楷体" w:eastAsia="楷体" w:cs="楷体"/>
        </w:rPr>
      </w:pPr>
      <w:bookmarkStart w:id="1245" w:name="_Toc8592"/>
      <w:bookmarkStart w:id="1246" w:name="_Toc29093"/>
      <w:bookmarkStart w:id="1247" w:name="_Toc990"/>
      <w:bookmarkStart w:id="1248" w:name="_Toc2986"/>
      <w:bookmarkStart w:id="1249" w:name="_Toc15439"/>
      <w:bookmarkStart w:id="1250" w:name="_Toc17173"/>
      <w:bookmarkStart w:id="1251" w:name="_Toc12688"/>
      <w:r>
        <w:rPr>
          <w:rFonts w:hint="eastAsia" w:ascii="楷体" w:hAnsi="楷体" w:eastAsia="楷体" w:cs="楷体"/>
        </w:rPr>
        <w:t>3.比较分析法</w:t>
      </w:r>
      <w:bookmarkEnd w:id="1245"/>
      <w:bookmarkEnd w:id="1246"/>
      <w:bookmarkEnd w:id="1247"/>
      <w:bookmarkEnd w:id="1248"/>
      <w:bookmarkEnd w:id="1249"/>
      <w:bookmarkEnd w:id="1250"/>
      <w:bookmarkEnd w:id="1251"/>
    </w:p>
    <w:p>
      <w:pPr>
        <w:autoSpaceDE w:val="0"/>
        <w:autoSpaceDN w:val="0"/>
        <w:ind w:firstLine="640"/>
        <w:rPr>
          <w:rFonts w:hint="eastAsia" w:ascii="仿宋" w:hAnsi="仿宋" w:cs="仿宋"/>
          <w:szCs w:val="32"/>
        </w:rPr>
      </w:pPr>
      <w:r>
        <w:rPr>
          <w:rFonts w:hint="eastAsia" w:ascii="仿宋" w:hAnsi="仿宋" w:cs="仿宋"/>
          <w:szCs w:val="32"/>
        </w:rPr>
        <w:t>通过对年度目标与实际完成情况、预算安排与执行结果进行比较，综合分析部门整体开展的效率和效果。</w:t>
      </w:r>
    </w:p>
    <w:p>
      <w:pPr>
        <w:pStyle w:val="4"/>
        <w:ind w:firstLine="643"/>
        <w:rPr>
          <w:rFonts w:hint="eastAsia" w:ascii="楷体" w:hAnsi="楷体" w:eastAsia="楷体" w:cs="楷体"/>
        </w:rPr>
      </w:pPr>
      <w:bookmarkStart w:id="1252" w:name="_Toc15811"/>
      <w:bookmarkStart w:id="1253" w:name="_Toc6096"/>
      <w:bookmarkStart w:id="1254" w:name="_Toc22566"/>
      <w:bookmarkStart w:id="1255" w:name="_Toc2447"/>
      <w:bookmarkStart w:id="1256" w:name="_Toc11141"/>
      <w:bookmarkStart w:id="1257" w:name="_Toc4693"/>
      <w:bookmarkStart w:id="1258" w:name="_Toc6279"/>
      <w:r>
        <w:rPr>
          <w:rFonts w:hint="eastAsia" w:ascii="楷体" w:hAnsi="楷体" w:eastAsia="楷体" w:cs="楷体"/>
        </w:rPr>
        <w:t>4.因素分析法</w:t>
      </w:r>
      <w:bookmarkEnd w:id="1252"/>
      <w:bookmarkEnd w:id="1253"/>
      <w:bookmarkEnd w:id="1254"/>
      <w:bookmarkEnd w:id="1255"/>
      <w:bookmarkEnd w:id="1256"/>
      <w:bookmarkEnd w:id="1257"/>
      <w:bookmarkEnd w:id="1258"/>
    </w:p>
    <w:p>
      <w:pPr>
        <w:autoSpaceDE w:val="0"/>
        <w:autoSpaceDN w:val="0"/>
        <w:ind w:firstLine="640"/>
        <w:rPr>
          <w:rFonts w:hint="eastAsia" w:ascii="仿宋" w:hAnsi="仿宋" w:cs="仿宋"/>
          <w:szCs w:val="32"/>
        </w:rPr>
      </w:pPr>
      <w:r>
        <w:rPr>
          <w:rFonts w:hint="eastAsia" w:ascii="仿宋" w:hAnsi="仿宋" w:cs="仿宋"/>
          <w:szCs w:val="32"/>
        </w:rPr>
        <w:t>通过对收集的</w:t>
      </w:r>
      <w:r>
        <w:rPr>
          <w:rFonts w:hint="eastAsia" w:ascii="仿宋" w:hAnsi="仿宋" w:cs="仿宋"/>
          <w:kern w:val="0"/>
          <w:szCs w:val="32"/>
          <w:shd w:val="clear" w:color="auto" w:fill="FFFFFF"/>
        </w:rPr>
        <w:t>高新区市政中心</w:t>
      </w:r>
      <w:r>
        <w:rPr>
          <w:rFonts w:hint="eastAsia" w:ascii="仿宋" w:hAnsi="仿宋" w:cs="仿宋"/>
          <w:szCs w:val="32"/>
        </w:rPr>
        <w:t>2023年部门整体支出有关资料进行分析，了解资金的使用范围和用途，查看预算绩效目标的设置情况，综合分析影响绩效目标实现、实施效果的内外因素，评价绩效目标实现程度。</w:t>
      </w:r>
    </w:p>
    <w:p>
      <w:pPr>
        <w:pStyle w:val="4"/>
        <w:ind w:firstLine="643"/>
        <w:rPr>
          <w:rFonts w:hint="eastAsia" w:ascii="楷体" w:hAnsi="楷体" w:eastAsia="楷体" w:cs="楷体"/>
        </w:rPr>
      </w:pPr>
      <w:bookmarkStart w:id="1259" w:name="_Toc7072"/>
      <w:bookmarkStart w:id="1260" w:name="_Toc10002"/>
      <w:bookmarkStart w:id="1261" w:name="_Toc29081"/>
      <w:bookmarkStart w:id="1262" w:name="_Toc32354"/>
      <w:bookmarkStart w:id="1263" w:name="_Toc10679"/>
      <w:bookmarkStart w:id="1264" w:name="_Toc8807"/>
      <w:bookmarkStart w:id="1265" w:name="_Toc23499"/>
      <w:r>
        <w:rPr>
          <w:rFonts w:hint="eastAsia" w:ascii="楷体" w:hAnsi="楷体" w:eastAsia="楷体" w:cs="楷体"/>
        </w:rPr>
        <w:t>5.座谈访谈法</w:t>
      </w:r>
      <w:bookmarkEnd w:id="1259"/>
      <w:bookmarkEnd w:id="1260"/>
      <w:bookmarkEnd w:id="1261"/>
      <w:bookmarkEnd w:id="1262"/>
      <w:bookmarkEnd w:id="1263"/>
      <w:bookmarkEnd w:id="1264"/>
      <w:bookmarkEnd w:id="1265"/>
    </w:p>
    <w:p>
      <w:pPr>
        <w:autoSpaceDE w:val="0"/>
        <w:autoSpaceDN w:val="0"/>
        <w:ind w:firstLine="640"/>
        <w:rPr>
          <w:rFonts w:hint="eastAsia" w:ascii="仿宋" w:hAnsi="仿宋" w:cs="仿宋"/>
          <w:szCs w:val="32"/>
        </w:rPr>
      </w:pPr>
      <w:r>
        <w:rPr>
          <w:rFonts w:hint="eastAsia" w:ascii="仿宋" w:hAnsi="仿宋" w:cs="仿宋"/>
          <w:szCs w:val="32"/>
        </w:rPr>
        <w:t>通过与高新区市政中心有关人员进行座谈，了解该单位人员构成、职能分工、年度工作实施、资金支付、经费审批、资产管理和职责履行等方面的情况，收集评价信息，客观真实评价单位整体工作开展和产出效用。</w:t>
      </w:r>
    </w:p>
    <w:p>
      <w:pPr>
        <w:pStyle w:val="4"/>
        <w:ind w:firstLine="643"/>
        <w:rPr>
          <w:rFonts w:hint="eastAsia" w:ascii="楷体" w:hAnsi="楷体" w:eastAsia="楷体" w:cs="楷体"/>
        </w:rPr>
      </w:pPr>
      <w:bookmarkStart w:id="1266" w:name="_Toc15667"/>
      <w:bookmarkStart w:id="1267" w:name="_Toc30594"/>
      <w:bookmarkStart w:id="1268" w:name="_Toc19915"/>
      <w:bookmarkStart w:id="1269" w:name="_Toc26772"/>
      <w:bookmarkStart w:id="1270" w:name="_Toc7459"/>
      <w:bookmarkStart w:id="1271" w:name="_Toc9134"/>
      <w:r>
        <w:rPr>
          <w:rFonts w:hint="eastAsia" w:ascii="楷体" w:hAnsi="楷体" w:eastAsia="楷体" w:cs="楷体"/>
        </w:rPr>
        <w:t>6.公众评判法</w:t>
      </w:r>
      <w:bookmarkEnd w:id="1266"/>
      <w:bookmarkEnd w:id="1267"/>
      <w:bookmarkEnd w:id="1268"/>
      <w:bookmarkEnd w:id="1269"/>
      <w:bookmarkEnd w:id="1270"/>
      <w:bookmarkEnd w:id="1271"/>
    </w:p>
    <w:p>
      <w:pPr>
        <w:autoSpaceDE w:val="0"/>
        <w:autoSpaceDN w:val="0"/>
        <w:ind w:firstLine="640"/>
        <w:rPr>
          <w:rFonts w:hint="eastAsia" w:ascii="仿宋" w:hAnsi="仿宋" w:cs="仿宋"/>
          <w:szCs w:val="32"/>
        </w:rPr>
      </w:pPr>
      <w:r>
        <w:rPr>
          <w:rFonts w:hint="eastAsia" w:ascii="仿宋" w:hAnsi="仿宋" w:cs="仿宋"/>
          <w:szCs w:val="32"/>
        </w:rPr>
        <w:t>评价组根据单位职能、职责和2023年度绩效目标完成情况，制定对应的满意度调查问卷。通过对服务对象发放满意度调查问卷作答情况，对高新区市政中心履职情况进行评判；对高新区市政中心完成效果进行摸底调查，评价绩效目标实现程度。</w:t>
      </w:r>
    </w:p>
    <w:p>
      <w:pPr>
        <w:pStyle w:val="3"/>
        <w:spacing w:before="0" w:beforeLines="0"/>
        <w:ind w:firstLine="643"/>
        <w:rPr>
          <w:rFonts w:hint="eastAsia"/>
        </w:rPr>
      </w:pPr>
      <w:bookmarkStart w:id="1272" w:name="_Toc22670"/>
      <w:bookmarkStart w:id="1273" w:name="_Toc7757"/>
      <w:bookmarkStart w:id="1274" w:name="_Toc225"/>
      <w:bookmarkStart w:id="1275" w:name="_Toc2141"/>
      <w:bookmarkStart w:id="1276" w:name="_Toc22912"/>
      <w:bookmarkStart w:id="1277" w:name="_Toc27347"/>
      <w:bookmarkStart w:id="1278" w:name="_Toc19495"/>
      <w:bookmarkStart w:id="1279" w:name="_Toc4064"/>
      <w:bookmarkStart w:id="1280" w:name="_Toc13706"/>
      <w:bookmarkStart w:id="1281" w:name="_Toc4884"/>
      <w:bookmarkStart w:id="1282" w:name="_Toc31396"/>
      <w:bookmarkStart w:id="1283" w:name="_Toc31503"/>
      <w:bookmarkStart w:id="1284" w:name="_Toc5264"/>
      <w:bookmarkStart w:id="1285" w:name="_Toc13443"/>
      <w:bookmarkStart w:id="1286" w:name="_Toc31624"/>
      <w:bookmarkStart w:id="1287" w:name="_Toc8948"/>
      <w:bookmarkStart w:id="1288" w:name="_Toc10393"/>
      <w:bookmarkStart w:id="1289" w:name="_Toc28235"/>
      <w:bookmarkStart w:id="1290" w:name="_Toc3702"/>
      <w:bookmarkStart w:id="1291" w:name="_Toc16384"/>
      <w:bookmarkStart w:id="1292" w:name="_Toc15003"/>
      <w:bookmarkStart w:id="1293" w:name="_Toc16348"/>
      <w:bookmarkStart w:id="1294" w:name="_Toc9867"/>
      <w:bookmarkStart w:id="1295" w:name="_Toc3488"/>
      <w:bookmarkStart w:id="1296" w:name="_Toc25650"/>
      <w:bookmarkStart w:id="1297" w:name="_Toc32688"/>
      <w:bookmarkStart w:id="1298" w:name="_Toc24245"/>
      <w:bookmarkStart w:id="1299" w:name="_Toc4518"/>
      <w:bookmarkStart w:id="1300" w:name="_Toc15540"/>
      <w:bookmarkStart w:id="1301" w:name="_Toc8904"/>
      <w:bookmarkStart w:id="1302" w:name="_Toc9738"/>
      <w:bookmarkStart w:id="1303" w:name="_Toc12347"/>
      <w:bookmarkStart w:id="1304" w:name="_Toc296"/>
      <w:r>
        <w:rPr>
          <w:rFonts w:hint="eastAsia"/>
        </w:rPr>
        <w:t>（三）评价过程</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pPr>
        <w:pStyle w:val="4"/>
        <w:ind w:firstLine="643"/>
        <w:rPr>
          <w:rFonts w:hint="eastAsia" w:ascii="楷体" w:hAnsi="楷体" w:cs="楷体"/>
        </w:rPr>
      </w:pPr>
      <w:bookmarkStart w:id="1305" w:name="_Toc26030"/>
      <w:bookmarkStart w:id="1306" w:name="_Toc6639"/>
      <w:bookmarkStart w:id="1307" w:name="_Toc32481"/>
      <w:bookmarkStart w:id="1308" w:name="_Toc12355"/>
      <w:bookmarkStart w:id="1309" w:name="_Toc28145"/>
      <w:bookmarkStart w:id="1310" w:name="_Toc13384"/>
      <w:bookmarkStart w:id="1311" w:name="_Toc4103"/>
      <w:bookmarkStart w:id="1312" w:name="_Toc25329"/>
      <w:r>
        <w:rPr>
          <w:rFonts w:hint="eastAsia" w:ascii="楷体" w:hAnsi="楷体" w:cs="楷体"/>
        </w:rPr>
        <w:t>1.准备阶段</w:t>
      </w:r>
      <w:bookmarkEnd w:id="1305"/>
      <w:bookmarkEnd w:id="1306"/>
      <w:bookmarkEnd w:id="1307"/>
      <w:bookmarkEnd w:id="1308"/>
      <w:bookmarkEnd w:id="1309"/>
      <w:bookmarkEnd w:id="1310"/>
      <w:bookmarkEnd w:id="1311"/>
      <w:bookmarkEnd w:id="1312"/>
    </w:p>
    <w:p>
      <w:pPr>
        <w:autoSpaceDE w:val="0"/>
        <w:autoSpaceDN w:val="0"/>
        <w:ind w:firstLine="640"/>
        <w:rPr>
          <w:rFonts w:hint="eastAsia" w:ascii="仿宋" w:hAnsi="仿宋" w:cs="仿宋"/>
          <w:szCs w:val="32"/>
        </w:rPr>
      </w:pPr>
      <w:r>
        <w:rPr>
          <w:rFonts w:hint="eastAsia" w:ascii="仿宋" w:hAnsi="仿宋" w:cs="仿宋"/>
          <w:kern w:val="0"/>
          <w:szCs w:val="32"/>
          <w:lang w:bidi="ar"/>
        </w:rPr>
        <w:t>为保障此次绩效评价工作的顺利开展，我们成立了绩效评价小组并召开评价工作启动会，对高新区市政中心进行预调研，制定评价工作方案，设置评价指标体系及评分表。</w:t>
      </w:r>
    </w:p>
    <w:p>
      <w:pPr>
        <w:pStyle w:val="4"/>
        <w:ind w:firstLine="643"/>
        <w:rPr>
          <w:rFonts w:hint="eastAsia" w:ascii="楷体" w:hAnsi="楷体" w:cs="楷体"/>
        </w:rPr>
      </w:pPr>
      <w:bookmarkStart w:id="1313" w:name="_Toc5076"/>
      <w:bookmarkStart w:id="1314" w:name="_Toc4586"/>
      <w:bookmarkStart w:id="1315" w:name="_Toc31774"/>
      <w:bookmarkStart w:id="1316" w:name="_Toc14288"/>
      <w:bookmarkStart w:id="1317" w:name="_Toc7523"/>
      <w:bookmarkStart w:id="1318" w:name="_Toc27026"/>
      <w:bookmarkStart w:id="1319" w:name="_Toc32194"/>
      <w:r>
        <w:rPr>
          <w:rFonts w:hint="eastAsia" w:ascii="楷体" w:hAnsi="楷体" w:cs="楷体"/>
        </w:rPr>
        <w:t>2.实施阶段</w:t>
      </w:r>
      <w:bookmarkEnd w:id="1313"/>
      <w:bookmarkEnd w:id="1314"/>
      <w:bookmarkEnd w:id="1315"/>
      <w:bookmarkEnd w:id="1316"/>
      <w:bookmarkEnd w:id="1317"/>
      <w:bookmarkEnd w:id="1318"/>
      <w:bookmarkEnd w:id="1319"/>
    </w:p>
    <w:p>
      <w:pPr>
        <w:autoSpaceDE w:val="0"/>
        <w:autoSpaceDN w:val="0"/>
        <w:ind w:firstLine="640"/>
        <w:rPr>
          <w:rFonts w:hint="eastAsia" w:ascii="仿宋" w:hAnsi="仿宋" w:cs="仿宋"/>
          <w:kern w:val="0"/>
          <w:szCs w:val="32"/>
          <w:lang w:bidi="ar"/>
        </w:rPr>
      </w:pPr>
      <w:r>
        <w:rPr>
          <w:rFonts w:hint="eastAsia" w:ascii="仿宋" w:hAnsi="仿宋" w:cs="仿宋"/>
          <w:kern w:val="0"/>
          <w:szCs w:val="32"/>
          <w:lang w:bidi="ar"/>
        </w:rPr>
        <w:t>绩效评价小组按绩效工作安排在遂宁高新区财政金融局领导带领下进驻被评价单位，开展进场评价工作会议，听取了高新区市政中心对高新区市政中心绩效目标设定及完成程度，组织管理制度建立健全及落实情况，预算支出执行情况，财务管理状况，资产管理情况和预算支出执行产生的效益效果等情况介绍。遂宁高新区财政金融局领导提出本次工作目的和工作要求，指示实地评价的科学性、规范性、客观性、公正性、独立性原则。</w:t>
      </w:r>
    </w:p>
    <w:p>
      <w:pPr>
        <w:overflowPunct w:val="0"/>
        <w:autoSpaceDE w:val="0"/>
        <w:autoSpaceDN w:val="0"/>
        <w:ind w:firstLine="640"/>
        <w:rPr>
          <w:rFonts w:hint="eastAsia" w:ascii="仿宋" w:hAnsi="仿宋" w:cs="仿宋"/>
          <w:kern w:val="0"/>
          <w:szCs w:val="32"/>
          <w:lang w:bidi="ar"/>
        </w:rPr>
      </w:pPr>
      <w:r>
        <w:rPr>
          <w:rFonts w:hint="eastAsia" w:ascii="仿宋" w:hAnsi="仿宋" w:cs="仿宋"/>
          <w:kern w:val="0"/>
          <w:szCs w:val="32"/>
          <w:lang w:bidi="ar"/>
        </w:rPr>
        <w:t>入场后，我方收取现场评价资料，进行现场资料分析，复核预算收支情况，查看部门工作现场，核实单位资产规模和管理情况，结合资料实地查看部门工作实际完成状态和规模，核实各项资产保存管理状况，评价部门管理状态，查验单位工作实施的真实性和规范性，检验已完成工作的运行效果。对各部门履行职责情况的公众满意度进行调查，对具有明确受益对象的评价，根据需要收集的评价数据设置调查表并认真做好调查表的发放与回收工作。</w:t>
      </w:r>
    </w:p>
    <w:p>
      <w:pPr>
        <w:pStyle w:val="4"/>
        <w:ind w:firstLine="643"/>
        <w:rPr>
          <w:rFonts w:hint="eastAsia" w:ascii="楷体" w:hAnsi="楷体" w:cs="楷体"/>
        </w:rPr>
      </w:pPr>
      <w:bookmarkStart w:id="1320" w:name="_Toc5714"/>
      <w:bookmarkStart w:id="1321" w:name="_Toc4013"/>
      <w:bookmarkStart w:id="1322" w:name="_Toc30337"/>
      <w:bookmarkStart w:id="1323" w:name="_Toc10626"/>
      <w:bookmarkStart w:id="1324" w:name="_Toc10591"/>
      <w:bookmarkStart w:id="1325" w:name="_Toc8659"/>
      <w:bookmarkStart w:id="1326" w:name="_Toc20911"/>
      <w:bookmarkStart w:id="1327" w:name="_Toc2175"/>
      <w:r>
        <w:rPr>
          <w:rFonts w:hint="eastAsia" w:ascii="楷体" w:hAnsi="楷体" w:cs="楷体"/>
        </w:rPr>
        <w:t>3.分析评价</w:t>
      </w:r>
      <w:bookmarkEnd w:id="1320"/>
      <w:bookmarkEnd w:id="1321"/>
      <w:bookmarkEnd w:id="1322"/>
      <w:bookmarkEnd w:id="1323"/>
      <w:bookmarkEnd w:id="1324"/>
    </w:p>
    <w:p>
      <w:pPr>
        <w:pStyle w:val="9"/>
        <w:overflowPunct w:val="0"/>
        <w:autoSpaceDE w:val="0"/>
        <w:autoSpaceDN w:val="0"/>
        <w:adjustRightInd w:val="0"/>
        <w:snapToGrid w:val="0"/>
        <w:ind w:firstLine="640"/>
        <w:textAlignment w:val="baseline"/>
        <w:rPr>
          <w:rFonts w:hint="eastAsia" w:ascii="仿宋" w:hAnsi="仿宋" w:cs="仿宋"/>
          <w:szCs w:val="32"/>
        </w:rPr>
      </w:pPr>
      <w:r>
        <w:rPr>
          <w:rFonts w:hint="eastAsia" w:ascii="仿宋" w:hAnsi="仿宋" w:cs="仿宋"/>
          <w:szCs w:val="32"/>
        </w:rPr>
        <w:t>一是合理设置评价指标体系。从决策、过程、产出、效益四个方面对部门的各项支出总体实施成效情况进行评价。二是采取定性描述和定量分析的方法，对各项规划编制进行单一评价，评价组对自评表相关数据进行分析，对资金的投入与产出的效果进行对比，初步形成绩效评价综合结论。</w:t>
      </w:r>
    </w:p>
    <w:p>
      <w:pPr>
        <w:pStyle w:val="4"/>
        <w:ind w:firstLine="643"/>
        <w:rPr>
          <w:rFonts w:hint="eastAsia" w:ascii="楷体" w:hAnsi="楷体" w:cs="楷体"/>
        </w:rPr>
      </w:pPr>
      <w:bookmarkStart w:id="1328" w:name="_Toc2949"/>
      <w:bookmarkStart w:id="1329" w:name="_Toc9766"/>
      <w:r>
        <w:rPr>
          <w:rFonts w:hint="eastAsia" w:ascii="楷体" w:hAnsi="楷体" w:cs="楷体"/>
        </w:rPr>
        <w:t>4.绩效评价报告</w:t>
      </w:r>
      <w:bookmarkEnd w:id="1328"/>
      <w:bookmarkEnd w:id="1329"/>
    </w:p>
    <w:p>
      <w:pPr>
        <w:pStyle w:val="5"/>
        <w:ind w:firstLine="643"/>
        <w:rPr>
          <w:rFonts w:hint="eastAsia" w:ascii="仿宋" w:hAnsi="仿宋" w:eastAsia="仿宋" w:cs="仿宋"/>
        </w:rPr>
      </w:pPr>
      <w:bookmarkStart w:id="1330" w:name="_Toc15611"/>
      <w:bookmarkStart w:id="1331" w:name="_Toc30245"/>
      <w:bookmarkStart w:id="1332" w:name="_Toc14461"/>
      <w:bookmarkStart w:id="1333" w:name="_Toc23145"/>
      <w:r>
        <w:rPr>
          <w:rFonts w:hint="eastAsia" w:ascii="仿宋" w:hAnsi="仿宋" w:eastAsia="仿宋" w:cs="仿宋"/>
        </w:rPr>
        <w:t>（1）撰写绩效评价报告</w:t>
      </w:r>
      <w:bookmarkEnd w:id="1330"/>
      <w:bookmarkEnd w:id="1331"/>
      <w:bookmarkEnd w:id="1332"/>
      <w:bookmarkEnd w:id="1333"/>
    </w:p>
    <w:p>
      <w:pPr>
        <w:autoSpaceDE w:val="0"/>
        <w:autoSpaceDN w:val="0"/>
        <w:ind w:firstLine="640"/>
        <w:rPr>
          <w:rFonts w:hint="eastAsia" w:ascii="仿宋" w:hAnsi="仿宋" w:cs="仿宋"/>
          <w:szCs w:val="32"/>
        </w:rPr>
      </w:pPr>
      <w:r>
        <w:rPr>
          <w:rFonts w:hint="eastAsia" w:ascii="仿宋" w:hAnsi="仿宋" w:cs="仿宋"/>
          <w:kern w:val="0"/>
          <w:szCs w:val="32"/>
          <w:lang w:bidi="ar"/>
        </w:rPr>
        <w:t>绩效评价报告的具体格式由财政部门统一制定，绩效评价人员按照规定的文本格式和协议要求撰写绩效评价报告，做到依据充分、数据真实、内容完整、客观公正、结论明确、建议可行。</w:t>
      </w:r>
    </w:p>
    <w:p>
      <w:pPr>
        <w:pStyle w:val="5"/>
        <w:ind w:firstLine="643"/>
        <w:rPr>
          <w:rFonts w:hint="eastAsia" w:ascii="仿宋" w:hAnsi="仿宋" w:eastAsia="仿宋" w:cs="仿宋"/>
        </w:rPr>
      </w:pPr>
      <w:bookmarkStart w:id="1334" w:name="_Toc30550"/>
      <w:bookmarkStart w:id="1335" w:name="_Toc24808"/>
      <w:bookmarkStart w:id="1336" w:name="_Toc188"/>
      <w:bookmarkStart w:id="1337" w:name="_Toc29611"/>
      <w:r>
        <w:rPr>
          <w:rFonts w:hint="eastAsia" w:ascii="仿宋" w:hAnsi="仿宋" w:eastAsia="仿宋" w:cs="仿宋"/>
        </w:rPr>
        <w:t>（2）绩效评价报告交换意见</w:t>
      </w:r>
      <w:bookmarkEnd w:id="1334"/>
      <w:bookmarkEnd w:id="1335"/>
      <w:bookmarkEnd w:id="1336"/>
      <w:bookmarkEnd w:id="1337"/>
    </w:p>
    <w:p>
      <w:pPr>
        <w:autoSpaceDE w:val="0"/>
        <w:autoSpaceDN w:val="0"/>
        <w:ind w:firstLine="640"/>
        <w:rPr>
          <w:rFonts w:hint="eastAsia" w:ascii="仿宋" w:hAnsi="仿宋" w:cs="仿宋"/>
          <w:kern w:val="0"/>
          <w:szCs w:val="32"/>
          <w:lang w:bidi="ar"/>
        </w:rPr>
      </w:pPr>
      <w:r>
        <w:rPr>
          <w:rFonts w:hint="eastAsia" w:ascii="仿宋" w:hAnsi="仿宋" w:cs="仿宋"/>
          <w:kern w:val="0"/>
          <w:szCs w:val="32"/>
          <w:lang w:bidi="ar"/>
        </w:rPr>
        <w:t>绩效评价报告初稿完成后，根据反馈的有效意见对评价报告进行修改。如对评价报告存在意见分歧，经协商仍不能取得一致的，评价组在出具正式绩效评价报告时须同时提交被评价单位的不同意见。</w:t>
      </w:r>
    </w:p>
    <w:p>
      <w:pPr>
        <w:pStyle w:val="5"/>
        <w:ind w:firstLine="643"/>
        <w:rPr>
          <w:rFonts w:hint="eastAsia" w:ascii="仿宋" w:hAnsi="仿宋" w:cs="仿宋"/>
          <w:b/>
          <w:bCs/>
        </w:rPr>
      </w:pPr>
      <w:bookmarkStart w:id="1338" w:name="_Toc5217"/>
      <w:bookmarkStart w:id="1339" w:name="_Toc7842"/>
      <w:bookmarkStart w:id="1340" w:name="_Toc20278"/>
      <w:bookmarkStart w:id="1341" w:name="_Toc15892"/>
      <w:r>
        <w:rPr>
          <w:rFonts w:hint="eastAsia" w:ascii="仿宋" w:hAnsi="仿宋" w:cs="仿宋"/>
          <w:b/>
          <w:bCs/>
        </w:rPr>
        <w:t>（3）提交绩效评价报告</w:t>
      </w:r>
      <w:bookmarkEnd w:id="1338"/>
      <w:bookmarkEnd w:id="1339"/>
      <w:bookmarkEnd w:id="1340"/>
      <w:bookmarkEnd w:id="1341"/>
    </w:p>
    <w:p>
      <w:pPr>
        <w:autoSpaceDE w:val="0"/>
        <w:autoSpaceDN w:val="0"/>
        <w:ind w:firstLine="640"/>
        <w:rPr>
          <w:rFonts w:hint="eastAsia" w:ascii="仿宋" w:hAnsi="仿宋" w:cs="仿宋"/>
          <w:szCs w:val="32"/>
        </w:rPr>
      </w:pPr>
      <w:r>
        <w:rPr>
          <w:rFonts w:hint="eastAsia" w:ascii="仿宋" w:hAnsi="仿宋" w:eastAsia="仿宋" w:cs="仿宋"/>
          <w:b w:val="0"/>
          <w:bCs w:val="0"/>
          <w:sz w:val="32"/>
          <w:szCs w:val="32"/>
        </w:rPr>
        <w:t>出具遂宁市高新区市政公用事务中心2023年度部门整体支出绩效评价报告</w:t>
      </w:r>
      <w:r>
        <w:rPr>
          <w:rFonts w:hint="eastAsia" w:ascii="仿宋" w:hAnsi="仿宋" w:cs="仿宋"/>
          <w:kern w:val="44"/>
          <w:szCs w:val="32"/>
          <w:lang w:bidi="ar"/>
        </w:rPr>
        <w:t>。</w:t>
      </w:r>
    </w:p>
    <w:bookmarkEnd w:id="1325"/>
    <w:bookmarkEnd w:id="1326"/>
    <w:bookmarkEnd w:id="1327"/>
    <w:p>
      <w:pPr>
        <w:pStyle w:val="2"/>
        <w:spacing w:before="0" w:after="0"/>
        <w:ind w:firstLine="640"/>
        <w:rPr>
          <w:rFonts w:hint="eastAsia" w:ascii="黑体" w:hAnsi="黑体" w:cs="黑体"/>
        </w:rPr>
      </w:pPr>
      <w:bookmarkStart w:id="1342" w:name="_Toc29075"/>
      <w:bookmarkStart w:id="1343" w:name="_Toc30004"/>
      <w:bookmarkStart w:id="1344" w:name="_Toc26146"/>
      <w:bookmarkStart w:id="1345" w:name="_Toc25067"/>
      <w:bookmarkStart w:id="1346" w:name="_Toc22877"/>
      <w:bookmarkStart w:id="1347" w:name="_Toc31094"/>
      <w:bookmarkStart w:id="1348" w:name="_Toc13830"/>
      <w:bookmarkStart w:id="1349" w:name="_Toc4533"/>
      <w:bookmarkStart w:id="1350" w:name="_Toc7328"/>
      <w:bookmarkStart w:id="1351" w:name="_Toc24134"/>
      <w:bookmarkStart w:id="1352" w:name="_Toc29705"/>
      <w:bookmarkStart w:id="1353" w:name="_Toc3601"/>
      <w:bookmarkStart w:id="1354" w:name="_Toc32071"/>
      <w:bookmarkStart w:id="1355" w:name="_Toc31420"/>
      <w:bookmarkStart w:id="1356" w:name="_Toc18360"/>
      <w:bookmarkStart w:id="1357" w:name="_Toc13409"/>
      <w:bookmarkStart w:id="1358" w:name="_Toc16548"/>
      <w:bookmarkStart w:id="1359" w:name="_Toc30184"/>
      <w:bookmarkStart w:id="1360" w:name="_Toc21733"/>
      <w:bookmarkStart w:id="1361" w:name="_Toc5050"/>
      <w:bookmarkStart w:id="1362" w:name="_Toc19679"/>
      <w:bookmarkStart w:id="1363" w:name="_Toc29441"/>
      <w:bookmarkStart w:id="1364" w:name="_Toc2383"/>
      <w:bookmarkStart w:id="1365" w:name="_Toc30399"/>
      <w:bookmarkStart w:id="1366" w:name="_Toc12261"/>
      <w:bookmarkStart w:id="1367" w:name="_Toc23295"/>
      <w:r>
        <w:rPr>
          <w:rFonts w:hint="eastAsia" w:ascii="黑体" w:hAnsi="黑体" w:cs="黑体"/>
          <w:b w:val="0"/>
          <w:bCs w:val="0"/>
        </w:rPr>
        <w:t>四、指标体系</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pPr>
        <w:pStyle w:val="3"/>
        <w:keepLines w:val="0"/>
        <w:autoSpaceDE w:val="0"/>
        <w:autoSpaceDN w:val="0"/>
        <w:spacing w:before="0" w:beforeLines="0"/>
        <w:ind w:firstLine="643"/>
        <w:rPr>
          <w:rFonts w:hint="eastAsia" w:ascii="仿宋" w:hAnsi="仿宋" w:eastAsia="仿宋" w:cs="仿宋"/>
        </w:rPr>
      </w:pPr>
      <w:bookmarkStart w:id="1368" w:name="_Toc18510"/>
      <w:bookmarkStart w:id="1369" w:name="_Toc13087"/>
      <w:bookmarkStart w:id="1370" w:name="_Toc15238"/>
      <w:bookmarkStart w:id="1371" w:name="_Toc1605"/>
      <w:bookmarkStart w:id="1372" w:name="_Toc31620"/>
      <w:bookmarkStart w:id="1373" w:name="_Toc24422"/>
      <w:bookmarkStart w:id="1374" w:name="_Toc14045"/>
      <w:bookmarkStart w:id="1375" w:name="_Toc17820"/>
      <w:bookmarkStart w:id="1376" w:name="_Toc27122"/>
      <w:bookmarkStart w:id="1377" w:name="_Toc15672"/>
      <w:bookmarkStart w:id="1378" w:name="_Toc13972"/>
      <w:bookmarkStart w:id="1379" w:name="_Toc18526"/>
      <w:bookmarkStart w:id="1380" w:name="_Toc16861"/>
      <w:bookmarkStart w:id="1381" w:name="_Toc25284"/>
      <w:bookmarkStart w:id="1382" w:name="_Toc15401"/>
      <w:bookmarkStart w:id="1383" w:name="_Toc19969"/>
      <w:bookmarkStart w:id="1384" w:name="_Toc30788"/>
      <w:bookmarkStart w:id="1385" w:name="_Toc16767"/>
      <w:bookmarkStart w:id="1386" w:name="_Toc22152"/>
      <w:bookmarkStart w:id="1387" w:name="_Toc19359"/>
      <w:bookmarkStart w:id="1388" w:name="_Toc20179"/>
      <w:bookmarkStart w:id="1389" w:name="_Toc27643"/>
      <w:bookmarkStart w:id="1390" w:name="_Toc19690"/>
      <w:bookmarkStart w:id="1391" w:name="_Toc9468"/>
      <w:bookmarkStart w:id="1392" w:name="_Toc26883"/>
      <w:bookmarkStart w:id="1393" w:name="_Toc5824"/>
      <w:bookmarkStart w:id="1394" w:name="_Toc24657"/>
      <w:bookmarkStart w:id="1395" w:name="_Toc2259"/>
      <w:bookmarkStart w:id="1396" w:name="_Toc18977"/>
      <w:bookmarkStart w:id="1397" w:name="_Toc16962"/>
      <w:bookmarkStart w:id="1398" w:name="_Toc6177"/>
      <w:bookmarkStart w:id="1399" w:name="_Toc12565"/>
      <w:r>
        <w:rPr>
          <w:rFonts w:hint="eastAsia" w:ascii="仿宋_GB2312" w:hAnsi="仿宋_GB2312" w:cs="仿宋_GB2312"/>
        </w:rPr>
        <w:t>（一）评价指标的构建思路及分值分布</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pPr>
        <w:autoSpaceDE w:val="0"/>
        <w:autoSpaceDN w:val="0"/>
        <w:ind w:firstLine="640"/>
        <w:rPr>
          <w:rFonts w:hint="eastAsia" w:ascii="仿宋" w:hAnsi="仿宋" w:cs="仿宋"/>
          <w:szCs w:val="32"/>
        </w:rPr>
      </w:pPr>
      <w:r>
        <w:rPr>
          <w:rFonts w:hint="eastAsia" w:ascii="仿宋" w:hAnsi="仿宋" w:cs="仿宋"/>
          <w:szCs w:val="32"/>
        </w:rPr>
        <w:t>绩效评价指标是衡量绩效目标实现程度的考核工具。通过将绩效业绩指标化，获取具有针对性的业绩值，为开展绩效评价工作提供基础。绩效评价指标应当充分体现和真实反映部门的绩效目标的完成情况及评价的政策需要。绩效评价指标体系通常包括具体指标、指标权重、指标解释、数据来源、评价标准及评分方法等。</w:t>
      </w:r>
    </w:p>
    <w:p>
      <w:pPr>
        <w:autoSpaceDE w:val="0"/>
        <w:autoSpaceDN w:val="0"/>
        <w:ind w:firstLine="640"/>
        <w:rPr>
          <w:rFonts w:hint="eastAsia" w:ascii="仿宋" w:hAnsi="仿宋" w:cs="仿宋"/>
          <w:szCs w:val="32"/>
        </w:rPr>
      </w:pPr>
      <w:r>
        <w:rPr>
          <w:rFonts w:hint="eastAsia" w:ascii="仿宋" w:hAnsi="仿宋" w:cs="仿宋"/>
          <w:szCs w:val="32"/>
        </w:rPr>
        <w:t>本次绩效评价对象为高新区市政中心整体支出，针对高新区市政中心的绩效指标体系建立是本次部门整体绩效综合评价的一个关键模块，在确定高新区市政中心整体支出绩效评价指标方面，我们主要考虑到三个重点：一是设置合理的绩效指标，绩效指标要能够准确清晰地反映高新区市政中心履职效果，需尽量设置为可衡量、可考核的清晰明确的指标，指标值需具有约束力；二是确定特性指标恰当的指标权重，依据相关原则，结合专家经验对各项指标重要程度进行研判，并匹配相应权重；三是针对高新区市政中心业务特点、高新区市政中心制度改革与事业发展实际建立适当评价标准，组合使用定性标准与定量标准。</w:t>
      </w:r>
    </w:p>
    <w:p>
      <w:pPr>
        <w:autoSpaceDE w:val="0"/>
        <w:autoSpaceDN w:val="0"/>
        <w:ind w:firstLine="640"/>
        <w:rPr>
          <w:rFonts w:hint="eastAsia" w:ascii="仿宋" w:hAnsi="仿宋" w:cs="仿宋"/>
          <w:szCs w:val="32"/>
        </w:rPr>
      </w:pPr>
      <w:r>
        <w:rPr>
          <w:rFonts w:hint="eastAsia" w:ascii="仿宋" w:hAnsi="仿宋" w:cs="仿宋"/>
          <w:kern w:val="0"/>
          <w:szCs w:val="32"/>
          <w:lang w:bidi="ar"/>
        </w:rPr>
        <w:t>绩效评价指标构建思路，绩效评价标准是指衡量绩效目标完成程度的尺度。本次评价以</w:t>
      </w:r>
      <w:r>
        <w:rPr>
          <w:rFonts w:hint="eastAsia" w:ascii="仿宋" w:hAnsi="仿宋" w:cs="仿宋"/>
          <w:szCs w:val="32"/>
        </w:rPr>
        <w:t>高新区市政中心</w:t>
      </w:r>
      <w:r>
        <w:rPr>
          <w:rFonts w:hint="eastAsia" w:ascii="仿宋" w:hAnsi="仿宋" w:cs="仿宋"/>
          <w:kern w:val="0"/>
          <w:szCs w:val="32"/>
          <w:lang w:bidi="ar"/>
        </w:rPr>
        <w:t>的单位职责和国家政策导向为基础，结合行业、规模、历史经验和专家评价意见等确定绩效评价标准。本次针对</w:t>
      </w:r>
      <w:r>
        <w:rPr>
          <w:rFonts w:hint="eastAsia" w:ascii="仿宋" w:hAnsi="仿宋" w:cs="仿宋"/>
          <w:szCs w:val="32"/>
        </w:rPr>
        <w:t>高新区市政中心</w:t>
      </w:r>
      <w:r>
        <w:rPr>
          <w:rFonts w:hint="eastAsia" w:ascii="仿宋" w:hAnsi="仿宋" w:cs="仿宋"/>
          <w:kern w:val="0"/>
          <w:szCs w:val="32"/>
          <w:lang w:bidi="ar"/>
        </w:rPr>
        <w:t>整体支出绩效评价指标采用的标准包括：计划标准，即以预先制定的目标、计划、预算、定额等数据作为评价的标准；行业标准，即参照国家公布的行业指标数据制定的评价标准；历史标准，指参照同类指标的历史数据制定的评价标准，为体现绩效改进的原则，在可实现的条件下确定相对较高的评价标准；其他经财政部门确认的标准。绩效评价指标的权重是指标在评价体系中的相对重要程度。权重表示在评价过程中，对评价对象不同侧面重要程度的定量分配，以区别对待各级评价指标在总体评价中的作用。</w:t>
      </w:r>
    </w:p>
    <w:p>
      <w:pPr>
        <w:autoSpaceDE w:val="0"/>
        <w:autoSpaceDN w:val="0"/>
        <w:ind w:firstLine="640"/>
        <w:rPr>
          <w:rFonts w:hint="eastAsia" w:ascii="仿宋" w:hAnsi="仿宋" w:cs="仿宋"/>
          <w:szCs w:val="32"/>
        </w:rPr>
      </w:pPr>
      <w:r>
        <w:rPr>
          <w:rFonts w:hint="eastAsia" w:ascii="仿宋" w:hAnsi="仿宋" w:cs="仿宋"/>
          <w:kern w:val="0"/>
          <w:szCs w:val="32"/>
          <w:lang w:bidi="ar"/>
        </w:rPr>
        <w:t>结合</w:t>
      </w:r>
      <w:r>
        <w:rPr>
          <w:rFonts w:hint="eastAsia" w:ascii="仿宋" w:hAnsi="仿宋" w:cs="仿宋"/>
          <w:szCs w:val="32"/>
        </w:rPr>
        <w:t>高新区市政中心</w:t>
      </w:r>
      <w:r>
        <w:rPr>
          <w:rFonts w:hint="eastAsia" w:ascii="仿宋" w:hAnsi="仿宋" w:cs="仿宋"/>
          <w:kern w:val="0"/>
          <w:szCs w:val="32"/>
          <w:lang w:bidi="ar"/>
        </w:rPr>
        <w:t>实际情况，我方在符合国家规定的部门整体支出绩效评价指标框架要求的前提下，细化了资金使用配置、目标规划、管理效率、运行成本、履职效能和可持续方面等方面指标权重，根据</w:t>
      </w:r>
      <w:r>
        <w:rPr>
          <w:rFonts w:hint="eastAsia" w:ascii="仿宋" w:hAnsi="仿宋" w:cs="仿宋"/>
          <w:szCs w:val="32"/>
        </w:rPr>
        <w:t>高新区市政中心</w:t>
      </w:r>
      <w:r>
        <w:rPr>
          <w:rFonts w:hint="eastAsia" w:ascii="仿宋" w:hAnsi="仿宋" w:cs="仿宋"/>
          <w:kern w:val="0"/>
          <w:szCs w:val="32"/>
          <w:lang w:bidi="ar"/>
        </w:rPr>
        <w:t>的特点针对性强化了指标考核权重。</w:t>
      </w:r>
    </w:p>
    <w:p>
      <w:pPr>
        <w:pStyle w:val="3"/>
        <w:keepLines w:val="0"/>
        <w:autoSpaceDE w:val="0"/>
        <w:autoSpaceDN w:val="0"/>
        <w:spacing w:before="0" w:beforeLines="0"/>
        <w:ind w:firstLine="643"/>
        <w:rPr>
          <w:rFonts w:hint="eastAsia" w:ascii="仿宋_GB2312" w:hAnsi="仿宋_GB2312" w:cs="仿宋_GB2312"/>
        </w:rPr>
      </w:pPr>
      <w:bookmarkStart w:id="1400" w:name="_Toc17114"/>
      <w:bookmarkStart w:id="1401" w:name="_Toc21465"/>
      <w:bookmarkStart w:id="1402" w:name="_Toc12058"/>
      <w:bookmarkStart w:id="1403" w:name="_Toc5899"/>
      <w:bookmarkStart w:id="1404" w:name="_Toc26080"/>
      <w:bookmarkStart w:id="1405" w:name="_Toc6447"/>
      <w:bookmarkStart w:id="1406" w:name="_Toc23142"/>
      <w:bookmarkStart w:id="1407" w:name="_Toc22078"/>
      <w:bookmarkStart w:id="1408" w:name="_Toc7528"/>
      <w:bookmarkStart w:id="1409" w:name="_Toc8557"/>
      <w:bookmarkStart w:id="1410" w:name="_Toc24664"/>
      <w:bookmarkStart w:id="1411" w:name="_Toc28562"/>
      <w:bookmarkStart w:id="1412" w:name="_Toc27582"/>
      <w:bookmarkStart w:id="1413" w:name="_Toc15980"/>
      <w:bookmarkStart w:id="1414" w:name="_Toc32031"/>
      <w:bookmarkStart w:id="1415" w:name="_Toc29141"/>
      <w:bookmarkStart w:id="1416" w:name="_Toc5757"/>
      <w:bookmarkStart w:id="1417" w:name="_Toc4756"/>
      <w:bookmarkStart w:id="1418" w:name="_Toc6962"/>
      <w:bookmarkStart w:id="1419" w:name="_Toc20465"/>
      <w:bookmarkStart w:id="1420" w:name="_Toc11083"/>
      <w:bookmarkStart w:id="1421" w:name="_Toc9680"/>
      <w:bookmarkStart w:id="1422" w:name="_Toc24511"/>
      <w:bookmarkStart w:id="1423" w:name="_Toc6982"/>
      <w:bookmarkStart w:id="1424" w:name="_Toc16016"/>
      <w:bookmarkStart w:id="1425" w:name="_Toc18344"/>
      <w:bookmarkStart w:id="1426" w:name="_Toc32182"/>
      <w:bookmarkStart w:id="1427" w:name="_Toc6459"/>
      <w:bookmarkStart w:id="1428" w:name="_Toc10783"/>
      <w:bookmarkStart w:id="1429" w:name="_Toc5884"/>
      <w:bookmarkStart w:id="1430" w:name="_Toc14803"/>
      <w:bookmarkStart w:id="1431" w:name="_Toc7506"/>
      <w:bookmarkStart w:id="1432" w:name="_Toc24709"/>
      <w:r>
        <w:rPr>
          <w:rFonts w:hint="eastAsia" w:ascii="仿宋_GB2312" w:hAnsi="仿宋_GB2312" w:cs="仿宋_GB2312"/>
        </w:rPr>
        <w:t>（二）评价等级</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pPr>
        <w:autoSpaceDE w:val="0"/>
        <w:autoSpaceDN w:val="0"/>
        <w:ind w:firstLine="640"/>
        <w:rPr>
          <w:rFonts w:hint="eastAsia" w:ascii="仿宋" w:hAnsi="仿宋" w:cs="仿宋"/>
          <w:szCs w:val="32"/>
        </w:rPr>
      </w:pPr>
      <w:r>
        <w:rPr>
          <w:rFonts w:hint="eastAsia" w:ascii="仿宋" w:hAnsi="仿宋" w:cs="仿宋"/>
          <w:szCs w:val="32"/>
        </w:rPr>
        <w:t>结合部门主要职能、部门工作内容以及部门的项目特点，绩效评价小组在与专家组充分沟通的基础上，拟定本次高新区市政中心部门整体支出绩效评价指标体系。高新区市政中心整体支出绩效评价指标体系下设投入、过程、产出和效果4个一级指标、13个二级指标、41个三级指标。</w:t>
      </w:r>
    </w:p>
    <w:p>
      <w:pPr>
        <w:autoSpaceDE w:val="0"/>
        <w:autoSpaceDN w:val="0"/>
        <w:ind w:firstLine="640"/>
        <w:rPr>
          <w:rFonts w:hint="eastAsia" w:ascii="仿宋" w:hAnsi="仿宋" w:cs="仿宋"/>
          <w:szCs w:val="32"/>
        </w:rPr>
      </w:pPr>
      <w:r>
        <w:rPr>
          <w:rFonts w:hint="eastAsia" w:ascii="仿宋" w:hAnsi="仿宋" w:cs="仿宋"/>
          <w:szCs w:val="32"/>
        </w:rPr>
        <w:t>绩效评价结果分4个等级</w:t>
      </w:r>
      <w:r>
        <w:rPr>
          <w:rFonts w:hint="eastAsia" w:ascii="仿宋" w:hAnsi="仿宋" w:cs="仿宋"/>
          <w:kern w:val="0"/>
          <w:szCs w:val="32"/>
          <w:lang w:bidi="ar"/>
        </w:rPr>
        <w:t>：</w:t>
      </w:r>
    </w:p>
    <w:p>
      <w:pPr>
        <w:autoSpaceDE w:val="0"/>
        <w:autoSpaceDN w:val="0"/>
        <w:ind w:firstLine="640"/>
        <w:rPr>
          <w:rFonts w:hint="eastAsia" w:ascii="仿宋" w:hAnsi="仿宋" w:cs="仿宋"/>
          <w:szCs w:val="32"/>
        </w:rPr>
      </w:pPr>
      <w:r>
        <w:rPr>
          <w:rFonts w:hint="eastAsia" w:ascii="仿宋" w:hAnsi="仿宋" w:cs="仿宋"/>
          <w:kern w:val="0"/>
          <w:szCs w:val="32"/>
          <w:lang w:bidi="ar"/>
        </w:rPr>
        <w:t>综合得分在90（含）-100分为“优”；</w:t>
      </w:r>
    </w:p>
    <w:p>
      <w:pPr>
        <w:autoSpaceDE w:val="0"/>
        <w:autoSpaceDN w:val="0"/>
        <w:ind w:firstLine="640"/>
        <w:rPr>
          <w:rFonts w:hint="eastAsia" w:ascii="仿宋" w:hAnsi="仿宋" w:cs="仿宋"/>
          <w:szCs w:val="32"/>
        </w:rPr>
      </w:pPr>
      <w:r>
        <w:rPr>
          <w:rFonts w:hint="eastAsia" w:ascii="仿宋" w:hAnsi="仿宋" w:cs="仿宋"/>
          <w:kern w:val="0"/>
          <w:szCs w:val="32"/>
          <w:lang w:bidi="ar"/>
        </w:rPr>
        <w:t>综合得分在80（含）-90分为“良”；</w:t>
      </w:r>
    </w:p>
    <w:p>
      <w:pPr>
        <w:autoSpaceDE w:val="0"/>
        <w:autoSpaceDN w:val="0"/>
        <w:ind w:firstLine="640"/>
        <w:rPr>
          <w:rFonts w:hint="eastAsia" w:ascii="仿宋" w:hAnsi="仿宋" w:cs="仿宋"/>
          <w:szCs w:val="32"/>
        </w:rPr>
      </w:pPr>
      <w:r>
        <w:rPr>
          <w:rFonts w:hint="eastAsia" w:ascii="仿宋" w:hAnsi="仿宋" w:cs="仿宋"/>
          <w:kern w:val="0"/>
          <w:szCs w:val="32"/>
          <w:lang w:bidi="ar"/>
        </w:rPr>
        <w:t>综合得分在60（含）-80分为“中”；</w:t>
      </w:r>
    </w:p>
    <w:p>
      <w:pPr>
        <w:autoSpaceDE w:val="0"/>
        <w:autoSpaceDN w:val="0"/>
        <w:ind w:firstLine="640"/>
        <w:rPr>
          <w:rFonts w:hint="eastAsia" w:ascii="仿宋" w:hAnsi="仿宋" w:cs="仿宋"/>
          <w:szCs w:val="32"/>
        </w:rPr>
      </w:pPr>
      <w:r>
        <w:rPr>
          <w:rFonts w:hint="eastAsia" w:ascii="仿宋" w:hAnsi="仿宋" w:cs="仿宋"/>
          <w:kern w:val="0"/>
          <w:szCs w:val="32"/>
          <w:lang w:bidi="ar"/>
        </w:rPr>
        <w:t>综合得分在60分以下为“差”。</w:t>
      </w:r>
    </w:p>
    <w:p>
      <w:pPr>
        <w:pStyle w:val="2"/>
        <w:spacing w:before="0" w:after="0"/>
        <w:ind w:firstLine="643"/>
        <w:rPr>
          <w:rFonts w:hint="eastAsia"/>
          <w:b w:val="0"/>
          <w:bCs w:val="0"/>
        </w:rPr>
      </w:pPr>
      <w:bookmarkStart w:id="1433" w:name="_Toc4790"/>
      <w:bookmarkStart w:id="1434" w:name="_Toc23967"/>
      <w:bookmarkStart w:id="1435" w:name="_Toc24948"/>
      <w:bookmarkStart w:id="1436" w:name="_Toc12766"/>
      <w:bookmarkStart w:id="1437" w:name="_Toc30016"/>
      <w:bookmarkStart w:id="1438" w:name="_Toc11975"/>
      <w:bookmarkStart w:id="1439" w:name="_Toc11708"/>
      <w:bookmarkStart w:id="1440" w:name="_Toc8"/>
      <w:bookmarkStart w:id="1441" w:name="_Toc23390"/>
      <w:bookmarkStart w:id="1442" w:name="_Toc10139"/>
      <w:bookmarkStart w:id="1443" w:name="_Toc11387"/>
      <w:bookmarkStart w:id="1444" w:name="_Toc20416"/>
      <w:bookmarkStart w:id="1445" w:name="_Toc31422"/>
      <w:bookmarkStart w:id="1446" w:name="_Toc7449"/>
      <w:bookmarkStart w:id="1447" w:name="_Toc14893"/>
      <w:bookmarkStart w:id="1448" w:name="_Toc30830"/>
      <w:bookmarkStart w:id="1449" w:name="_Toc16867"/>
      <w:bookmarkStart w:id="1450" w:name="_Toc26572"/>
      <w:bookmarkStart w:id="1451" w:name="_Toc16300"/>
      <w:bookmarkStart w:id="1452" w:name="_Toc6789"/>
      <w:bookmarkStart w:id="1453" w:name="_Toc31823"/>
      <w:bookmarkStart w:id="1454" w:name="_Toc27520"/>
      <w:bookmarkStart w:id="1455" w:name="_Toc26683"/>
      <w:bookmarkStart w:id="1456" w:name="_Toc24362"/>
      <w:bookmarkStart w:id="1457" w:name="_Toc32024"/>
      <w:bookmarkStart w:id="1458" w:name="_Toc19156"/>
      <w:bookmarkStart w:id="1459" w:name="_Toc17764"/>
      <w:bookmarkStart w:id="1460" w:name="_Toc13657"/>
      <w:bookmarkStart w:id="1461" w:name="_Toc29752"/>
      <w:bookmarkStart w:id="1462" w:name="_Toc19683"/>
      <w:bookmarkStart w:id="1463" w:name="_Toc19876"/>
      <w:r>
        <w:rPr>
          <w:rFonts w:hint="eastAsia"/>
          <w:b w:val="0"/>
          <w:bCs w:val="0"/>
        </w:rPr>
        <w:t>五、评价结论及绩效分析</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pPr>
        <w:pStyle w:val="3"/>
        <w:spacing w:before="0" w:beforeLines="0"/>
        <w:ind w:firstLine="643"/>
        <w:rPr>
          <w:rFonts w:hint="eastAsia"/>
        </w:rPr>
      </w:pPr>
      <w:bookmarkStart w:id="1464" w:name="_Toc23049"/>
      <w:bookmarkStart w:id="1465" w:name="_Toc1352"/>
      <w:bookmarkStart w:id="1466" w:name="_Toc2050"/>
      <w:bookmarkStart w:id="1467" w:name="_Toc16271"/>
      <w:bookmarkStart w:id="1468" w:name="_Toc19654"/>
      <w:bookmarkStart w:id="1469" w:name="_Toc3270"/>
      <w:bookmarkStart w:id="1470" w:name="_Toc9412"/>
      <w:bookmarkStart w:id="1471" w:name="_Toc21343"/>
      <w:bookmarkStart w:id="1472" w:name="_Toc17761"/>
      <w:bookmarkStart w:id="1473" w:name="_Toc5505"/>
      <w:bookmarkStart w:id="1474" w:name="_Toc560"/>
      <w:bookmarkStart w:id="1475" w:name="_Toc2617"/>
      <w:bookmarkStart w:id="1476" w:name="_Toc11106"/>
      <w:bookmarkStart w:id="1477" w:name="_Toc21879"/>
      <w:bookmarkStart w:id="1478" w:name="_Toc13720"/>
      <w:bookmarkStart w:id="1479" w:name="_Toc3682"/>
      <w:bookmarkStart w:id="1480" w:name="_Toc19324"/>
      <w:bookmarkStart w:id="1481" w:name="_Toc27631"/>
      <w:bookmarkStart w:id="1482" w:name="_Toc22990"/>
      <w:bookmarkStart w:id="1483" w:name="_Toc25681"/>
      <w:bookmarkStart w:id="1484" w:name="_Toc6258"/>
      <w:bookmarkStart w:id="1485" w:name="_Toc32647"/>
      <w:bookmarkStart w:id="1486" w:name="_Toc16040"/>
      <w:bookmarkStart w:id="1487" w:name="_Toc17332"/>
      <w:bookmarkStart w:id="1488" w:name="_Toc6204"/>
      <w:bookmarkStart w:id="1489" w:name="_Toc25981"/>
      <w:bookmarkStart w:id="1490" w:name="_Toc12109"/>
      <w:bookmarkStart w:id="1491" w:name="_Toc6009"/>
      <w:bookmarkStart w:id="1492" w:name="_Toc2246"/>
      <w:bookmarkStart w:id="1493" w:name="_Toc5446"/>
      <w:r>
        <w:rPr>
          <w:rFonts w:hint="eastAsia"/>
        </w:rPr>
        <w:t>（一）</w:t>
      </w:r>
      <w:bookmarkEnd w:id="1464"/>
      <w:bookmarkEnd w:id="1465"/>
      <w:bookmarkEnd w:id="1466"/>
      <w:bookmarkEnd w:id="1467"/>
      <w:r>
        <w:rPr>
          <w:rFonts w:hint="eastAsia"/>
        </w:rPr>
        <w:t>评价结论</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p>
    <w:p>
      <w:pPr>
        <w:autoSpaceDE w:val="0"/>
        <w:autoSpaceDN w:val="0"/>
        <w:ind w:firstLine="640"/>
        <w:rPr>
          <w:rFonts w:hint="eastAsia" w:ascii="仿宋" w:hAnsi="仿宋" w:cs="仿宋"/>
          <w:szCs w:val="32"/>
        </w:rPr>
      </w:pPr>
      <w:r>
        <w:rPr>
          <w:rFonts w:hint="eastAsia" w:ascii="仿宋" w:hAnsi="仿宋" w:cs="仿宋"/>
          <w:szCs w:val="32"/>
        </w:rPr>
        <w:t>经过资料的详细查阅、深入分析以及现场调研和综合评估，高新区市政中心所设定的目标合理，且与绩效管理的相关规定相符，与地区发展规划的目标方向保持一致。相应的工作内容与三定方案中明确的职责相匹配。在</w:t>
      </w:r>
      <w:r>
        <w:rPr>
          <w:rFonts w:hint="eastAsia" w:ascii="仿宋" w:hAnsi="仿宋" w:cs="仿宋"/>
          <w:szCs w:val="32"/>
          <w:lang w:eastAsia="zh-CN"/>
        </w:rPr>
        <w:t>绩效</w:t>
      </w:r>
      <w:r>
        <w:rPr>
          <w:rFonts w:hint="eastAsia" w:ascii="仿宋" w:hAnsi="仿宋" w:cs="仿宋"/>
          <w:szCs w:val="32"/>
        </w:rPr>
        <w:t>目标管理方面存在一定的不足，</w:t>
      </w:r>
      <w:r>
        <w:rPr>
          <w:rFonts w:hint="eastAsia" w:ascii="仿宋" w:hAnsi="仿宋" w:cs="仿宋"/>
          <w:szCs w:val="32"/>
          <w:lang w:eastAsia="zh-CN"/>
        </w:rPr>
        <w:t>存在个别</w:t>
      </w:r>
      <w:r>
        <w:rPr>
          <w:rFonts w:hint="eastAsia" w:ascii="仿宋" w:hAnsi="仿宋" w:cs="仿宋"/>
          <w:szCs w:val="32"/>
        </w:rPr>
        <w:t>指标设置不够明确、细化和量化。预算执行情况较好，执行率达到100.00%，</w:t>
      </w:r>
      <w:r>
        <w:rPr>
          <w:rFonts w:hint="eastAsia" w:ascii="仿宋" w:hAnsi="仿宋" w:cs="仿宋"/>
          <w:szCs w:val="32"/>
          <w:lang w:val="en-US" w:eastAsia="zh-CN"/>
        </w:rPr>
        <w:t>2023年度</w:t>
      </w:r>
      <w:r>
        <w:rPr>
          <w:rFonts w:hint="eastAsia" w:ascii="仿宋" w:hAnsi="仿宋" w:cs="仿宋"/>
          <w:szCs w:val="32"/>
        </w:rPr>
        <w:t>未发生三公经费支出。资金使用严格能够总体上遵循预算批复及相关的预算财务管理制度</w:t>
      </w:r>
      <w:r>
        <w:rPr>
          <w:rStyle w:val="24"/>
          <w:rFonts w:hint="eastAsia" w:ascii="仿宋" w:hAnsi="仿宋" w:cs="仿宋"/>
          <w:sz w:val="32"/>
          <w:szCs w:val="32"/>
        </w:rPr>
        <w:t>执行</w:t>
      </w:r>
      <w:r>
        <w:rPr>
          <w:rFonts w:hint="eastAsia" w:ascii="仿宋" w:hAnsi="仿宋" w:cs="仿宋"/>
          <w:szCs w:val="32"/>
        </w:rPr>
        <w:t>，</w:t>
      </w:r>
      <w:r>
        <w:rPr>
          <w:rFonts w:hint="eastAsia"/>
        </w:rPr>
        <w:t>但是也存在一些财务报账不合规的现象</w:t>
      </w:r>
      <w:r>
        <w:rPr>
          <w:rFonts w:hint="eastAsia" w:ascii="仿宋" w:hAnsi="仿宋" w:cs="仿宋"/>
          <w:szCs w:val="32"/>
        </w:rPr>
        <w:t>，报账资料审核不够严格，存在报账票据不合规的情况。</w:t>
      </w:r>
      <w:r>
        <w:rPr>
          <w:rStyle w:val="24"/>
          <w:rFonts w:hint="eastAsia" w:ascii="仿宋" w:hAnsi="仿宋" w:cs="仿宋"/>
          <w:sz w:val="32"/>
          <w:szCs w:val="32"/>
        </w:rPr>
        <w:t>高新区市政中心</w:t>
      </w:r>
      <w:r>
        <w:rPr>
          <w:rFonts w:hint="eastAsia" w:ascii="仿宋" w:hAnsi="仿宋" w:cs="仿宋"/>
          <w:szCs w:val="32"/>
        </w:rPr>
        <w:t>已制定了一些内部管理制度，但是总体而言制度建设不够健全，相关的资产管理不够到位。高新区市政中心各项工作任务均已圆满完成，高新区市政中心较好地履行了其工作职责。高新区市政中心工作的完成不仅发挥了相应的社会效益，还产生了一定的经济效益，群众的满意度较高。</w:t>
      </w:r>
    </w:p>
    <w:p>
      <w:pPr>
        <w:overflowPunct w:val="0"/>
        <w:autoSpaceDE w:val="0"/>
        <w:autoSpaceDN w:val="0"/>
        <w:ind w:firstLine="640"/>
        <w:rPr>
          <w:rFonts w:hint="eastAsia" w:ascii="仿宋" w:hAnsi="仿宋" w:cs="仿宋"/>
          <w:szCs w:val="32"/>
          <w:shd w:val="clear" w:color="auto" w:fill="FFFFFF"/>
        </w:rPr>
      </w:pPr>
      <w:r>
        <w:rPr>
          <w:rFonts w:hint="eastAsia" w:ascii="仿宋" w:hAnsi="仿宋" w:cs="仿宋"/>
          <w:szCs w:val="32"/>
          <w:shd w:val="clear" w:color="auto" w:fill="FFFFFF"/>
        </w:rPr>
        <w:t>经综合评议，2023年度高新区市政中心部门整体支出绩效评价综合得分86.00分，综合绩效评定结论为“良”。综合评价得分情况如下：</w:t>
      </w:r>
    </w:p>
    <w:p>
      <w:pPr>
        <w:overflowPunct w:val="0"/>
        <w:autoSpaceDE w:val="0"/>
        <w:autoSpaceDN w:val="0"/>
        <w:spacing w:before="120" w:beforeLines="50" w:after="120" w:afterLines="50"/>
        <w:ind w:firstLine="562"/>
        <w:jc w:val="center"/>
        <w:rPr>
          <w:rFonts w:hint="eastAsia" w:ascii="宋体" w:hAnsi="宋体" w:eastAsia="宋体" w:cs="宋体"/>
          <w:b/>
          <w:bCs/>
          <w:kern w:val="0"/>
          <w:sz w:val="28"/>
          <w:szCs w:val="28"/>
          <w:lang w:bidi="ar"/>
        </w:rPr>
      </w:pPr>
      <w:r>
        <w:rPr>
          <w:rFonts w:hint="eastAsia" w:ascii="宋体" w:hAnsi="宋体" w:eastAsia="宋体" w:cs="宋体"/>
          <w:b/>
          <w:bCs/>
          <w:kern w:val="0"/>
          <w:sz w:val="28"/>
          <w:szCs w:val="28"/>
          <w:lang w:bidi="ar"/>
        </w:rPr>
        <w:t>综合评价得分情况表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4"/>
        <w:gridCol w:w="2105"/>
        <w:gridCol w:w="2105"/>
        <w:gridCol w:w="2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210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210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210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c>
          <w:tcPr>
            <w:tcW w:w="210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210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投入</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en-US" w:eastAsia="zh-CN"/>
              </w:rPr>
              <w:t>6</w:t>
            </w:r>
            <w:r>
              <w:rPr>
                <w:rFonts w:hint="eastAsia" w:ascii="宋体" w:hAnsi="宋体" w:eastAsia="宋体" w:cs="宋体"/>
                <w:sz w:val="24"/>
              </w:rPr>
              <w:t>.50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lang w:val="en-US" w:eastAsia="zh-CN"/>
              </w:rPr>
              <w:t>8</w:t>
            </w:r>
            <w:r>
              <w:rPr>
                <w:rFonts w:hint="eastAsia" w:ascii="宋体" w:hAnsi="宋体" w:eastAsia="宋体" w:cs="宋体"/>
                <w:sz w:val="24"/>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210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过程</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30.00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1</w:t>
            </w:r>
            <w:r>
              <w:rPr>
                <w:rFonts w:hint="eastAsia" w:ascii="宋体" w:hAnsi="宋体" w:eastAsia="宋体" w:cs="宋体"/>
                <w:sz w:val="24"/>
              </w:rPr>
              <w:t>.00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7</w:t>
            </w:r>
            <w:r>
              <w:rPr>
                <w:rFonts w:hint="eastAsia" w:ascii="宋体" w:hAnsi="宋体" w:eastAsia="宋体" w:cs="宋体"/>
                <w:sz w:val="24"/>
                <w:lang w:val="en-US" w:eastAsia="zh-CN"/>
              </w:rPr>
              <w:t>0</w:t>
            </w:r>
            <w:r>
              <w:rPr>
                <w:rFonts w:hint="eastAsia" w:ascii="宋体" w:hAnsi="宋体" w:eastAsia="宋体" w:cs="宋体"/>
                <w:sz w:val="24"/>
              </w:rPr>
              <w:t>.</w:t>
            </w:r>
            <w:r>
              <w:rPr>
                <w:rFonts w:hint="eastAsia" w:ascii="宋体" w:hAnsi="宋体" w:eastAsia="宋体" w:cs="宋体"/>
                <w:sz w:val="24"/>
                <w:lang w:val="en-US" w:eastAsia="zh-CN"/>
              </w:rPr>
              <w:t>00</w:t>
            </w:r>
            <w:r>
              <w:rPr>
                <w:rFonts w:hint="eastAsia" w:ascii="宋体" w:hAnsi="宋体" w:eastAsia="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210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产出</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30.00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29.50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98.33%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210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效益</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trPr>
        <w:tc>
          <w:tcPr>
            <w:tcW w:w="210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合 计</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100.00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8</w:t>
            </w:r>
            <w:r>
              <w:rPr>
                <w:rFonts w:hint="eastAsia" w:ascii="宋体" w:hAnsi="宋体" w:eastAsia="宋体" w:cs="宋体"/>
                <w:b/>
                <w:bCs/>
                <w:sz w:val="24"/>
                <w:lang w:val="en-US" w:eastAsia="zh-CN"/>
              </w:rPr>
              <w:t>7</w:t>
            </w:r>
            <w:r>
              <w:rPr>
                <w:rFonts w:hint="eastAsia" w:ascii="宋体" w:hAnsi="宋体" w:eastAsia="宋体" w:cs="宋体"/>
                <w:b/>
                <w:bCs/>
                <w:sz w:val="24"/>
              </w:rPr>
              <w:t>.00</w:t>
            </w:r>
          </w:p>
        </w:tc>
        <w:tc>
          <w:tcPr>
            <w:tcW w:w="2105" w:type="dxa"/>
            <w:noWrap w:val="0"/>
            <w:vAlign w:val="center"/>
          </w:tcPr>
          <w:p>
            <w:pPr>
              <w:keepNext/>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8</w:t>
            </w:r>
            <w:r>
              <w:rPr>
                <w:rFonts w:hint="eastAsia" w:ascii="宋体" w:hAnsi="宋体" w:eastAsia="宋体" w:cs="宋体"/>
                <w:b/>
                <w:bCs/>
                <w:sz w:val="24"/>
                <w:lang w:val="en-US" w:eastAsia="zh-CN"/>
              </w:rPr>
              <w:t>7</w:t>
            </w:r>
            <w:r>
              <w:rPr>
                <w:rFonts w:hint="eastAsia" w:ascii="宋体" w:hAnsi="宋体" w:eastAsia="宋体" w:cs="宋体"/>
                <w:b/>
                <w:bCs/>
                <w:sz w:val="24"/>
              </w:rPr>
              <w:t>.00%</w:t>
            </w:r>
          </w:p>
        </w:tc>
      </w:tr>
    </w:tbl>
    <w:p>
      <w:pPr>
        <w:pStyle w:val="3"/>
        <w:keepLines w:val="0"/>
        <w:overflowPunct w:val="0"/>
        <w:autoSpaceDE w:val="0"/>
        <w:autoSpaceDN w:val="0"/>
        <w:spacing w:before="120"/>
        <w:ind w:firstLine="643"/>
        <w:rPr>
          <w:rFonts w:hint="eastAsia" w:ascii="仿宋_GB2312" w:hAnsi="仿宋_GB2312" w:cs="仿宋_GB2312"/>
        </w:rPr>
      </w:pPr>
      <w:bookmarkStart w:id="1494" w:name="_Toc8778"/>
      <w:bookmarkStart w:id="1495" w:name="_Toc2172"/>
      <w:bookmarkStart w:id="1496" w:name="_Toc15106"/>
      <w:bookmarkStart w:id="1497" w:name="_Toc1416"/>
      <w:bookmarkStart w:id="1498" w:name="_Toc31073"/>
      <w:bookmarkStart w:id="1499" w:name="_Toc23627"/>
      <w:bookmarkStart w:id="1500" w:name="_Toc27609"/>
      <w:bookmarkStart w:id="1501" w:name="_Toc28426"/>
      <w:bookmarkStart w:id="1502" w:name="_Toc573"/>
      <w:bookmarkStart w:id="1503" w:name="_Toc1643"/>
      <w:bookmarkStart w:id="1504" w:name="_Toc6914"/>
      <w:bookmarkStart w:id="1505" w:name="_Toc17067"/>
      <w:bookmarkStart w:id="1506" w:name="_Toc1908"/>
      <w:bookmarkStart w:id="1507" w:name="_Toc7086"/>
      <w:bookmarkStart w:id="1508" w:name="_Toc27102"/>
      <w:bookmarkStart w:id="1509" w:name="_Toc12394"/>
      <w:bookmarkStart w:id="1510" w:name="_Toc21560"/>
      <w:bookmarkStart w:id="1511" w:name="_Toc17555"/>
      <w:bookmarkStart w:id="1512" w:name="_Toc12669"/>
      <w:bookmarkStart w:id="1513" w:name="_Toc25144"/>
      <w:bookmarkStart w:id="1514" w:name="_Toc32073"/>
      <w:bookmarkStart w:id="1515" w:name="_Toc5233"/>
      <w:bookmarkStart w:id="1516" w:name="_Toc20151"/>
      <w:bookmarkStart w:id="1517" w:name="_Toc29589"/>
      <w:bookmarkStart w:id="1518" w:name="_Toc26740"/>
      <w:bookmarkStart w:id="1519" w:name="_Toc23218"/>
      <w:bookmarkStart w:id="1520" w:name="_Toc13336"/>
      <w:bookmarkStart w:id="1521" w:name="_Toc27818"/>
      <w:bookmarkStart w:id="1522" w:name="_Toc22155"/>
      <w:bookmarkStart w:id="1523" w:name="_Toc807"/>
      <w:bookmarkStart w:id="1524" w:name="_Toc26007"/>
      <w:bookmarkStart w:id="1525" w:name="_Toc19815"/>
      <w:bookmarkStart w:id="1526" w:name="_Toc770"/>
      <w:r>
        <w:rPr>
          <w:rFonts w:hint="eastAsia" w:ascii="仿宋_GB2312" w:hAnsi="仿宋_GB2312" w:cs="仿宋_GB2312"/>
        </w:rPr>
        <w:t>（二）绩效</w:t>
      </w:r>
      <w:bookmarkStart w:id="1527" w:name="_Hlt459297947"/>
      <w:r>
        <w:rPr>
          <w:rFonts w:hint="eastAsia" w:ascii="仿宋_GB2312" w:hAnsi="仿宋_GB2312" w:cs="仿宋_GB2312"/>
        </w:rPr>
        <w:t>分</w:t>
      </w:r>
      <w:bookmarkEnd w:id="1527"/>
      <w:r>
        <w:rPr>
          <w:rFonts w:hint="eastAsia" w:ascii="仿宋_GB2312" w:hAnsi="仿宋_GB2312" w:cs="仿宋_GB2312"/>
        </w:rPr>
        <w:t>析</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pPr>
        <w:pStyle w:val="4"/>
        <w:ind w:firstLine="643"/>
        <w:rPr>
          <w:rFonts w:hint="eastAsia" w:ascii="楷体" w:hAnsi="楷体" w:eastAsia="楷体" w:cs="楷体"/>
        </w:rPr>
      </w:pPr>
      <w:bookmarkStart w:id="1528" w:name="_Toc22170"/>
      <w:bookmarkStart w:id="1529" w:name="_Toc12118"/>
      <w:bookmarkStart w:id="1530" w:name="_Toc17146"/>
      <w:bookmarkStart w:id="1531" w:name="_Toc20339"/>
      <w:bookmarkStart w:id="1532" w:name="_Toc14954"/>
      <w:bookmarkStart w:id="1533" w:name="_Toc26784"/>
      <w:bookmarkStart w:id="1534" w:name="_Toc4002"/>
      <w:bookmarkStart w:id="1535" w:name="_Toc18380"/>
      <w:r>
        <w:rPr>
          <w:rFonts w:hint="eastAsia" w:ascii="楷体" w:hAnsi="楷体" w:eastAsia="楷体" w:cs="楷体"/>
        </w:rPr>
        <w:t>1.投入指标</w:t>
      </w:r>
      <w:bookmarkEnd w:id="1528"/>
      <w:bookmarkEnd w:id="1529"/>
      <w:bookmarkEnd w:id="1530"/>
      <w:bookmarkEnd w:id="1531"/>
      <w:bookmarkEnd w:id="1532"/>
      <w:bookmarkEnd w:id="1533"/>
      <w:bookmarkEnd w:id="1534"/>
      <w:bookmarkEnd w:id="1535"/>
    </w:p>
    <w:p>
      <w:pPr>
        <w:overflowPunct w:val="0"/>
        <w:autoSpaceDE w:val="0"/>
        <w:autoSpaceDN w:val="0"/>
        <w:ind w:firstLine="640"/>
        <w:rPr>
          <w:rFonts w:hint="eastAsia" w:ascii="仿宋" w:hAnsi="仿宋" w:cs="仿宋"/>
          <w:szCs w:val="32"/>
          <w:shd w:val="clear" w:color="auto" w:fill="FFFFFF"/>
        </w:rPr>
      </w:pPr>
      <w:r>
        <w:rPr>
          <w:rFonts w:hint="eastAsia" w:ascii="仿宋" w:hAnsi="仿宋" w:cs="仿宋"/>
          <w:szCs w:val="32"/>
          <w:shd w:val="clear" w:color="auto" w:fill="FFFFFF"/>
        </w:rPr>
        <w:t>高新区市政中心及所属二级单位预算基础信息符合相关规定，基础信息的真实、完整、准确是高新区市政中心预算编制数据重要基础，高新区市政中心预算编制基础是真实、完整、准确的；绩效目标设定基本符合预算管理的要求，设定的绩效目标与高新区市政中心职责相匹配；绩效目标设置绩效指标清晰、明确，大部分绩效指标设置能够做到细化量化可衡量。能够基本满足对高新区市政中心工作绩效的考核要求。绩效指标总体上科学、合理。同时，评价中也发现个别绩效目标设置不够完善，预算绩效目标指标数值设置和考核存在不够科学合理之处。本项投入指标分值20.00分，得分为1</w:t>
      </w:r>
      <w:r>
        <w:rPr>
          <w:rFonts w:hint="eastAsia" w:ascii="仿宋" w:hAnsi="仿宋" w:cs="仿宋"/>
          <w:szCs w:val="32"/>
          <w:shd w:val="clear" w:color="auto" w:fill="FFFFFF"/>
          <w:lang w:val="en-US" w:eastAsia="zh-CN"/>
        </w:rPr>
        <w:t>6</w:t>
      </w:r>
      <w:r>
        <w:rPr>
          <w:rFonts w:hint="eastAsia" w:ascii="仿宋" w:hAnsi="仿宋" w:cs="仿宋"/>
          <w:szCs w:val="32"/>
          <w:shd w:val="clear" w:color="auto" w:fill="FFFFFF"/>
        </w:rPr>
        <w:t>.50分，得分率</w:t>
      </w:r>
      <w:r>
        <w:rPr>
          <w:rFonts w:hint="eastAsia" w:ascii="仿宋" w:hAnsi="仿宋" w:cs="仿宋"/>
          <w:szCs w:val="32"/>
          <w:shd w:val="clear" w:color="auto" w:fill="FFFFFF"/>
          <w:lang w:val="en-US" w:eastAsia="zh-CN"/>
        </w:rPr>
        <w:t>8</w:t>
      </w:r>
      <w:r>
        <w:rPr>
          <w:rFonts w:hint="eastAsia" w:ascii="仿宋" w:hAnsi="仿宋" w:cs="仿宋"/>
          <w:szCs w:val="32"/>
          <w:shd w:val="clear" w:color="auto" w:fill="FFFFFF"/>
        </w:rPr>
        <w:t>2.50%。评分见下表：</w:t>
      </w:r>
    </w:p>
    <w:p>
      <w:pPr>
        <w:overflowPunct w:val="0"/>
        <w:autoSpaceDE w:val="0"/>
        <w:autoSpaceDN w:val="0"/>
        <w:spacing w:after="120" w:afterLines="50"/>
        <w:ind w:firstLine="0" w:firstLineChars="0"/>
        <w:jc w:val="center"/>
        <w:rPr>
          <w:rFonts w:hint="eastAsia" w:ascii="宋体" w:hAnsi="宋体" w:eastAsia="宋体" w:cs="宋体"/>
          <w:b/>
          <w:bCs/>
          <w:sz w:val="28"/>
          <w:szCs w:val="28"/>
        </w:rPr>
      </w:pPr>
      <w:r>
        <w:rPr>
          <w:rFonts w:hint="eastAsia" w:ascii="宋体" w:hAnsi="宋体" w:eastAsia="宋体" w:cs="宋体"/>
          <w:b/>
          <w:bCs/>
          <w:iCs/>
          <w:sz w:val="28"/>
          <w:szCs w:val="28"/>
        </w:rPr>
        <w:t>投入指标设定及评分情况表</w:t>
      </w:r>
    </w:p>
    <w:tbl>
      <w:tblPr>
        <w:tblStyle w:val="18"/>
        <w:tblW w:w="47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268"/>
        <w:gridCol w:w="2556"/>
        <w:gridCol w:w="1405"/>
        <w:gridCol w:w="1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blHeader/>
          <w:jc w:val="center"/>
        </w:trPr>
        <w:tc>
          <w:tcPr>
            <w:tcW w:w="771" w:type="pct"/>
            <w:noWrap w:val="0"/>
            <w:vAlign w:val="center"/>
          </w:tcPr>
          <w:p>
            <w:pPr>
              <w:overflowPunct w:val="0"/>
              <w:autoSpaceDE w:val="0"/>
              <w:autoSpaceDN w:val="0"/>
              <w:spacing w:line="240" w:lineRule="auto"/>
              <w:ind w:firstLine="0" w:firstLineChars="0"/>
              <w:rPr>
                <w:rFonts w:hint="eastAsia" w:ascii="宋体" w:hAnsi="宋体" w:eastAsia="宋体" w:cs="宋体"/>
                <w:b/>
                <w:bCs/>
                <w:sz w:val="24"/>
              </w:rPr>
            </w:pPr>
            <w:r>
              <w:rPr>
                <w:rFonts w:hint="eastAsia" w:ascii="宋体" w:hAnsi="宋体" w:eastAsia="宋体" w:cs="宋体"/>
                <w:b/>
                <w:bCs/>
                <w:sz w:val="24"/>
              </w:rPr>
              <w:t>一级指标</w:t>
            </w:r>
          </w:p>
        </w:tc>
        <w:tc>
          <w:tcPr>
            <w:tcW w:w="775" w:type="pct"/>
            <w:noWrap w:val="0"/>
            <w:vAlign w:val="center"/>
          </w:tcPr>
          <w:p>
            <w:pPr>
              <w:overflowPunct w:val="0"/>
              <w:autoSpaceDE w:val="0"/>
              <w:autoSpaceDN w:val="0"/>
              <w:spacing w:line="240" w:lineRule="auto"/>
              <w:ind w:firstLine="0" w:firstLineChars="0"/>
              <w:rPr>
                <w:rFonts w:hint="eastAsia" w:ascii="宋体" w:hAnsi="宋体" w:eastAsia="宋体" w:cs="宋体"/>
                <w:b/>
                <w:bCs/>
                <w:sz w:val="24"/>
              </w:rPr>
            </w:pPr>
            <w:r>
              <w:rPr>
                <w:rFonts w:hint="eastAsia" w:ascii="宋体" w:hAnsi="宋体" w:eastAsia="宋体" w:cs="宋体"/>
                <w:b/>
                <w:bCs/>
                <w:sz w:val="24"/>
              </w:rPr>
              <w:t>二级指标</w:t>
            </w: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三级指标</w:t>
            </w:r>
          </w:p>
        </w:tc>
        <w:tc>
          <w:tcPr>
            <w:tcW w:w="859" w:type="pct"/>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分值</w:t>
            </w:r>
          </w:p>
        </w:tc>
        <w:tc>
          <w:tcPr>
            <w:tcW w:w="1031" w:type="pct"/>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restar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投入指标</w:t>
            </w:r>
          </w:p>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（20分）</w:t>
            </w:r>
          </w:p>
        </w:tc>
        <w:tc>
          <w:tcPr>
            <w:tcW w:w="775" w:type="pct"/>
            <w:vMerge w:val="restar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预算编制</w:t>
            </w:r>
          </w:p>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（10分）</w:t>
            </w: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基础信息完整性</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rPr>
            </w:pPr>
            <w:r>
              <w:rPr>
                <w:rFonts w:hint="eastAsia" w:ascii="宋体" w:hAnsi="宋体" w:eastAsia="宋体" w:cs="宋体"/>
                <w:sz w:val="24"/>
                <w:lang w:bidi="ar"/>
              </w:rPr>
              <w:t>2.00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rPr>
            </w:pPr>
            <w:r>
              <w:rPr>
                <w:rFonts w:hint="eastAsia" w:ascii="宋体" w:hAnsi="宋体" w:eastAsia="宋体" w:cs="宋体"/>
                <w:sz w:val="24"/>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775"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绩效目标符合性</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2.00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775"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绩效指标明确性</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3.00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775"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绩效指标科学合理性</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3.00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775" w:type="pct"/>
            <w:vMerge w:val="restar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预算配置</w:t>
            </w:r>
          </w:p>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（10分）</w:t>
            </w: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在职人员控制率</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rPr>
            </w:pPr>
            <w:r>
              <w:rPr>
                <w:rFonts w:hint="eastAsia" w:ascii="宋体" w:hAnsi="宋体" w:eastAsia="宋体" w:cs="宋体"/>
                <w:sz w:val="24"/>
                <w:lang w:bidi="ar"/>
              </w:rPr>
              <w:t>4.00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rPr>
            </w:pPr>
            <w:r>
              <w:rPr>
                <w:rFonts w:hint="eastAsia" w:ascii="宋体" w:hAnsi="宋体" w:eastAsia="宋体" w:cs="宋体"/>
                <w:sz w:val="24"/>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775"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三公经费变动率</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3.00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val="en-US" w:eastAsia="zh-CN" w:bidi="ar"/>
              </w:rPr>
              <w:t>3</w:t>
            </w:r>
            <w:r>
              <w:rPr>
                <w:rFonts w:hint="eastAsia" w:ascii="宋体" w:hAnsi="宋体" w:eastAsia="宋体" w:cs="宋体"/>
                <w:sz w:val="24"/>
                <w:lang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71"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775" w:type="pct"/>
            <w:vMerge w:val="continue"/>
            <w:noWrap w:val="0"/>
            <w:vAlign w:val="center"/>
          </w:tcPr>
          <w:p>
            <w:pPr>
              <w:overflowPunct w:val="0"/>
              <w:autoSpaceDE w:val="0"/>
              <w:autoSpaceDN w:val="0"/>
              <w:spacing w:line="240" w:lineRule="auto"/>
              <w:ind w:firstLine="480"/>
              <w:jc w:val="center"/>
              <w:rPr>
                <w:rFonts w:hint="eastAsia" w:ascii="宋体" w:hAnsi="宋体" w:eastAsia="宋体" w:cs="宋体"/>
                <w:sz w:val="24"/>
              </w:rPr>
            </w:pP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sz w:val="24"/>
              </w:rPr>
            </w:pPr>
            <w:r>
              <w:rPr>
                <w:rFonts w:hint="eastAsia" w:ascii="宋体" w:hAnsi="宋体" w:eastAsia="宋体" w:cs="宋体"/>
                <w:sz w:val="24"/>
              </w:rPr>
              <w:t>重点支出安排率</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3.00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sz w:val="24"/>
                <w:lang w:bidi="ar"/>
              </w:rPr>
            </w:pPr>
            <w:r>
              <w:rPr>
                <w:rFonts w:hint="eastAsia" w:ascii="宋体" w:hAnsi="宋体" w:eastAsia="宋体" w:cs="宋体"/>
                <w:sz w:val="24"/>
                <w:lang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771" w:type="pct"/>
            <w:noWrap w:val="0"/>
            <w:vAlign w:val="center"/>
          </w:tcPr>
          <w:p>
            <w:pPr>
              <w:overflowPunct w:val="0"/>
              <w:autoSpaceDE w:val="0"/>
              <w:autoSpaceDN w:val="0"/>
              <w:spacing w:line="240" w:lineRule="auto"/>
              <w:ind w:firstLine="482"/>
              <w:jc w:val="center"/>
              <w:rPr>
                <w:rFonts w:hint="eastAsia" w:ascii="宋体" w:hAnsi="宋体" w:eastAsia="宋体" w:cs="宋体"/>
                <w:b/>
                <w:bCs/>
                <w:sz w:val="24"/>
              </w:rPr>
            </w:pPr>
          </w:p>
        </w:tc>
        <w:tc>
          <w:tcPr>
            <w:tcW w:w="775" w:type="pct"/>
            <w:noWrap w:val="0"/>
            <w:vAlign w:val="center"/>
          </w:tcPr>
          <w:p>
            <w:pPr>
              <w:overflowPunct w:val="0"/>
              <w:autoSpaceDE w:val="0"/>
              <w:autoSpaceDN w:val="0"/>
              <w:spacing w:line="240" w:lineRule="auto"/>
              <w:ind w:firstLine="482"/>
              <w:jc w:val="center"/>
              <w:rPr>
                <w:rFonts w:hint="eastAsia" w:ascii="宋体" w:hAnsi="宋体" w:eastAsia="宋体" w:cs="宋体"/>
                <w:b/>
                <w:bCs/>
                <w:sz w:val="24"/>
              </w:rPr>
            </w:pPr>
          </w:p>
        </w:tc>
        <w:tc>
          <w:tcPr>
            <w:tcW w:w="1562" w:type="pct"/>
            <w:noWrap w:val="0"/>
            <w:vAlign w:val="center"/>
          </w:tcPr>
          <w:p>
            <w:pPr>
              <w:overflowPunct w:val="0"/>
              <w:autoSpaceDE w:val="0"/>
              <w:autoSpaceDN w:val="0"/>
              <w:spacing w:line="240" w:lineRule="auto"/>
              <w:ind w:firstLine="0" w:firstLineChars="0"/>
              <w:jc w:val="center"/>
              <w:rPr>
                <w:rFonts w:hint="eastAsia" w:ascii="宋体" w:hAnsi="宋体" w:eastAsia="宋体" w:cs="宋体"/>
                <w:b/>
                <w:bCs/>
                <w:sz w:val="24"/>
              </w:rPr>
            </w:pPr>
            <w:r>
              <w:rPr>
                <w:rFonts w:hint="eastAsia" w:ascii="宋体" w:hAnsi="宋体" w:eastAsia="宋体" w:cs="宋体"/>
                <w:b/>
                <w:bCs/>
                <w:sz w:val="24"/>
              </w:rPr>
              <w:t>本项分数合计</w:t>
            </w:r>
          </w:p>
        </w:tc>
        <w:tc>
          <w:tcPr>
            <w:tcW w:w="859"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b/>
                <w:bCs/>
                <w:sz w:val="24"/>
                <w:lang w:bidi="ar"/>
              </w:rPr>
            </w:pPr>
            <w:r>
              <w:rPr>
                <w:rFonts w:hint="eastAsia" w:ascii="宋体" w:hAnsi="宋体" w:eastAsia="宋体" w:cs="宋体"/>
                <w:b/>
                <w:bCs/>
                <w:sz w:val="24"/>
                <w:lang w:bidi="ar"/>
              </w:rPr>
              <w:t>20.00</w:t>
            </w:r>
          </w:p>
        </w:tc>
        <w:tc>
          <w:tcPr>
            <w:tcW w:w="1031" w:type="pct"/>
            <w:noWrap w:val="0"/>
            <w:vAlign w:val="center"/>
          </w:tcPr>
          <w:p>
            <w:pPr>
              <w:overflowPunct w:val="0"/>
              <w:autoSpaceDE w:val="0"/>
              <w:autoSpaceDN w:val="0"/>
              <w:spacing w:line="240" w:lineRule="auto"/>
              <w:ind w:firstLine="0" w:firstLineChars="0"/>
              <w:jc w:val="center"/>
              <w:textAlignment w:val="center"/>
              <w:rPr>
                <w:rFonts w:hint="eastAsia" w:ascii="宋体" w:hAnsi="宋体" w:eastAsia="宋体" w:cs="宋体"/>
                <w:b/>
                <w:bCs/>
                <w:sz w:val="24"/>
                <w:lang w:bidi="ar"/>
              </w:rPr>
            </w:pPr>
            <w:r>
              <w:rPr>
                <w:rFonts w:hint="eastAsia" w:ascii="宋体" w:hAnsi="宋体" w:eastAsia="宋体" w:cs="宋体"/>
                <w:b/>
                <w:bCs/>
                <w:sz w:val="24"/>
                <w:lang w:bidi="ar"/>
              </w:rPr>
              <w:t>1</w:t>
            </w:r>
            <w:r>
              <w:rPr>
                <w:rFonts w:hint="eastAsia" w:ascii="宋体" w:hAnsi="宋体" w:eastAsia="宋体" w:cs="宋体"/>
                <w:b/>
                <w:bCs/>
                <w:sz w:val="24"/>
                <w:lang w:val="en-US" w:eastAsia="zh-CN" w:bidi="ar"/>
              </w:rPr>
              <w:t>6</w:t>
            </w:r>
            <w:r>
              <w:rPr>
                <w:rFonts w:hint="eastAsia" w:ascii="宋体" w:hAnsi="宋体" w:eastAsia="宋体" w:cs="宋体"/>
                <w:b/>
                <w:bCs/>
                <w:sz w:val="24"/>
                <w:lang w:bidi="ar"/>
              </w:rPr>
              <w:t>.50</w:t>
            </w:r>
          </w:p>
        </w:tc>
      </w:tr>
    </w:tbl>
    <w:p>
      <w:pPr>
        <w:pStyle w:val="5"/>
        <w:ind w:firstLine="643"/>
        <w:rPr>
          <w:rFonts w:hint="eastAsia" w:ascii="仿宋" w:hAnsi="仿宋" w:eastAsia="仿宋" w:cs="仿宋"/>
        </w:rPr>
      </w:pPr>
      <w:bookmarkStart w:id="1536" w:name="_Toc27272"/>
      <w:bookmarkStart w:id="1537" w:name="_Toc28488"/>
      <w:bookmarkStart w:id="1538" w:name="_Toc9103"/>
      <w:bookmarkStart w:id="1539" w:name="_Toc10170"/>
      <w:r>
        <w:rPr>
          <w:rFonts w:hint="eastAsia" w:ascii="仿宋" w:hAnsi="仿宋" w:eastAsia="仿宋" w:cs="仿宋"/>
        </w:rPr>
        <w:t>（1）预算编制</w:t>
      </w:r>
      <w:bookmarkEnd w:id="1536"/>
      <w:bookmarkEnd w:id="1537"/>
      <w:bookmarkEnd w:id="1538"/>
      <w:bookmarkEnd w:id="1539"/>
    </w:p>
    <w:p>
      <w:pPr>
        <w:overflowPunct w:val="0"/>
        <w:autoSpaceDE w:val="0"/>
        <w:autoSpaceDN w:val="0"/>
        <w:ind w:firstLine="640"/>
        <w:rPr>
          <w:rFonts w:hint="eastAsia" w:ascii="仿宋" w:hAnsi="仿宋" w:cs="仿宋"/>
          <w:szCs w:val="32"/>
        </w:rPr>
      </w:pPr>
      <w:r>
        <w:rPr>
          <w:rFonts w:hint="eastAsia" w:ascii="仿宋" w:hAnsi="仿宋" w:cs="仿宋"/>
          <w:szCs w:val="32"/>
        </w:rPr>
        <w:t>1）基础信息完整性</w:t>
      </w:r>
    </w:p>
    <w:p>
      <w:pPr>
        <w:overflowPunct w:val="0"/>
        <w:autoSpaceDE w:val="0"/>
        <w:autoSpaceDN w:val="0"/>
        <w:ind w:firstLine="640"/>
        <w:rPr>
          <w:rFonts w:hint="eastAsia" w:ascii="仿宋" w:hAnsi="仿宋" w:cs="仿宋"/>
          <w:szCs w:val="32"/>
          <w:lang w:val="zh-CN"/>
        </w:rPr>
      </w:pPr>
      <w:r>
        <w:rPr>
          <w:rFonts w:hint="eastAsia" w:ascii="仿宋" w:hAnsi="仿宋" w:cs="仿宋"/>
          <w:szCs w:val="32"/>
        </w:rPr>
        <w:t>高新区市政中心是由四川遂宁高新技术产业园区管理委员会举办的公益一类事业单位、一</w:t>
      </w:r>
      <w:r>
        <w:rPr>
          <w:rFonts w:hint="eastAsia" w:ascii="仿宋" w:hAnsi="仿宋" w:cs="仿宋"/>
          <w:szCs w:val="32"/>
          <w:lang w:val="zh-CN"/>
        </w:rPr>
        <w:t>级预算单位</w:t>
      </w:r>
      <w:r>
        <w:rPr>
          <w:rFonts w:hint="eastAsia" w:ascii="仿宋" w:hAnsi="仿宋" w:cs="仿宋"/>
          <w:szCs w:val="32"/>
        </w:rPr>
        <w:t>，</w:t>
      </w:r>
      <w:r>
        <w:rPr>
          <w:rFonts w:hint="eastAsia" w:ascii="仿宋" w:hAnsi="仿宋" w:cs="仿宋"/>
          <w:szCs w:val="32"/>
          <w:lang w:val="zh-CN"/>
        </w:rPr>
        <w:t>无下属二级预算单位。</w:t>
      </w:r>
    </w:p>
    <w:p>
      <w:pPr>
        <w:overflowPunct w:val="0"/>
        <w:autoSpaceDE w:val="0"/>
        <w:autoSpaceDN w:val="0"/>
        <w:ind w:firstLine="640"/>
        <w:rPr>
          <w:rFonts w:hint="eastAsia" w:ascii="仿宋" w:hAnsi="仿宋" w:cs="仿宋"/>
          <w:szCs w:val="32"/>
        </w:rPr>
      </w:pPr>
      <w:r>
        <w:rPr>
          <w:rFonts w:hint="eastAsia" w:ascii="仿宋" w:hAnsi="仿宋" w:cs="仿宋"/>
          <w:szCs w:val="32"/>
        </w:rPr>
        <w:t>高新区市政中心提供了单位基本信息状况，机构设置状况，单位人员状况，部门职能和工作任务情况，提供的单位相关信息资料能够真实、完整，反映单位基本状况和职能所在，能够对预算编制数据的提供支撑和依据。2023年度预算基本支出基本参照单位人员和定额的公用支出来确定本年基本支出预算数额，能够按照单位职能承担高新区市政中心所属部门支出的工作内容。结合相关资料分析来看，高新区市政中心单位预算基础信息符合相关规定，信息资料真实、完整、准确，这些基础信息是高新区市政中心预算编制数据重要基础。总体而言，预算编制基础是真实、完整、准确的。</w:t>
      </w:r>
    </w:p>
    <w:p>
      <w:pPr>
        <w:autoSpaceDE w:val="0"/>
        <w:autoSpaceDN w:val="0"/>
        <w:ind w:firstLine="640"/>
        <w:rPr>
          <w:rFonts w:hint="eastAsia" w:ascii="仿宋" w:hAnsi="仿宋" w:cs="仿宋"/>
          <w:szCs w:val="32"/>
        </w:rPr>
      </w:pPr>
      <w:r>
        <w:rPr>
          <w:rFonts w:hint="eastAsia" w:ascii="仿宋" w:hAnsi="仿宋" w:cs="仿宋"/>
          <w:szCs w:val="32"/>
        </w:rPr>
        <w:t>2）绩效目标符合性</w:t>
      </w:r>
    </w:p>
    <w:p>
      <w:pPr>
        <w:pStyle w:val="8"/>
        <w:autoSpaceDE w:val="0"/>
        <w:autoSpaceDN w:val="0"/>
        <w:ind w:firstLine="640"/>
        <w:jc w:val="both"/>
        <w:rPr>
          <w:rFonts w:hint="eastAsia" w:ascii="仿宋" w:hAnsi="仿宋" w:cs="仿宋"/>
          <w:szCs w:val="32"/>
        </w:rPr>
      </w:pPr>
      <w:r>
        <w:rPr>
          <w:rFonts w:hint="eastAsia" w:ascii="仿宋" w:hAnsi="仿宋" w:cs="仿宋"/>
          <w:szCs w:val="32"/>
        </w:rPr>
        <w:t>根据《部门（单位）整体支出绩效目标申报表》，高新区市政中心制定了年度预算总体绩效目标和具体绩效目标。其中高新区市政中心绩效总体目标是园区城市综合服务及生态环保、市政公用设施等工作正常开展；保障人员支出和单位正常运转；加强财务监督，杜绝不合理开支；完成上级交办的其他事项。绩效目标与确定的职责相匹配绩效目标设定基本符合预算管理的要求，绩效目标符合国家法律法规、国民经济和社会发展总体规划；与高新区市政中心“三定”方案确定的职责相匹配；绩效目标应当与部门制定的中长期实施规划相契合；绩效目标设定符合相关预算管理的要求等方面的情况。</w:t>
      </w:r>
    </w:p>
    <w:p>
      <w:pPr>
        <w:autoSpaceDE w:val="0"/>
        <w:autoSpaceDN w:val="0"/>
        <w:ind w:firstLine="640"/>
        <w:rPr>
          <w:rFonts w:hint="eastAsia" w:ascii="仿宋" w:hAnsi="仿宋" w:cs="仿宋"/>
          <w:szCs w:val="32"/>
        </w:rPr>
      </w:pPr>
      <w:r>
        <w:rPr>
          <w:rFonts w:hint="eastAsia" w:ascii="仿宋" w:hAnsi="仿宋" w:cs="仿宋"/>
          <w:szCs w:val="32"/>
        </w:rPr>
        <w:t>3）绩效指标明确性</w:t>
      </w:r>
    </w:p>
    <w:p>
      <w:pPr>
        <w:autoSpaceDE w:val="0"/>
        <w:autoSpaceDN w:val="0"/>
        <w:ind w:firstLine="640"/>
        <w:rPr>
          <w:rFonts w:hint="eastAsia" w:ascii="仿宋" w:hAnsi="仿宋" w:cs="仿宋"/>
          <w:szCs w:val="32"/>
        </w:rPr>
      </w:pPr>
      <w:r>
        <w:rPr>
          <w:rFonts w:hint="eastAsia" w:ascii="仿宋" w:hAnsi="仿宋" w:cs="仿宋"/>
          <w:szCs w:val="32"/>
        </w:rPr>
        <w:t>高新区市政中心制定了年度预算具体绩效目标并设置了各项指标。根据《高新区市政中心（单位）整体支出绩效目标申报表》，高新区市政中心在年度绩效总体目标的基础上，从产出数量、质量、社会效益和服务对象满意度等角度细化了各项绩效指标。高新区市政中心一级指标分为投入管理指标、过程管理指标、产出指标、效果指标和满意度指标五大指标。</w:t>
      </w:r>
    </w:p>
    <w:p>
      <w:pPr>
        <w:autoSpaceDE w:val="0"/>
        <w:autoSpaceDN w:val="0"/>
        <w:ind w:firstLine="640"/>
        <w:rPr>
          <w:rFonts w:hint="eastAsia" w:ascii="仿宋" w:hAnsi="仿宋" w:cs="仿宋"/>
          <w:szCs w:val="32"/>
        </w:rPr>
      </w:pPr>
      <w:r>
        <w:rPr>
          <w:rFonts w:hint="eastAsia" w:ascii="仿宋" w:hAnsi="仿宋" w:cs="仿宋"/>
          <w:szCs w:val="32"/>
        </w:rPr>
        <w:t>其中，投入管理指标下设两个二级指标，分别为预算编制管理和预算配置管理；过程管理指标下设三个二级指标，分别为预算执行管理、预算管理和资产管理；产出指标下设五个二级指标，分别为数量指标、质量指标和时效指标、成本指标、职责履行；效果指标下设三个二级指标，分别为社会效益指标、生态效益指标和可持续影响指标；满意度指标下设一个二级指标，为满意度指标。三级指标的设置基本做到明确、细致、细化、量化、可衡量。比如产出数量指标中明确了完成园区绿化养护面积约20万平方米；完成园区道路清扫保洁约260万平方米；处理生活污水约300万吨；收集转运、处置生活垃圾约2万余吨和收集转运、处置餐厨垃圾约0.4万余吨、完成园区市政道路检查井盖、雨水篦盖计约0.8万余套日常维护的数量指标；产出质量指标中园区环境卫生干净整洁、路灯、交通信号灯安全运行、收集污水全部达标处理排放、收集转运垃圾无害化处理都设置了具体的可量化的质量指标，但个别指标设置时未充分考虑指标依据和方法。</w:t>
      </w:r>
      <w:r>
        <w:rPr>
          <w:rFonts w:hint="eastAsia" w:ascii="仿宋" w:hAnsi="仿宋" w:cs="仿宋"/>
          <w:kern w:val="0"/>
          <w:szCs w:val="32"/>
          <w:lang w:bidi="ar"/>
        </w:rPr>
        <w:t>如“做好招商引资工作”对应的考核指标评判方式未明确，导致考核指标达标情况时，缺少相应的数据采集评判标准。评价认为，</w:t>
      </w:r>
      <w:r>
        <w:rPr>
          <w:rFonts w:hint="eastAsia" w:ascii="仿宋" w:hAnsi="仿宋" w:cs="仿宋"/>
          <w:szCs w:val="32"/>
        </w:rPr>
        <w:t>总体上绩效目标设置绩效指标清晰、明确，大部分绩效指标设置能够做到细化量化，基本达到可衡量的使用要求，</w:t>
      </w:r>
      <w:r>
        <w:rPr>
          <w:rFonts w:hint="eastAsia" w:ascii="仿宋" w:hAnsi="仿宋" w:cs="仿宋"/>
          <w:kern w:val="0"/>
          <w:szCs w:val="32"/>
          <w:lang w:bidi="ar"/>
        </w:rPr>
        <w:t>能够基本满足对高新区市政中心工作绩效的考核要求。</w:t>
      </w:r>
    </w:p>
    <w:p>
      <w:pPr>
        <w:autoSpaceDE w:val="0"/>
        <w:autoSpaceDN w:val="0"/>
        <w:ind w:firstLine="640"/>
        <w:rPr>
          <w:rFonts w:hint="eastAsia" w:ascii="仿宋" w:hAnsi="仿宋" w:cs="仿宋"/>
          <w:szCs w:val="32"/>
        </w:rPr>
      </w:pPr>
      <w:r>
        <w:rPr>
          <w:rFonts w:hint="eastAsia" w:ascii="仿宋" w:hAnsi="仿宋" w:cs="仿宋"/>
          <w:szCs w:val="32"/>
        </w:rPr>
        <w:t>总体上绩效目标设置绩效指标清晰、细化，大部分绩效指标设置清晰、目标明确。能够基本满足对高新区市政中心工作绩效的考核要求。</w:t>
      </w:r>
    </w:p>
    <w:p>
      <w:pPr>
        <w:autoSpaceDE w:val="0"/>
        <w:autoSpaceDN w:val="0"/>
        <w:ind w:firstLine="640"/>
        <w:rPr>
          <w:rFonts w:hint="eastAsia" w:ascii="仿宋" w:hAnsi="仿宋" w:cs="仿宋"/>
          <w:szCs w:val="32"/>
        </w:rPr>
      </w:pPr>
      <w:r>
        <w:rPr>
          <w:rFonts w:hint="eastAsia" w:ascii="仿宋" w:hAnsi="仿宋" w:cs="仿宋"/>
          <w:szCs w:val="32"/>
        </w:rPr>
        <w:t>4）绩效指标科学合理性</w:t>
      </w:r>
    </w:p>
    <w:p>
      <w:pPr>
        <w:autoSpaceDE w:val="0"/>
        <w:autoSpaceDN w:val="0"/>
        <w:ind w:firstLine="640"/>
        <w:rPr>
          <w:rFonts w:hint="eastAsia" w:ascii="仿宋" w:hAnsi="仿宋" w:cs="仿宋"/>
          <w:szCs w:val="32"/>
        </w:rPr>
      </w:pPr>
      <w:r>
        <w:rPr>
          <w:rFonts w:hint="eastAsia" w:ascii="仿宋" w:hAnsi="仿宋" w:cs="仿宋"/>
          <w:szCs w:val="32"/>
        </w:rPr>
        <w:t>高新区市政中心依据整体绩效目标所设定的部门绩效指标总体上科学、合理，能够科学合理地反映和考核高新区市政中心预算绩效指标。高新区市政中心绩效指标的设置依据是充分的，与部门职责相匹配，与高新区市政中心年度的任务和计划相对应，与2023年度部门年初预算资金相匹配。但是由于年初预算金额与当年决算金额差异较大，导致事前绩效目标申报情况与事后目标在预算执行考核方面存在不可避免的差异。从基本情况来看，由于年初预算申报审批与实际执行存在较大的偏差，年初预算编制的不科学不合理，导致绩效指标的预算金额在科学合理性存在偏差。</w:t>
      </w:r>
    </w:p>
    <w:p>
      <w:pPr>
        <w:pStyle w:val="5"/>
        <w:ind w:firstLine="643"/>
        <w:rPr>
          <w:rFonts w:hint="eastAsia" w:ascii="仿宋" w:hAnsi="仿宋" w:eastAsia="仿宋" w:cs="仿宋"/>
        </w:rPr>
      </w:pPr>
      <w:bookmarkStart w:id="1540" w:name="_Toc15307"/>
      <w:bookmarkStart w:id="1541" w:name="_Toc1313"/>
      <w:bookmarkStart w:id="1542" w:name="_Toc13554"/>
      <w:bookmarkStart w:id="1543" w:name="_Toc10750"/>
      <w:bookmarkStart w:id="1544" w:name="_Toc27338"/>
      <w:r>
        <w:rPr>
          <w:rFonts w:hint="eastAsia" w:ascii="仿宋" w:hAnsi="仿宋" w:eastAsia="仿宋" w:cs="仿宋"/>
        </w:rPr>
        <w:t>（2）预算配置</w:t>
      </w:r>
      <w:bookmarkEnd w:id="1540"/>
      <w:bookmarkEnd w:id="1541"/>
      <w:bookmarkEnd w:id="1542"/>
      <w:bookmarkEnd w:id="1543"/>
      <w:bookmarkEnd w:id="1544"/>
    </w:p>
    <w:p>
      <w:pPr>
        <w:autoSpaceDE w:val="0"/>
        <w:autoSpaceDN w:val="0"/>
        <w:ind w:firstLine="640"/>
        <w:rPr>
          <w:rFonts w:hint="eastAsia" w:ascii="仿宋" w:hAnsi="仿宋" w:cs="仿宋"/>
          <w:szCs w:val="32"/>
        </w:rPr>
      </w:pPr>
      <w:r>
        <w:rPr>
          <w:rFonts w:hint="eastAsia" w:ascii="仿宋" w:hAnsi="仿宋" w:cs="仿宋"/>
          <w:szCs w:val="32"/>
        </w:rPr>
        <w:t>1）在职人员控制率</w:t>
      </w:r>
    </w:p>
    <w:p>
      <w:pPr>
        <w:tabs>
          <w:tab w:val="left" w:pos="312"/>
        </w:tabs>
        <w:autoSpaceDE w:val="0"/>
        <w:autoSpaceDN w:val="0"/>
        <w:ind w:firstLine="640"/>
        <w:rPr>
          <w:rFonts w:hint="eastAsia" w:ascii="仿宋" w:hAnsi="仿宋" w:cs="仿宋"/>
          <w:szCs w:val="32"/>
        </w:rPr>
      </w:pPr>
      <w:r>
        <w:rPr>
          <w:rFonts w:hint="eastAsia" w:ascii="仿宋" w:hAnsi="仿宋" w:cs="仿宋"/>
          <w:kern w:val="0"/>
          <w:szCs w:val="32"/>
          <w:shd w:val="clear" w:color="auto" w:fill="FFFFFF"/>
        </w:rPr>
        <w:t>根据《中共遂宁市机构编制委员会关于调整遂宁高新区有关机构编制事项的批复》（遂编委发〔2022〕13号），核定高新区市政中心事业编7名，其中，主任1名（正科级），副主任1名（副科级）。查看</w:t>
      </w:r>
      <w:r>
        <w:rPr>
          <w:rFonts w:hint="eastAsia" w:ascii="仿宋" w:hAnsi="仿宋" w:cs="仿宋"/>
          <w:szCs w:val="32"/>
        </w:rPr>
        <w:t>2023年度员工花名册，确定高新区市政中心实际在职人数5人。其中行政人员1个，事业人员4人。</w:t>
      </w:r>
    </w:p>
    <w:p>
      <w:pPr>
        <w:autoSpaceDE w:val="0"/>
        <w:autoSpaceDN w:val="0"/>
        <w:ind w:firstLine="640"/>
        <w:rPr>
          <w:rFonts w:hint="eastAsia" w:ascii="仿宋" w:hAnsi="仿宋" w:cs="仿宋"/>
          <w:szCs w:val="32"/>
        </w:rPr>
      </w:pPr>
      <w:r>
        <w:rPr>
          <w:rFonts w:hint="eastAsia" w:ascii="仿宋" w:hAnsi="仿宋" w:cs="仿宋"/>
          <w:szCs w:val="32"/>
        </w:rPr>
        <w:t>综上，</w:t>
      </w:r>
      <w:r>
        <w:rPr>
          <w:rFonts w:hint="eastAsia" w:ascii="仿宋" w:hAnsi="仿宋" w:cs="仿宋"/>
          <w:kern w:val="0"/>
          <w:szCs w:val="32"/>
          <w:shd w:val="clear" w:color="auto" w:fill="FFFFFF"/>
        </w:rPr>
        <w:t>高新区市政中心</w:t>
      </w:r>
      <w:r>
        <w:rPr>
          <w:rFonts w:hint="eastAsia" w:ascii="仿宋" w:hAnsi="仿宋" w:cs="仿宋"/>
          <w:szCs w:val="32"/>
        </w:rPr>
        <w:t>编制人数总计7人，实际在职人数5人。在职人员控制率</w:t>
      </w:r>
      <w:r>
        <w:rPr>
          <w:rFonts w:hint="eastAsia" w:ascii="仿宋" w:hAnsi="仿宋" w:cs="仿宋"/>
          <w:kern w:val="0"/>
          <w:szCs w:val="32"/>
          <w:shd w:val="clear" w:color="auto" w:fill="FFFFFF"/>
        </w:rPr>
        <w:t>为71.43%。</w:t>
      </w:r>
    </w:p>
    <w:p>
      <w:pPr>
        <w:tabs>
          <w:tab w:val="left" w:pos="312"/>
        </w:tabs>
        <w:autoSpaceDE w:val="0"/>
        <w:autoSpaceDN w:val="0"/>
        <w:ind w:firstLine="640"/>
        <w:rPr>
          <w:rFonts w:hint="eastAsia" w:ascii="仿宋" w:hAnsi="仿宋" w:cs="仿宋"/>
          <w:szCs w:val="32"/>
        </w:rPr>
      </w:pPr>
      <w:r>
        <w:rPr>
          <w:rFonts w:hint="eastAsia" w:ascii="仿宋" w:hAnsi="仿宋" w:cs="仿宋"/>
          <w:szCs w:val="32"/>
        </w:rPr>
        <w:t>2）“三公经费”变动率</w:t>
      </w:r>
    </w:p>
    <w:p>
      <w:pPr>
        <w:pStyle w:val="8"/>
        <w:autoSpaceDE w:val="0"/>
        <w:autoSpaceDN w:val="0"/>
        <w:ind w:firstLine="640"/>
        <w:jc w:val="both"/>
        <w:rPr>
          <w:rFonts w:hint="eastAsia" w:ascii="仿宋" w:hAnsi="仿宋" w:cs="仿宋"/>
          <w:kern w:val="0"/>
          <w:szCs w:val="32"/>
          <w:shd w:val="clear" w:color="auto" w:fill="FFFFFF"/>
        </w:rPr>
      </w:pPr>
      <w:r>
        <w:rPr>
          <w:rFonts w:hint="eastAsia" w:ascii="仿宋" w:hAnsi="仿宋" w:cs="仿宋"/>
          <w:kern w:val="0"/>
          <w:szCs w:val="32"/>
          <w:shd w:val="clear" w:color="auto" w:fill="FFFFFF"/>
        </w:rPr>
        <w:t>2023年度高新区市政中心“三公经费”经预算调整后为0.00万元，本年未发生“三公经费”支出，2022年无“三公经费，三公经费”无变动。</w:t>
      </w:r>
    </w:p>
    <w:p>
      <w:pPr>
        <w:pStyle w:val="8"/>
        <w:autoSpaceDE w:val="0"/>
        <w:autoSpaceDN w:val="0"/>
        <w:ind w:firstLine="640"/>
        <w:jc w:val="both"/>
        <w:rPr>
          <w:rFonts w:hint="eastAsia" w:ascii="仿宋" w:hAnsi="仿宋" w:cs="仿宋"/>
          <w:szCs w:val="32"/>
        </w:rPr>
      </w:pPr>
      <w:r>
        <w:rPr>
          <w:rFonts w:hint="eastAsia" w:ascii="仿宋" w:hAnsi="仿宋" w:cs="仿宋"/>
          <w:szCs w:val="32"/>
        </w:rPr>
        <w:t>3）重点支出安排率</w:t>
      </w:r>
    </w:p>
    <w:p>
      <w:pPr>
        <w:tabs>
          <w:tab w:val="left" w:pos="312"/>
        </w:tabs>
        <w:autoSpaceDE w:val="0"/>
        <w:autoSpaceDN w:val="0"/>
        <w:ind w:firstLine="640"/>
        <w:rPr>
          <w:rFonts w:hint="eastAsia" w:ascii="仿宋" w:hAnsi="仿宋" w:cs="仿宋"/>
          <w:szCs w:val="32"/>
        </w:rPr>
      </w:pPr>
      <w:r>
        <w:rPr>
          <w:rFonts w:hint="eastAsia" w:ascii="仿宋" w:hAnsi="仿宋" w:cs="仿宋"/>
          <w:szCs w:val="32"/>
        </w:rPr>
        <w:t>高新区市政中心2023年度没有涉及</w:t>
      </w:r>
      <w:r>
        <w:rPr>
          <w:rFonts w:hint="eastAsia" w:ascii="仿宋" w:hAnsi="仿宋" w:cs="仿宋"/>
          <w:kern w:val="0"/>
          <w:szCs w:val="32"/>
          <w:shd w:val="clear" w:color="auto" w:fill="FFFFFF"/>
        </w:rPr>
        <w:t>遂宁高新技术产业园区</w:t>
      </w:r>
      <w:r>
        <w:rPr>
          <w:rFonts w:hint="eastAsia" w:ascii="仿宋" w:hAnsi="仿宋" w:cs="仿宋"/>
          <w:szCs w:val="32"/>
        </w:rPr>
        <w:t>重点项目预算安排，不涉及重点项目支出。</w:t>
      </w:r>
    </w:p>
    <w:p>
      <w:pPr>
        <w:pStyle w:val="4"/>
        <w:ind w:firstLine="643"/>
        <w:rPr>
          <w:rFonts w:hint="eastAsia" w:ascii="楷体" w:hAnsi="楷体" w:eastAsia="楷体" w:cs="楷体"/>
        </w:rPr>
      </w:pPr>
      <w:bookmarkStart w:id="1545" w:name="_Toc21168"/>
      <w:bookmarkStart w:id="1546" w:name="_Toc32521"/>
      <w:bookmarkStart w:id="1547" w:name="_Toc22115"/>
      <w:bookmarkStart w:id="1548" w:name="_Toc18110"/>
      <w:bookmarkStart w:id="1549" w:name="_Toc17937"/>
      <w:bookmarkStart w:id="1550" w:name="_Toc6420"/>
      <w:bookmarkStart w:id="1551" w:name="_Toc30689"/>
      <w:bookmarkStart w:id="1552" w:name="_Toc10553"/>
      <w:r>
        <w:rPr>
          <w:rFonts w:hint="eastAsia" w:ascii="楷体" w:hAnsi="楷体" w:eastAsia="楷体" w:cs="楷体"/>
        </w:rPr>
        <w:t>2.过程指标</w:t>
      </w:r>
      <w:bookmarkEnd w:id="1545"/>
      <w:bookmarkEnd w:id="1546"/>
      <w:bookmarkEnd w:id="1547"/>
      <w:bookmarkEnd w:id="1548"/>
      <w:bookmarkEnd w:id="1549"/>
      <w:bookmarkEnd w:id="1550"/>
      <w:bookmarkEnd w:id="1551"/>
      <w:bookmarkEnd w:id="1552"/>
    </w:p>
    <w:p>
      <w:pPr>
        <w:pStyle w:val="8"/>
        <w:autoSpaceDE w:val="0"/>
        <w:autoSpaceDN w:val="0"/>
        <w:ind w:firstLine="640"/>
        <w:jc w:val="both"/>
        <w:rPr>
          <w:rFonts w:hint="eastAsia" w:ascii="仿宋" w:hAnsi="仿宋" w:cs="仿宋"/>
          <w:szCs w:val="32"/>
        </w:rPr>
      </w:pPr>
      <w:r>
        <w:rPr>
          <w:rFonts w:hint="eastAsia" w:ascii="仿宋" w:hAnsi="仿宋" w:cs="仿宋"/>
          <w:szCs w:val="32"/>
        </w:rPr>
        <w:t>2023年，高新区市政中心年初预算批复额为4,964.36万元。预算调整数为2,909.85万元。预算调整率41.39%。2023年实际支付数为2,909.85万元，全年部门预算执行率100.00%，高新区市政中心2023年度三公经费总体控制效果较好。高新区市政中心制定了部分管理制度，但是总体上看管理制度还不够完备和全面，单位内部控制建设有待加强。高新区市政中心支出符合部门预算批复的用途，符合国家财经法规和财务管理制度规定以及有关专项资金管理办法的规定，能够严格实行国库集中支付，预算决算能够按照要求公开公示，会计信息质量控制较好，</w:t>
      </w:r>
      <w:r>
        <w:rPr>
          <w:rFonts w:hint="eastAsia" w:ascii="仿宋" w:hAnsi="仿宋" w:cs="仿宋"/>
          <w:kern w:val="0"/>
          <w:szCs w:val="32"/>
          <w:lang w:bidi="ar"/>
        </w:rPr>
        <w:t>能够达到客观真实核算和监督单位实际收支的目的。资产管理制度未认真贯彻执行，资产管理混乱。</w:t>
      </w:r>
      <w:r>
        <w:rPr>
          <w:rFonts w:hint="eastAsia" w:ascii="仿宋" w:hAnsi="仿宋" w:cs="仿宋"/>
          <w:szCs w:val="32"/>
          <w:shd w:val="clear" w:color="auto" w:fill="FFFFFF"/>
        </w:rPr>
        <w:t>本项过程指标分值30.00分，得分2</w:t>
      </w:r>
      <w:r>
        <w:rPr>
          <w:rFonts w:hint="eastAsia" w:ascii="仿宋" w:hAnsi="仿宋" w:cs="仿宋"/>
          <w:szCs w:val="32"/>
          <w:shd w:val="clear" w:color="auto" w:fill="FFFFFF"/>
          <w:lang w:val="en-US" w:eastAsia="zh-CN"/>
        </w:rPr>
        <w:t>1</w:t>
      </w:r>
      <w:r>
        <w:rPr>
          <w:rFonts w:hint="eastAsia" w:ascii="仿宋" w:hAnsi="仿宋" w:cs="仿宋"/>
          <w:szCs w:val="32"/>
          <w:shd w:val="clear" w:color="auto" w:fill="FFFFFF"/>
        </w:rPr>
        <w:t>.00分，得分率7</w:t>
      </w:r>
      <w:r>
        <w:rPr>
          <w:rFonts w:hint="eastAsia" w:ascii="仿宋" w:hAnsi="仿宋" w:cs="仿宋"/>
          <w:szCs w:val="32"/>
          <w:shd w:val="clear" w:color="auto" w:fill="FFFFFF"/>
          <w:lang w:val="en-US" w:eastAsia="zh-CN"/>
        </w:rPr>
        <w:t>0</w:t>
      </w:r>
      <w:r>
        <w:rPr>
          <w:rFonts w:hint="eastAsia" w:ascii="仿宋" w:hAnsi="仿宋" w:cs="仿宋"/>
          <w:szCs w:val="32"/>
          <w:shd w:val="clear" w:color="auto" w:fill="FFFFFF"/>
        </w:rPr>
        <w:t>.</w:t>
      </w:r>
      <w:r>
        <w:rPr>
          <w:rFonts w:hint="eastAsia" w:ascii="仿宋" w:hAnsi="仿宋" w:cs="仿宋"/>
          <w:szCs w:val="32"/>
          <w:shd w:val="clear" w:color="auto" w:fill="FFFFFF"/>
          <w:lang w:val="en-US" w:eastAsia="zh-CN"/>
        </w:rPr>
        <w:t>00</w:t>
      </w:r>
      <w:r>
        <w:rPr>
          <w:rFonts w:hint="eastAsia" w:ascii="仿宋" w:hAnsi="仿宋" w:cs="仿宋"/>
          <w:szCs w:val="32"/>
          <w:shd w:val="clear" w:color="auto" w:fill="FFFFFF"/>
        </w:rPr>
        <w:t>%。评分见下表：</w:t>
      </w:r>
    </w:p>
    <w:p>
      <w:pPr>
        <w:autoSpaceDE w:val="0"/>
        <w:autoSpaceDN w:val="0"/>
        <w:spacing w:after="120" w:afterLines="50"/>
        <w:ind w:firstLine="0" w:firstLineChars="0"/>
        <w:jc w:val="center"/>
        <w:rPr>
          <w:rFonts w:hint="eastAsia" w:ascii="宋体" w:hAnsi="宋体" w:eastAsia="宋体" w:cs="宋体"/>
          <w:b/>
          <w:bCs/>
          <w:sz w:val="28"/>
          <w:szCs w:val="28"/>
        </w:rPr>
      </w:pPr>
      <w:r>
        <w:rPr>
          <w:rFonts w:hint="eastAsia" w:ascii="宋体" w:hAnsi="宋体" w:eastAsia="宋体" w:cs="宋体"/>
          <w:b/>
          <w:bCs/>
          <w:iCs/>
          <w:sz w:val="28"/>
          <w:szCs w:val="28"/>
        </w:rPr>
        <w:t>过程指标设定及评分情况表</w:t>
      </w:r>
    </w:p>
    <w:tbl>
      <w:tblPr>
        <w:tblStyle w:val="18"/>
        <w:tblW w:w="8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1"/>
        <w:gridCol w:w="1276"/>
        <w:gridCol w:w="2852"/>
        <w:gridCol w:w="1338"/>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251"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一级指标</w:t>
            </w:r>
          </w:p>
        </w:tc>
        <w:tc>
          <w:tcPr>
            <w:tcW w:w="1276"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二级指标</w:t>
            </w: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三级指标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分值</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过程指标</w:t>
            </w:r>
          </w:p>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（30分）</w:t>
            </w:r>
          </w:p>
        </w:tc>
        <w:tc>
          <w:tcPr>
            <w:tcW w:w="1276" w:type="dxa"/>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预算执行（14分）</w:t>
            </w: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预算完成率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预算调整率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支付进度率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结转结余率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公用经费控制率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三公经费控制率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政府采购执行率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tabs>
                <w:tab w:val="center" w:pos="512"/>
              </w:tabs>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预算管理（10分）</w:t>
            </w:r>
          </w:p>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管理制度健全性和执行性</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资金使用合规性</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预决算信息公开性</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政府购买服务执行情况</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财务信息完善性</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资产管理（6分）</w:t>
            </w: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管理制度健全合规性和执行度</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资产管理规范性</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276" w:type="dxa"/>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固定资产利用率</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251" w:type="dxa"/>
            <w:noWrap w:val="0"/>
            <w:vAlign w:val="center"/>
          </w:tcPr>
          <w:p>
            <w:pPr>
              <w:autoSpaceDE w:val="0"/>
              <w:autoSpaceDN w:val="0"/>
              <w:spacing w:line="240" w:lineRule="auto"/>
              <w:ind w:firstLine="482"/>
              <w:jc w:val="center"/>
              <w:rPr>
                <w:rFonts w:hint="eastAsia" w:ascii="宋体" w:hAnsi="宋体" w:eastAsia="宋体" w:cs="宋体"/>
                <w:b/>
                <w:sz w:val="24"/>
              </w:rPr>
            </w:pPr>
          </w:p>
        </w:tc>
        <w:tc>
          <w:tcPr>
            <w:tcW w:w="1276" w:type="dxa"/>
            <w:noWrap w:val="0"/>
            <w:vAlign w:val="center"/>
          </w:tcPr>
          <w:p>
            <w:pPr>
              <w:autoSpaceDE w:val="0"/>
              <w:autoSpaceDN w:val="0"/>
              <w:spacing w:line="240" w:lineRule="auto"/>
              <w:ind w:firstLine="482"/>
              <w:jc w:val="center"/>
              <w:rPr>
                <w:rFonts w:hint="eastAsia" w:ascii="宋体" w:hAnsi="宋体" w:eastAsia="宋体" w:cs="宋体"/>
                <w:b/>
                <w:sz w:val="24"/>
              </w:rPr>
            </w:pPr>
          </w:p>
        </w:tc>
        <w:tc>
          <w:tcPr>
            <w:tcW w:w="2852"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本项分数合计</w:t>
            </w:r>
          </w:p>
        </w:tc>
        <w:tc>
          <w:tcPr>
            <w:tcW w:w="1338"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30.00</w:t>
            </w:r>
          </w:p>
        </w:tc>
        <w:tc>
          <w:tcPr>
            <w:tcW w:w="1400" w:type="dxa"/>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2</w:t>
            </w:r>
            <w:r>
              <w:rPr>
                <w:rFonts w:hint="eastAsia" w:ascii="宋体" w:hAnsi="宋体" w:eastAsia="宋体" w:cs="宋体"/>
                <w:b/>
                <w:sz w:val="24"/>
                <w:lang w:val="en-US" w:eastAsia="zh-CN"/>
              </w:rPr>
              <w:t>1</w:t>
            </w:r>
            <w:r>
              <w:rPr>
                <w:rFonts w:hint="eastAsia" w:ascii="宋体" w:hAnsi="宋体" w:eastAsia="宋体" w:cs="宋体"/>
                <w:b/>
                <w:sz w:val="24"/>
              </w:rPr>
              <w:t>.00</w:t>
            </w:r>
          </w:p>
        </w:tc>
      </w:tr>
    </w:tbl>
    <w:p>
      <w:pPr>
        <w:pStyle w:val="5"/>
        <w:keepLines w:val="0"/>
        <w:autoSpaceDE w:val="0"/>
        <w:autoSpaceDN w:val="0"/>
        <w:ind w:firstLine="643"/>
        <w:rPr>
          <w:rFonts w:hint="eastAsia" w:ascii="仿宋" w:hAnsi="仿宋" w:cs="仿宋"/>
          <w:szCs w:val="32"/>
        </w:rPr>
      </w:pPr>
      <w:bookmarkStart w:id="1553" w:name="_Toc3643"/>
      <w:bookmarkStart w:id="1554" w:name="_Toc27188"/>
      <w:bookmarkStart w:id="1555" w:name="_Toc30561"/>
      <w:bookmarkStart w:id="1556" w:name="_Toc5343"/>
      <w:bookmarkStart w:id="1557" w:name="_Toc27562"/>
      <w:r>
        <w:rPr>
          <w:rFonts w:hint="eastAsia" w:ascii="仿宋" w:hAnsi="仿宋" w:cs="仿宋"/>
          <w:szCs w:val="32"/>
        </w:rPr>
        <w:t>（1）预算执行</w:t>
      </w:r>
      <w:bookmarkEnd w:id="1553"/>
      <w:bookmarkEnd w:id="1554"/>
      <w:bookmarkEnd w:id="1555"/>
      <w:bookmarkEnd w:id="1556"/>
      <w:bookmarkEnd w:id="1557"/>
    </w:p>
    <w:p>
      <w:pPr>
        <w:autoSpaceDE w:val="0"/>
        <w:autoSpaceDN w:val="0"/>
        <w:ind w:firstLine="640"/>
        <w:rPr>
          <w:rFonts w:hint="eastAsia" w:ascii="仿宋" w:hAnsi="仿宋" w:cs="仿宋"/>
          <w:szCs w:val="32"/>
        </w:rPr>
      </w:pPr>
      <w:r>
        <w:rPr>
          <w:rFonts w:hint="eastAsia" w:ascii="仿宋" w:hAnsi="仿宋" w:cs="仿宋"/>
          <w:szCs w:val="32"/>
        </w:rPr>
        <w:t>1）预算完成率</w:t>
      </w:r>
    </w:p>
    <w:p>
      <w:pPr>
        <w:tabs>
          <w:tab w:val="left" w:pos="312"/>
        </w:tabs>
        <w:autoSpaceDE w:val="0"/>
        <w:autoSpaceDN w:val="0"/>
        <w:ind w:firstLine="640"/>
        <w:rPr>
          <w:rFonts w:hint="eastAsia" w:ascii="仿宋" w:hAnsi="仿宋" w:cs="仿宋"/>
          <w:szCs w:val="32"/>
        </w:rPr>
      </w:pPr>
      <w:r>
        <w:rPr>
          <w:rFonts w:hint="eastAsia" w:ascii="仿宋" w:hAnsi="仿宋" w:cs="仿宋"/>
          <w:szCs w:val="32"/>
        </w:rPr>
        <w:t>本项考核高新区市政中心部门2023年度预算完成数与预算数的比率，用以反映和考核单位预算完成程度。</w:t>
      </w:r>
    </w:p>
    <w:p>
      <w:pPr>
        <w:autoSpaceDE w:val="0"/>
        <w:autoSpaceDN w:val="0"/>
        <w:ind w:firstLine="640"/>
        <w:rPr>
          <w:rFonts w:hint="eastAsia" w:ascii="仿宋" w:hAnsi="仿宋" w:cs="仿宋"/>
          <w:kern w:val="0"/>
          <w:szCs w:val="32"/>
          <w:lang w:bidi="ar"/>
        </w:rPr>
      </w:pPr>
      <w:r>
        <w:rPr>
          <w:rFonts w:hint="eastAsia" w:ascii="仿宋" w:hAnsi="仿宋" w:cs="仿宋"/>
          <w:kern w:val="0"/>
          <w:szCs w:val="32"/>
          <w:lang w:bidi="ar"/>
        </w:rPr>
        <w:t>2023年度高新区市政中心年初预算支出为4,964.36万元，其中：基本支出84.42万元（人员经费支出58.39万元，公用经费支出26.03万元）占预算支出1.70%；项目支出4,879.93万元，占预算支出98.30%。</w:t>
      </w:r>
      <w:r>
        <w:rPr>
          <w:rFonts w:hint="eastAsia" w:ascii="仿宋" w:hAnsi="仿宋" w:cs="仿宋"/>
          <w:szCs w:val="32"/>
        </w:rPr>
        <w:t>后经过预算调整的预算</w:t>
      </w:r>
      <w:r>
        <w:rPr>
          <w:rFonts w:hint="eastAsia" w:ascii="仿宋" w:hAnsi="仿宋" w:cs="仿宋"/>
          <w:kern w:val="0"/>
          <w:szCs w:val="32"/>
          <w:lang w:bidi="ar"/>
        </w:rPr>
        <w:t>为</w:t>
      </w:r>
      <w:r>
        <w:rPr>
          <w:rFonts w:hint="eastAsia" w:ascii="仿宋" w:hAnsi="仿宋" w:cs="仿宋"/>
          <w:kern w:val="0"/>
          <w:szCs w:val="32"/>
          <w:shd w:val="clear" w:color="auto" w:fill="FFFFFF"/>
        </w:rPr>
        <w:t>2,909.85</w:t>
      </w:r>
      <w:r>
        <w:rPr>
          <w:rFonts w:hint="eastAsia" w:ascii="仿宋" w:hAnsi="仿宋" w:cs="仿宋"/>
          <w:kern w:val="0"/>
          <w:szCs w:val="32"/>
          <w:shd w:val="clear" w:color="auto" w:fill="FFFFFF"/>
          <w:lang w:val="zh-CN"/>
        </w:rPr>
        <w:t>万元</w:t>
      </w:r>
      <w:r>
        <w:rPr>
          <w:rFonts w:hint="eastAsia" w:ascii="仿宋" w:hAnsi="仿宋" w:cs="仿宋"/>
          <w:kern w:val="0"/>
          <w:szCs w:val="32"/>
          <w:lang w:bidi="ar"/>
        </w:rPr>
        <w:t>。2023年度高新区市政中心实际支出为</w:t>
      </w:r>
      <w:r>
        <w:rPr>
          <w:rFonts w:hint="eastAsia" w:ascii="仿宋" w:hAnsi="仿宋" w:cs="仿宋"/>
          <w:szCs w:val="32"/>
        </w:rPr>
        <w:t>2,909.85</w:t>
      </w:r>
      <w:r>
        <w:rPr>
          <w:rFonts w:hint="eastAsia" w:ascii="仿宋" w:hAnsi="仿宋" w:cs="仿宋"/>
          <w:szCs w:val="32"/>
          <w:lang w:val="zh-CN"/>
        </w:rPr>
        <w:t>万元</w:t>
      </w:r>
      <w:r>
        <w:rPr>
          <w:rFonts w:hint="eastAsia" w:ascii="仿宋" w:hAnsi="仿宋" w:cs="仿宋"/>
          <w:kern w:val="0"/>
          <w:szCs w:val="32"/>
          <w:lang w:bidi="ar"/>
        </w:rPr>
        <w:t>，其中：基本支出25.18万元（人员经费支出19.19万元，公用经费支出5.99万元）占总支出0.87%；项目支出</w:t>
      </w:r>
      <w:r>
        <w:rPr>
          <w:rFonts w:hint="eastAsia" w:ascii="仿宋" w:hAnsi="仿宋" w:cs="仿宋"/>
          <w:szCs w:val="32"/>
        </w:rPr>
        <w:t>2,884.66</w:t>
      </w:r>
      <w:r>
        <w:rPr>
          <w:rFonts w:hint="eastAsia" w:ascii="仿宋" w:hAnsi="仿宋" w:cs="仿宋"/>
          <w:szCs w:val="32"/>
          <w:lang w:val="zh-CN"/>
        </w:rPr>
        <w:t>万元</w:t>
      </w:r>
      <w:r>
        <w:rPr>
          <w:rFonts w:hint="eastAsia" w:ascii="仿宋" w:hAnsi="仿宋" w:cs="仿宋"/>
          <w:kern w:val="0"/>
          <w:szCs w:val="32"/>
          <w:lang w:bidi="ar"/>
        </w:rPr>
        <w:t>，占总支出99.13%。全年预算完成率100.00%。</w:t>
      </w:r>
    </w:p>
    <w:p>
      <w:pPr>
        <w:autoSpaceDE w:val="0"/>
        <w:autoSpaceDN w:val="0"/>
        <w:ind w:firstLine="640"/>
        <w:rPr>
          <w:rFonts w:hint="eastAsia" w:ascii="仿宋" w:hAnsi="仿宋" w:cs="仿宋"/>
          <w:szCs w:val="32"/>
        </w:rPr>
      </w:pPr>
      <w:r>
        <w:rPr>
          <w:rFonts w:hint="eastAsia" w:ascii="仿宋" w:hAnsi="仿宋" w:cs="仿宋"/>
          <w:szCs w:val="32"/>
        </w:rPr>
        <w:t>2）预算调整率</w:t>
      </w:r>
    </w:p>
    <w:p>
      <w:pPr>
        <w:tabs>
          <w:tab w:val="left" w:pos="312"/>
        </w:tabs>
        <w:autoSpaceDE w:val="0"/>
        <w:autoSpaceDN w:val="0"/>
        <w:ind w:firstLine="640"/>
        <w:rPr>
          <w:rFonts w:hint="eastAsia" w:ascii="仿宋" w:hAnsi="仿宋" w:cs="仿宋"/>
          <w:szCs w:val="32"/>
        </w:rPr>
      </w:pPr>
      <w:r>
        <w:rPr>
          <w:rFonts w:hint="eastAsia" w:ascii="仿宋" w:hAnsi="仿宋" w:cs="仿宋"/>
          <w:szCs w:val="32"/>
        </w:rPr>
        <w:t>本项考高新区市政中心部门2023年度预算调整数与预算数的比率，用以评价该部门预算的调整程度。</w:t>
      </w:r>
    </w:p>
    <w:p>
      <w:pPr>
        <w:tabs>
          <w:tab w:val="left" w:pos="312"/>
        </w:tabs>
        <w:autoSpaceDE w:val="0"/>
        <w:autoSpaceDN w:val="0"/>
        <w:ind w:firstLine="640"/>
        <w:rPr>
          <w:rFonts w:hint="eastAsia" w:ascii="仿宋" w:hAnsi="仿宋" w:cs="仿宋"/>
          <w:szCs w:val="32"/>
        </w:rPr>
      </w:pPr>
      <w:r>
        <w:rPr>
          <w:rFonts w:hint="eastAsia" w:ascii="仿宋" w:hAnsi="仿宋" w:cs="仿宋"/>
          <w:szCs w:val="32"/>
        </w:rPr>
        <w:t>根据2023年高新区市政中心《年度部门预算表》，年初预算数为4,964.36万元，后经过预算调整后的预算为</w:t>
      </w:r>
      <w:r>
        <w:rPr>
          <w:rFonts w:hint="eastAsia" w:ascii="仿宋" w:hAnsi="仿宋" w:cs="仿宋"/>
          <w:kern w:val="0"/>
          <w:szCs w:val="32"/>
          <w:shd w:val="clear" w:color="auto" w:fill="FFFFFF"/>
        </w:rPr>
        <w:t>2,909.85</w:t>
      </w:r>
      <w:r>
        <w:rPr>
          <w:rFonts w:hint="eastAsia" w:ascii="仿宋" w:hAnsi="仿宋" w:cs="仿宋"/>
          <w:kern w:val="0"/>
          <w:szCs w:val="32"/>
          <w:shd w:val="clear" w:color="auto" w:fill="FFFFFF"/>
          <w:lang w:val="zh-CN"/>
        </w:rPr>
        <w:t>万元</w:t>
      </w:r>
      <w:r>
        <w:rPr>
          <w:rFonts w:hint="eastAsia" w:ascii="仿宋" w:hAnsi="仿宋" w:cs="仿宋"/>
          <w:szCs w:val="32"/>
        </w:rPr>
        <w:t>，年中预算调减2,054.51万元。预算调整率为41.39%，年初预算差额较大，预算调整幅度偏大差异较大的原因是工作任务数量减少，</w:t>
      </w:r>
      <w:r>
        <w:rPr>
          <w:rFonts w:hint="eastAsia" w:ascii="仿宋" w:hAnsi="仿宋" w:cs="仿宋"/>
          <w:szCs w:val="32"/>
          <w:lang w:eastAsia="zh-CN"/>
        </w:rPr>
        <w:t>预算</w:t>
      </w:r>
      <w:r>
        <w:rPr>
          <w:rFonts w:hint="eastAsia" w:ascii="仿宋" w:hAnsi="仿宋" w:cs="仿宋"/>
          <w:szCs w:val="32"/>
        </w:rPr>
        <w:t>收入支出相应</w:t>
      </w:r>
      <w:r>
        <w:rPr>
          <w:rFonts w:hint="eastAsia" w:ascii="仿宋" w:hAnsi="仿宋" w:cs="仿宋"/>
          <w:szCs w:val="32"/>
          <w:lang w:eastAsia="zh-CN"/>
        </w:rPr>
        <w:t>调整</w:t>
      </w:r>
      <w:r>
        <w:rPr>
          <w:rFonts w:hint="eastAsia" w:ascii="仿宋" w:hAnsi="仿宋" w:cs="仿宋"/>
          <w:szCs w:val="32"/>
        </w:rPr>
        <w:t>减少。</w:t>
      </w:r>
    </w:p>
    <w:p>
      <w:pPr>
        <w:autoSpaceDE w:val="0"/>
        <w:autoSpaceDN w:val="0"/>
        <w:ind w:firstLine="640"/>
        <w:rPr>
          <w:rFonts w:hint="eastAsia" w:ascii="仿宋" w:hAnsi="仿宋" w:cs="仿宋"/>
          <w:szCs w:val="32"/>
        </w:rPr>
      </w:pPr>
      <w:r>
        <w:rPr>
          <w:rFonts w:hint="eastAsia" w:ascii="仿宋" w:hAnsi="仿宋" w:cs="仿宋"/>
          <w:szCs w:val="32"/>
        </w:rPr>
        <w:t>3）支付进度率</w:t>
      </w:r>
    </w:p>
    <w:p>
      <w:pPr>
        <w:bidi w:val="0"/>
        <w:rPr>
          <w:rFonts w:hint="eastAsia" w:ascii="仿宋" w:hAnsi="仿宋" w:eastAsia="仿宋" w:cs="仿宋"/>
        </w:rPr>
      </w:pPr>
      <w:r>
        <w:rPr>
          <w:rFonts w:hint="eastAsia" w:ascii="仿宋" w:hAnsi="仿宋" w:eastAsia="仿宋" w:cs="仿宋"/>
        </w:rPr>
        <w:t>本项考核高新区市政中心本年度实际支付进度与年度序时支付进度比率，用以评价该部门预算执行的及时性和均衡性程度及对本年度结转结余资金的实际控制程度。根据部门2023年执行情况进度表，经查看2023年6月、9月和11月的账目和资金支付情况，支付进度率分别为62.49%、84.56%、91.01%。总体而言，上半年支付进度合理，年终总体进度执行能够与时间线相匹配，全年预算各期支付进度情况相对均衡，执行较为及时。</w:t>
      </w:r>
    </w:p>
    <w:p>
      <w:pPr>
        <w:pStyle w:val="9"/>
        <w:numPr>
          <w:ilvl w:val="0"/>
          <w:numId w:val="3"/>
        </w:numPr>
        <w:autoSpaceDE w:val="0"/>
        <w:autoSpaceDN w:val="0"/>
        <w:ind w:firstLine="640"/>
        <w:rPr>
          <w:rFonts w:hint="eastAsia" w:ascii="仿宋" w:hAnsi="仿宋" w:cs="仿宋"/>
          <w:szCs w:val="32"/>
        </w:rPr>
      </w:pPr>
      <w:r>
        <w:rPr>
          <w:rFonts w:hint="eastAsia" w:ascii="仿宋" w:hAnsi="仿宋" w:cs="仿宋"/>
          <w:szCs w:val="32"/>
        </w:rPr>
        <w:t>结转结余率</w:t>
      </w:r>
    </w:p>
    <w:p>
      <w:pPr>
        <w:pStyle w:val="8"/>
        <w:autoSpaceDE w:val="0"/>
        <w:autoSpaceDN w:val="0"/>
        <w:ind w:firstLine="640"/>
        <w:jc w:val="both"/>
        <w:rPr>
          <w:rFonts w:hint="eastAsia" w:ascii="仿宋" w:hAnsi="仿宋" w:cs="仿宋"/>
          <w:szCs w:val="32"/>
        </w:rPr>
      </w:pPr>
      <w:r>
        <w:rPr>
          <w:rFonts w:hint="eastAsia" w:ascii="仿宋" w:hAnsi="仿宋" w:eastAsia="仿宋" w:cs="仿宋"/>
          <w:szCs w:val="32"/>
        </w:rPr>
        <w:t>本项考核结转结余总额与支出预算数的比率，用以评价该部门对本年度结转结余资金的实际控制程度。2023年高新区市政中心调整后预算为2,909.84万元，实际支出2,909.84万元，预算执行率100.00%，</w:t>
      </w:r>
      <w:r>
        <w:rPr>
          <w:rFonts w:hint="eastAsia" w:ascii="仿宋" w:hAnsi="仿宋" w:eastAsia="仿宋" w:cs="仿宋"/>
        </w:rPr>
        <w:t>结转结余金额为0元，</w:t>
      </w:r>
      <w:r>
        <w:rPr>
          <w:rFonts w:hint="eastAsia" w:ascii="仿宋" w:hAnsi="仿宋" w:eastAsia="仿宋" w:cs="仿宋"/>
          <w:szCs w:val="32"/>
        </w:rPr>
        <w:t>结转结余控制较好，资金使用效率较高，未造成年底资金沉淀和闲</w:t>
      </w:r>
      <w:r>
        <w:rPr>
          <w:rFonts w:hint="eastAsia" w:ascii="仿宋" w:hAnsi="仿宋" w:cs="仿宋"/>
          <w:szCs w:val="32"/>
        </w:rPr>
        <w:t>置。</w:t>
      </w:r>
    </w:p>
    <w:p>
      <w:pPr>
        <w:autoSpaceDE w:val="0"/>
        <w:autoSpaceDN w:val="0"/>
        <w:ind w:firstLine="640"/>
        <w:rPr>
          <w:rFonts w:hint="eastAsia" w:ascii="仿宋" w:hAnsi="仿宋" w:cs="仿宋"/>
          <w:szCs w:val="32"/>
        </w:rPr>
      </w:pPr>
      <w:r>
        <w:rPr>
          <w:rFonts w:hint="eastAsia" w:ascii="仿宋" w:hAnsi="仿宋" w:cs="仿宋"/>
          <w:szCs w:val="32"/>
          <w:lang w:val="en-US" w:eastAsia="zh-CN"/>
        </w:rPr>
        <w:t>5</w:t>
      </w:r>
      <w:r>
        <w:rPr>
          <w:rFonts w:hint="eastAsia" w:ascii="仿宋" w:hAnsi="仿宋" w:cs="仿宋"/>
          <w:szCs w:val="32"/>
        </w:rPr>
        <w:t>）公用经费控制率</w:t>
      </w:r>
    </w:p>
    <w:p>
      <w:pPr>
        <w:autoSpaceDE w:val="0"/>
        <w:autoSpaceDN w:val="0"/>
        <w:ind w:firstLine="640"/>
        <w:rPr>
          <w:rFonts w:hint="eastAsia" w:ascii="仿宋" w:hAnsi="仿宋" w:cs="仿宋"/>
          <w:szCs w:val="32"/>
        </w:rPr>
      </w:pPr>
      <w:r>
        <w:rPr>
          <w:rFonts w:hint="eastAsia" w:ascii="仿宋" w:hAnsi="仿宋" w:cs="仿宋"/>
          <w:szCs w:val="32"/>
        </w:rPr>
        <w:t>公用经费控制率考核实际支出的公用经费总额与预算安排的公用经费总额的比率，反映和考核单位对机构运转成本的实际控制程度。</w:t>
      </w:r>
    </w:p>
    <w:p>
      <w:pPr>
        <w:autoSpaceDE w:val="0"/>
        <w:autoSpaceDN w:val="0"/>
        <w:ind w:firstLine="640"/>
        <w:rPr>
          <w:rFonts w:hint="eastAsia" w:ascii="仿宋" w:hAnsi="仿宋" w:cs="仿宋"/>
          <w:szCs w:val="32"/>
        </w:rPr>
      </w:pPr>
      <w:r>
        <w:rPr>
          <w:rFonts w:hint="eastAsia" w:ascii="仿宋" w:hAnsi="仿宋" w:cs="仿宋"/>
          <w:szCs w:val="32"/>
        </w:rPr>
        <w:t>2023年高新区市政中心</w:t>
      </w:r>
      <w:r>
        <w:rPr>
          <w:rFonts w:hint="eastAsia" w:ascii="仿宋" w:hAnsi="仿宋" w:cs="仿宋"/>
          <w:szCs w:val="32"/>
          <w:lang w:val="zh-CN"/>
        </w:rPr>
        <w:t>公用经费年初预算支出</w:t>
      </w:r>
      <w:r>
        <w:rPr>
          <w:rFonts w:hint="eastAsia" w:ascii="仿宋" w:hAnsi="仿宋" w:cs="仿宋"/>
          <w:szCs w:val="32"/>
        </w:rPr>
        <w:t>26.03</w:t>
      </w:r>
      <w:r>
        <w:rPr>
          <w:rFonts w:hint="eastAsia" w:ascii="仿宋" w:hAnsi="仿宋" w:cs="仿宋"/>
          <w:szCs w:val="32"/>
          <w:lang w:val="zh-CN"/>
        </w:rPr>
        <w:t>万元，</w:t>
      </w:r>
      <w:r>
        <w:rPr>
          <w:rFonts w:hint="eastAsia" w:ascii="仿宋" w:hAnsi="仿宋" w:cs="仿宋"/>
          <w:szCs w:val="32"/>
        </w:rPr>
        <w:t>预算调整后公用经费</w:t>
      </w:r>
      <w:r>
        <w:rPr>
          <w:rFonts w:hint="eastAsia" w:ascii="仿宋" w:hAnsi="仿宋" w:cs="仿宋"/>
          <w:kern w:val="0"/>
          <w:szCs w:val="32"/>
          <w:shd w:val="clear" w:color="auto" w:fill="FFFFFF"/>
        </w:rPr>
        <w:t>为5.99万元。实际支出是5.99万元，公用经费控制率为100%，</w:t>
      </w:r>
      <w:r>
        <w:rPr>
          <w:rFonts w:hint="eastAsia" w:ascii="仿宋" w:hAnsi="仿宋" w:cs="仿宋"/>
          <w:szCs w:val="32"/>
        </w:rPr>
        <w:t>公用经费使用整体未超出预算额</w:t>
      </w:r>
      <w:r>
        <w:rPr>
          <w:rFonts w:hint="eastAsia" w:ascii="仿宋" w:hAnsi="仿宋" w:cs="仿宋"/>
          <w:kern w:val="0"/>
          <w:szCs w:val="32"/>
          <w:lang w:bidi="ar"/>
        </w:rPr>
        <w:t>。</w:t>
      </w:r>
    </w:p>
    <w:p>
      <w:pPr>
        <w:autoSpaceDE w:val="0"/>
        <w:autoSpaceDN w:val="0"/>
        <w:ind w:firstLine="640"/>
        <w:rPr>
          <w:rFonts w:hint="eastAsia" w:ascii="仿宋" w:hAnsi="仿宋" w:cs="仿宋"/>
          <w:szCs w:val="32"/>
        </w:rPr>
      </w:pPr>
      <w:r>
        <w:rPr>
          <w:rFonts w:hint="eastAsia" w:ascii="仿宋" w:hAnsi="仿宋" w:cs="仿宋"/>
          <w:szCs w:val="32"/>
          <w:lang w:val="en-US" w:eastAsia="zh-CN"/>
        </w:rPr>
        <w:t>6</w:t>
      </w:r>
      <w:r>
        <w:rPr>
          <w:rFonts w:hint="eastAsia" w:ascii="仿宋" w:hAnsi="仿宋" w:cs="仿宋"/>
          <w:szCs w:val="32"/>
        </w:rPr>
        <w:t>）“三公经费”控制率</w:t>
      </w:r>
    </w:p>
    <w:p>
      <w:pPr>
        <w:autoSpaceDE w:val="0"/>
        <w:autoSpaceDN w:val="0"/>
        <w:ind w:firstLine="640"/>
        <w:rPr>
          <w:rFonts w:hint="eastAsia" w:ascii="仿宋" w:hAnsi="仿宋" w:cs="仿宋"/>
          <w:szCs w:val="32"/>
        </w:rPr>
      </w:pPr>
      <w:r>
        <w:rPr>
          <w:rFonts w:hint="eastAsia" w:ascii="仿宋" w:hAnsi="仿宋" w:cs="仿宋"/>
          <w:szCs w:val="32"/>
        </w:rPr>
        <w:t>“三公经费”控制率考核年度“三公经费”实际支出数与预算安排数的比率，用以评价该部门“三公经费”的实际控制程度。2023年度高新区市政中心“三公经费”</w:t>
      </w:r>
      <w:r>
        <w:rPr>
          <w:rFonts w:hint="eastAsia" w:ascii="仿宋" w:hAnsi="仿宋" w:cs="仿宋"/>
          <w:kern w:val="0"/>
          <w:szCs w:val="32"/>
          <w:lang w:bidi="ar"/>
        </w:rPr>
        <w:t>预算数为0.00万元，本年未发生</w:t>
      </w:r>
      <w:r>
        <w:rPr>
          <w:rFonts w:hint="eastAsia" w:ascii="仿宋" w:hAnsi="仿宋" w:cs="仿宋"/>
          <w:szCs w:val="32"/>
        </w:rPr>
        <w:t>“三公经费”</w:t>
      </w:r>
      <w:r>
        <w:rPr>
          <w:rFonts w:hint="eastAsia" w:ascii="仿宋" w:hAnsi="仿宋" w:cs="仿宋"/>
          <w:kern w:val="0"/>
          <w:szCs w:val="32"/>
          <w:lang w:bidi="ar"/>
        </w:rPr>
        <w:t>支出，</w:t>
      </w:r>
      <w:r>
        <w:rPr>
          <w:rFonts w:hint="eastAsia" w:ascii="仿宋" w:hAnsi="仿宋" w:cs="仿宋"/>
          <w:szCs w:val="32"/>
        </w:rPr>
        <w:t>三公经费使用整体未超出预算额。</w:t>
      </w:r>
    </w:p>
    <w:p>
      <w:pPr>
        <w:tabs>
          <w:tab w:val="left" w:pos="312"/>
        </w:tabs>
        <w:autoSpaceDE w:val="0"/>
        <w:autoSpaceDN w:val="0"/>
        <w:ind w:firstLine="640"/>
        <w:rPr>
          <w:rFonts w:hint="eastAsia" w:ascii="仿宋" w:hAnsi="仿宋" w:cs="仿宋"/>
          <w:szCs w:val="32"/>
        </w:rPr>
      </w:pPr>
      <w:r>
        <w:rPr>
          <w:rFonts w:hint="eastAsia" w:ascii="仿宋" w:hAnsi="仿宋" w:cs="仿宋"/>
          <w:szCs w:val="32"/>
          <w:lang w:val="en-US" w:eastAsia="zh-CN"/>
        </w:rPr>
        <w:t>7</w:t>
      </w:r>
      <w:r>
        <w:rPr>
          <w:rFonts w:hint="eastAsia" w:ascii="仿宋" w:hAnsi="仿宋" w:cs="仿宋"/>
          <w:szCs w:val="32"/>
        </w:rPr>
        <w:t>）政府采购执行率</w:t>
      </w:r>
    </w:p>
    <w:p>
      <w:pPr>
        <w:pStyle w:val="8"/>
        <w:autoSpaceDE w:val="0"/>
        <w:autoSpaceDN w:val="0"/>
        <w:ind w:firstLine="640"/>
        <w:jc w:val="both"/>
        <w:rPr>
          <w:rFonts w:hint="eastAsia" w:ascii="仿宋" w:hAnsi="仿宋" w:cs="仿宋"/>
          <w:szCs w:val="32"/>
        </w:rPr>
      </w:pPr>
      <w:r>
        <w:rPr>
          <w:rFonts w:hint="eastAsia" w:ascii="仿宋" w:hAnsi="仿宋" w:cs="仿宋"/>
          <w:szCs w:val="32"/>
        </w:rPr>
        <w:t>根据2023年度高新区市政中心批复预算情况，2023年度不涉及政府采购预算。</w:t>
      </w:r>
    </w:p>
    <w:p>
      <w:pPr>
        <w:pStyle w:val="5"/>
        <w:keepLines w:val="0"/>
        <w:autoSpaceDE w:val="0"/>
        <w:autoSpaceDN w:val="0"/>
        <w:ind w:firstLine="643"/>
        <w:rPr>
          <w:rFonts w:hint="eastAsia" w:ascii="仿宋" w:hAnsi="仿宋" w:cs="仿宋"/>
          <w:szCs w:val="32"/>
        </w:rPr>
      </w:pPr>
      <w:bookmarkStart w:id="1558" w:name="_Toc28893"/>
      <w:bookmarkStart w:id="1559" w:name="_Toc12360"/>
      <w:bookmarkStart w:id="1560" w:name="_Toc30033"/>
      <w:bookmarkStart w:id="1561" w:name="_Toc20620"/>
      <w:bookmarkStart w:id="1562" w:name="_Toc25494"/>
      <w:r>
        <w:rPr>
          <w:rFonts w:hint="eastAsia" w:ascii="仿宋" w:hAnsi="仿宋" w:cs="仿宋"/>
          <w:szCs w:val="32"/>
        </w:rPr>
        <w:t>（2）预算管理</w:t>
      </w:r>
      <w:bookmarkEnd w:id="1558"/>
      <w:bookmarkEnd w:id="1559"/>
      <w:bookmarkEnd w:id="1560"/>
      <w:bookmarkEnd w:id="1561"/>
      <w:bookmarkEnd w:id="1562"/>
    </w:p>
    <w:p>
      <w:pPr>
        <w:autoSpaceDE w:val="0"/>
        <w:autoSpaceDN w:val="0"/>
        <w:ind w:firstLine="640"/>
        <w:rPr>
          <w:rFonts w:hint="eastAsia" w:ascii="仿宋" w:hAnsi="仿宋" w:cs="仿宋"/>
          <w:szCs w:val="32"/>
        </w:rPr>
      </w:pPr>
      <w:r>
        <w:rPr>
          <w:rFonts w:hint="eastAsia" w:ascii="仿宋" w:hAnsi="仿宋" w:cs="仿宋"/>
          <w:szCs w:val="32"/>
        </w:rPr>
        <w:t>1）管理制度健全性和执行性</w:t>
      </w:r>
    </w:p>
    <w:p>
      <w:pPr>
        <w:overflowPunct w:val="0"/>
        <w:autoSpaceDE w:val="0"/>
        <w:autoSpaceDN w:val="0"/>
        <w:adjustRightInd w:val="0"/>
        <w:snapToGrid w:val="0"/>
        <w:ind w:firstLine="640"/>
        <w:contextualSpacing/>
        <w:rPr>
          <w:rFonts w:hint="eastAsia" w:ascii="仿宋" w:hAnsi="仿宋" w:cs="仿宋"/>
          <w:kern w:val="0"/>
          <w:szCs w:val="32"/>
          <w:shd w:val="clear" w:color="auto" w:fill="FFFFFF"/>
        </w:rPr>
      </w:pPr>
      <w:r>
        <w:rPr>
          <w:rFonts w:hint="eastAsia" w:ascii="仿宋" w:hAnsi="仿宋" w:cs="仿宋"/>
          <w:szCs w:val="32"/>
        </w:rPr>
        <w:t>为规范各个业务环节的管理，高新区市政中心制定了</w:t>
      </w:r>
      <w:r>
        <w:rPr>
          <w:rFonts w:hint="eastAsia" w:ascii="仿宋" w:hAnsi="仿宋" w:cs="仿宋"/>
          <w:kern w:val="0"/>
          <w:szCs w:val="32"/>
        </w:rPr>
        <w:t>《</w:t>
      </w:r>
      <w:r>
        <w:rPr>
          <w:rFonts w:hint="eastAsia" w:ascii="仿宋" w:hAnsi="仿宋" w:cs="仿宋"/>
          <w:szCs w:val="32"/>
        </w:rPr>
        <w:t>高新区市政中心</w:t>
      </w:r>
      <w:r>
        <w:rPr>
          <w:rFonts w:hint="eastAsia" w:ascii="仿宋" w:hAnsi="仿宋" w:cs="仿宋"/>
          <w:kern w:val="0"/>
          <w:szCs w:val="32"/>
        </w:rPr>
        <w:t>“三重一大”事项集体决策实施细则》《</w:t>
      </w:r>
      <w:r>
        <w:rPr>
          <w:rFonts w:hint="eastAsia" w:ascii="仿宋" w:hAnsi="仿宋" w:cs="仿宋"/>
          <w:szCs w:val="32"/>
        </w:rPr>
        <w:t>高新区市政中心预算业务制度</w:t>
      </w:r>
      <w:r>
        <w:rPr>
          <w:rFonts w:hint="eastAsia" w:ascii="仿宋" w:hAnsi="仿宋" w:cs="仿宋"/>
          <w:kern w:val="0"/>
          <w:szCs w:val="32"/>
        </w:rPr>
        <w:t>》《遂宁高新区建设与交通运输局（含高新区市政中心）年度绩效考核实施办法（试行）》等管理制度。</w:t>
      </w:r>
      <w:r>
        <w:rPr>
          <w:rFonts w:hint="eastAsia" w:ascii="仿宋" w:hAnsi="仿宋" w:cs="仿宋"/>
          <w:kern w:val="0"/>
          <w:szCs w:val="32"/>
          <w:lang w:bidi="ar"/>
        </w:rPr>
        <w:t>其他管理制度参照的是《机关财务管理制度（试行）》《遂宁高新区财政性资金使用管理暂行办法（试行）》</w:t>
      </w:r>
      <w:r>
        <w:rPr>
          <w:rFonts w:hint="eastAsia" w:ascii="仿宋" w:hAnsi="仿宋" w:cs="仿宋"/>
          <w:szCs w:val="32"/>
        </w:rPr>
        <w:t>等文件规定制度执行。但制度执行存在不足，本次抽查的相关的原始凭证</w:t>
      </w:r>
      <w:r>
        <w:rPr>
          <w:rFonts w:hint="eastAsia" w:ascii="仿宋" w:hAnsi="仿宋" w:cs="仿宋"/>
          <w:kern w:val="0"/>
          <w:szCs w:val="32"/>
          <w:shd w:val="clear" w:color="auto" w:fill="FFFFFF"/>
        </w:rPr>
        <w:t>发现报销凭证不齐全，无入库验收记录等</w:t>
      </w:r>
      <w:r>
        <w:rPr>
          <w:rFonts w:hint="eastAsia" w:ascii="仿宋" w:hAnsi="仿宋" w:cs="仿宋"/>
          <w:szCs w:val="32"/>
        </w:rPr>
        <w:t>。</w:t>
      </w:r>
    </w:p>
    <w:p>
      <w:pPr>
        <w:overflowPunct w:val="0"/>
        <w:autoSpaceDE w:val="0"/>
        <w:autoSpaceDN w:val="0"/>
        <w:ind w:firstLine="640"/>
        <w:rPr>
          <w:rFonts w:hint="eastAsia" w:ascii="仿宋" w:hAnsi="仿宋" w:cs="仿宋"/>
          <w:szCs w:val="32"/>
        </w:rPr>
      </w:pPr>
      <w:r>
        <w:rPr>
          <w:rFonts w:hint="eastAsia" w:ascii="仿宋" w:hAnsi="仿宋" w:cs="仿宋"/>
          <w:kern w:val="0"/>
          <w:szCs w:val="32"/>
          <w:lang w:bidi="ar"/>
        </w:rPr>
        <w:t>2）资金使用合规性</w:t>
      </w:r>
    </w:p>
    <w:p>
      <w:pPr>
        <w:overflowPunct w:val="0"/>
        <w:autoSpaceDE w:val="0"/>
        <w:autoSpaceDN w:val="0"/>
        <w:ind w:firstLine="640"/>
        <w:rPr>
          <w:rFonts w:hint="eastAsia" w:ascii="仿宋" w:hAnsi="仿宋" w:cs="仿宋"/>
          <w:szCs w:val="32"/>
        </w:rPr>
      </w:pPr>
      <w:r>
        <w:rPr>
          <w:rFonts w:hint="eastAsia" w:ascii="仿宋" w:hAnsi="仿宋" w:cs="仿宋"/>
          <w:kern w:val="0"/>
          <w:szCs w:val="32"/>
          <w:lang w:bidi="ar"/>
        </w:rPr>
        <w:t>经检查高新区市政中心预算资金使用账目资料，查看单位严格执行预算批复和相关的预算财务管理制度的规定的情况，评价高新区市政中心预算资金的规范运行情况。经查看高新区市政中心预算资金支出账目和资金支出资料，资金支出符合部门预算批复的用途，符合国家财经法规和财务管理制度规定以及有关专项资金管理办法的规定，能够严格执行国库集中支付。评价组发现</w:t>
      </w:r>
      <w:r>
        <w:rPr>
          <w:rFonts w:hint="eastAsia" w:ascii="仿宋" w:hAnsi="仿宋" w:cs="仿宋"/>
          <w:szCs w:val="32"/>
        </w:rPr>
        <w:t>资金支付凭据不合规，报账资料审核不够严格，存在报账票据不合规（发票抬头不规范），票据流与资金流不一致；入账发票不合规的情况。</w:t>
      </w:r>
    </w:p>
    <w:p>
      <w:pPr>
        <w:autoSpaceDE w:val="0"/>
        <w:autoSpaceDN w:val="0"/>
        <w:ind w:firstLine="640"/>
        <w:rPr>
          <w:rFonts w:hint="eastAsia" w:ascii="仿宋" w:hAnsi="仿宋" w:cs="仿宋"/>
          <w:szCs w:val="32"/>
        </w:rPr>
      </w:pPr>
      <w:r>
        <w:rPr>
          <w:rFonts w:hint="eastAsia" w:ascii="仿宋" w:hAnsi="仿宋" w:cs="仿宋"/>
          <w:szCs w:val="32"/>
        </w:rPr>
        <w:t>3）预决算信息公开性</w:t>
      </w:r>
    </w:p>
    <w:p>
      <w:pPr>
        <w:overflowPunct w:val="0"/>
        <w:autoSpaceDE w:val="0"/>
        <w:autoSpaceDN w:val="0"/>
        <w:ind w:firstLine="640"/>
        <w:rPr>
          <w:rFonts w:hint="eastAsia" w:ascii="仿宋" w:hAnsi="仿宋" w:cs="仿宋"/>
          <w:szCs w:val="32"/>
        </w:rPr>
      </w:pPr>
      <w:r>
        <w:rPr>
          <w:rFonts w:hint="eastAsia" w:ascii="仿宋" w:hAnsi="仿宋" w:cs="仿宋"/>
          <w:szCs w:val="32"/>
          <w:lang w:bidi="ar"/>
        </w:rPr>
        <w:t>此</w:t>
      </w:r>
      <w:r>
        <w:rPr>
          <w:rFonts w:hint="eastAsia" w:ascii="仿宋" w:hAnsi="仿宋" w:cs="仿宋"/>
          <w:kern w:val="0"/>
          <w:szCs w:val="32"/>
          <w:lang w:bidi="ar"/>
        </w:rPr>
        <w:t>次绩效评价，我们查看了高新区市政中心信息网站。（网站为四川省遂宁市人民政府网站，网络地址为：</w:t>
      </w:r>
      <w:r>
        <w:rPr>
          <w:rFonts w:hint="eastAsia" w:ascii="仿宋" w:hAnsi="仿宋" w:cs="仿宋"/>
          <w:kern w:val="0"/>
          <w:szCs w:val="32"/>
          <w:lang w:bidi="ar"/>
        </w:rPr>
        <w:fldChar w:fldCharType="begin"/>
      </w:r>
      <w:r>
        <w:rPr>
          <w:rFonts w:hint="eastAsia" w:ascii="仿宋" w:hAnsi="仿宋" w:cs="仿宋"/>
          <w:kern w:val="0"/>
          <w:szCs w:val="32"/>
          <w:lang w:bidi="ar"/>
        </w:rPr>
        <w:instrText xml:space="preserve"> HYPERLINK "https://www.suining.gov.cn/welcome" </w:instrText>
      </w:r>
      <w:r>
        <w:rPr>
          <w:rFonts w:hint="eastAsia" w:ascii="仿宋" w:hAnsi="仿宋" w:cs="仿宋"/>
          <w:kern w:val="0"/>
          <w:szCs w:val="32"/>
          <w:lang w:bidi="ar"/>
        </w:rPr>
        <w:fldChar w:fldCharType="separate"/>
      </w:r>
      <w:r>
        <w:rPr>
          <w:rStyle w:val="23"/>
          <w:rFonts w:hint="eastAsia" w:ascii="仿宋" w:hAnsi="仿宋" w:cs="仿宋"/>
          <w:color w:val="auto"/>
          <w:kern w:val="0"/>
          <w:szCs w:val="32"/>
          <w:u w:val="none"/>
          <w:lang w:bidi="ar"/>
        </w:rPr>
        <w:t>https://www.suining.gov.cn/welcome</w:t>
      </w:r>
      <w:r>
        <w:rPr>
          <w:rFonts w:hint="eastAsia" w:ascii="仿宋" w:hAnsi="仿宋" w:cs="仿宋"/>
          <w:kern w:val="0"/>
          <w:szCs w:val="32"/>
          <w:lang w:bidi="ar"/>
        </w:rPr>
        <w:fldChar w:fldCharType="end"/>
      </w:r>
      <w:r>
        <w:rPr>
          <w:rFonts w:hint="eastAsia" w:ascii="仿宋" w:hAnsi="仿宋" w:cs="仿宋"/>
          <w:kern w:val="0"/>
          <w:szCs w:val="32"/>
          <w:lang w:bidi="ar"/>
        </w:rPr>
        <w:t>），在政府信息公开－政府信息公开指南-法定主动公开内容-财政预决算公开-2023年财政预决算公开-市直园区预决算信息公开-遂宁高新区一项中显示，2023年01月20日高新区市政中心公开了2023年部门预算信息，2023年部门整体支出绩效目标表，但是未见2023年决算信息公开。</w:t>
      </w:r>
    </w:p>
    <w:p>
      <w:pPr>
        <w:autoSpaceDE w:val="0"/>
        <w:autoSpaceDN w:val="0"/>
        <w:ind w:firstLine="640"/>
        <w:rPr>
          <w:rFonts w:hint="eastAsia" w:ascii="仿宋" w:hAnsi="仿宋" w:cs="仿宋"/>
          <w:szCs w:val="32"/>
        </w:rPr>
      </w:pPr>
      <w:r>
        <w:rPr>
          <w:rFonts w:hint="eastAsia" w:ascii="仿宋" w:hAnsi="仿宋" w:cs="仿宋"/>
          <w:szCs w:val="32"/>
        </w:rPr>
        <w:t>4）政府购买服务执行情况</w:t>
      </w:r>
    </w:p>
    <w:p>
      <w:pPr>
        <w:pStyle w:val="8"/>
        <w:autoSpaceDE w:val="0"/>
        <w:autoSpaceDN w:val="0"/>
        <w:ind w:firstLine="640"/>
        <w:jc w:val="both"/>
        <w:rPr>
          <w:rFonts w:hint="eastAsia" w:ascii="仿宋" w:hAnsi="仿宋" w:cs="仿宋"/>
          <w:szCs w:val="32"/>
        </w:rPr>
      </w:pPr>
      <w:r>
        <w:rPr>
          <w:rFonts w:hint="eastAsia" w:ascii="仿宋" w:hAnsi="仿宋" w:cs="仿宋"/>
          <w:szCs w:val="32"/>
        </w:rPr>
        <w:t>2023年度高新区市政中心不属于政府采购主体，2023年度不涉及政府采购预算。</w:t>
      </w:r>
    </w:p>
    <w:p>
      <w:pPr>
        <w:autoSpaceDE w:val="0"/>
        <w:autoSpaceDN w:val="0"/>
        <w:ind w:firstLine="640"/>
        <w:rPr>
          <w:rFonts w:hint="eastAsia" w:ascii="仿宋" w:hAnsi="仿宋" w:cs="仿宋"/>
          <w:szCs w:val="32"/>
        </w:rPr>
      </w:pPr>
      <w:r>
        <w:rPr>
          <w:rFonts w:hint="eastAsia" w:ascii="仿宋" w:hAnsi="仿宋" w:cs="仿宋"/>
          <w:szCs w:val="32"/>
        </w:rPr>
        <w:t>5）财务信息完善性</w:t>
      </w:r>
    </w:p>
    <w:p>
      <w:pPr>
        <w:autoSpaceDE w:val="0"/>
        <w:autoSpaceDN w:val="0"/>
        <w:ind w:firstLine="640"/>
        <w:rPr>
          <w:rFonts w:hint="eastAsia" w:ascii="仿宋" w:hAnsi="仿宋" w:cs="仿宋"/>
          <w:szCs w:val="32"/>
        </w:rPr>
      </w:pPr>
      <w:r>
        <w:rPr>
          <w:rFonts w:hint="eastAsia" w:ascii="仿宋" w:hAnsi="仿宋" w:cs="仿宋"/>
          <w:szCs w:val="32"/>
        </w:rPr>
        <w:t>本项考核依据</w:t>
      </w:r>
      <w:r>
        <w:rPr>
          <w:rFonts w:hint="eastAsia" w:ascii="仿宋" w:hAnsi="仿宋" w:cs="仿宋"/>
          <w:kern w:val="0"/>
          <w:szCs w:val="32"/>
          <w:lang w:bidi="ar"/>
        </w:rPr>
        <w:t>《机关财务管理制度（试行）》（遂高办</w:t>
      </w:r>
      <w:r>
        <w:rPr>
          <w:rFonts w:hint="eastAsia" w:ascii="仿宋" w:hAnsi="仿宋" w:cs="仿宋"/>
          <w:szCs w:val="32"/>
        </w:rPr>
        <w:t>〔2021〕</w:t>
      </w:r>
      <w:r>
        <w:rPr>
          <w:rFonts w:hint="eastAsia" w:ascii="仿宋" w:hAnsi="仿宋" w:cs="仿宋"/>
          <w:kern w:val="0"/>
          <w:szCs w:val="32"/>
          <w:lang w:bidi="ar"/>
        </w:rPr>
        <w:t>26</w:t>
      </w:r>
      <w:r>
        <w:rPr>
          <w:rFonts w:hint="eastAsia" w:ascii="仿宋" w:hAnsi="仿宋" w:cs="仿宋"/>
          <w:kern w:val="0"/>
          <w:szCs w:val="32"/>
          <w:highlight w:val="none"/>
          <w:lang w:bidi="ar"/>
        </w:rPr>
        <w:t>9号）、</w:t>
      </w:r>
      <w:r>
        <w:rPr>
          <w:rFonts w:hint="eastAsia" w:ascii="仿宋" w:hAnsi="仿宋" w:cs="仿宋"/>
          <w:szCs w:val="32"/>
          <w:highlight w:val="none"/>
        </w:rPr>
        <w:t>《遂宁高新区财政性资金使用管理暂行办法（试行）》（遂高办〔2021〕270号）、</w:t>
      </w:r>
      <w:r>
        <w:rPr>
          <w:rFonts w:hint="eastAsia" w:ascii="仿宋" w:hAnsi="仿宋" w:cs="仿宋"/>
          <w:kern w:val="0"/>
          <w:szCs w:val="32"/>
          <w:highlight w:val="none"/>
          <w:lang w:bidi="ar"/>
        </w:rPr>
        <w:t>《遂宁市党政机关国内公务接待管理实施办法的通知》（遂委办发</w:t>
      </w:r>
      <w:r>
        <w:rPr>
          <w:rFonts w:hint="eastAsia" w:ascii="仿宋" w:hAnsi="仿宋" w:cs="仿宋"/>
          <w:szCs w:val="32"/>
        </w:rPr>
        <w:t>〔2014〕</w:t>
      </w:r>
      <w:r>
        <w:rPr>
          <w:rFonts w:hint="eastAsia" w:ascii="仿宋" w:hAnsi="仿宋" w:cs="仿宋"/>
          <w:kern w:val="0"/>
          <w:szCs w:val="32"/>
          <w:lang w:bidi="ar"/>
        </w:rPr>
        <w:t>18号）</w:t>
      </w:r>
      <w:r>
        <w:rPr>
          <w:rFonts w:hint="eastAsia" w:ascii="仿宋" w:hAnsi="仿宋" w:cs="仿宋"/>
          <w:szCs w:val="32"/>
        </w:rPr>
        <w:t>的规定，检查会计信息资料是否真实、准确、完整，用以评价该部门财务信息对预算管理工作的反映情况。抽查凭证发现存在会计核算不准确，</w:t>
      </w:r>
      <w:r>
        <w:rPr>
          <w:rFonts w:hint="eastAsia" w:ascii="仿宋" w:hAnsi="仿宋" w:cs="仿宋"/>
          <w:kern w:val="0"/>
          <w:szCs w:val="32"/>
          <w:lang w:bidi="ar"/>
        </w:rPr>
        <w:t>会计信息登记不够真实完整</w:t>
      </w:r>
      <w:r>
        <w:rPr>
          <w:rFonts w:hint="eastAsia" w:ascii="仿宋" w:hAnsi="仿宋" w:cs="仿宋"/>
          <w:szCs w:val="32"/>
        </w:rPr>
        <w:t>。</w:t>
      </w:r>
    </w:p>
    <w:p>
      <w:pPr>
        <w:pStyle w:val="5"/>
        <w:keepLines w:val="0"/>
        <w:autoSpaceDE w:val="0"/>
        <w:autoSpaceDN w:val="0"/>
        <w:ind w:firstLine="643"/>
        <w:rPr>
          <w:rFonts w:hint="eastAsia" w:ascii="仿宋" w:hAnsi="仿宋" w:cs="仿宋"/>
          <w:szCs w:val="32"/>
        </w:rPr>
      </w:pPr>
      <w:bookmarkStart w:id="1563" w:name="_Toc6502"/>
      <w:bookmarkStart w:id="1564" w:name="_Toc23444"/>
      <w:bookmarkStart w:id="1565" w:name="_Toc30694"/>
      <w:bookmarkStart w:id="1566" w:name="_Toc2892"/>
      <w:bookmarkStart w:id="1567" w:name="_Toc24236"/>
      <w:r>
        <w:rPr>
          <w:rFonts w:hint="eastAsia" w:ascii="仿宋" w:hAnsi="仿宋" w:cs="仿宋"/>
          <w:szCs w:val="32"/>
        </w:rPr>
        <w:t>（3）资产管理</w:t>
      </w:r>
      <w:bookmarkEnd w:id="1563"/>
      <w:bookmarkEnd w:id="1564"/>
      <w:bookmarkEnd w:id="1565"/>
      <w:bookmarkEnd w:id="1566"/>
      <w:bookmarkEnd w:id="1567"/>
    </w:p>
    <w:p>
      <w:pPr>
        <w:autoSpaceDE w:val="0"/>
        <w:autoSpaceDN w:val="0"/>
        <w:ind w:firstLine="640"/>
        <w:rPr>
          <w:rFonts w:hint="eastAsia" w:ascii="仿宋" w:hAnsi="仿宋" w:cs="仿宋"/>
          <w:szCs w:val="32"/>
        </w:rPr>
      </w:pPr>
      <w:r>
        <w:rPr>
          <w:rFonts w:hint="eastAsia" w:ascii="仿宋" w:hAnsi="仿宋" w:cs="仿宋"/>
          <w:szCs w:val="32"/>
        </w:rPr>
        <w:t>1）资产管理制度健全性合规性和执行度</w:t>
      </w:r>
    </w:p>
    <w:p>
      <w:pPr>
        <w:autoSpaceDE w:val="0"/>
        <w:autoSpaceDN w:val="0"/>
        <w:ind w:firstLine="640"/>
        <w:rPr>
          <w:rFonts w:hint="eastAsia" w:ascii="仿宋" w:hAnsi="仿宋" w:cs="仿宋"/>
          <w:szCs w:val="32"/>
        </w:rPr>
      </w:pPr>
      <w:r>
        <w:rPr>
          <w:rFonts w:hint="eastAsia" w:ascii="仿宋" w:hAnsi="仿宋" w:cs="仿宋"/>
          <w:szCs w:val="32"/>
        </w:rPr>
        <w:t>高新区市政中心制定了固定资产管理制度，单位没有成立部门国有资产管理领导组织，相关资产管理制度有待于进一步建立完善并执行。</w:t>
      </w:r>
    </w:p>
    <w:p>
      <w:pPr>
        <w:autoSpaceDE w:val="0"/>
        <w:autoSpaceDN w:val="0"/>
        <w:ind w:firstLine="640"/>
        <w:rPr>
          <w:rFonts w:hint="eastAsia" w:ascii="仿宋" w:hAnsi="仿宋" w:cs="仿宋"/>
          <w:szCs w:val="32"/>
        </w:rPr>
      </w:pPr>
      <w:r>
        <w:rPr>
          <w:rFonts w:hint="eastAsia" w:ascii="仿宋" w:hAnsi="仿宋" w:cs="仿宋"/>
          <w:szCs w:val="32"/>
        </w:rPr>
        <w:t>2）资产管理规范性</w:t>
      </w:r>
    </w:p>
    <w:p>
      <w:pPr>
        <w:autoSpaceDE w:val="0"/>
        <w:autoSpaceDN w:val="0"/>
        <w:ind w:firstLine="640"/>
        <w:rPr>
          <w:rFonts w:hint="eastAsia" w:ascii="仿宋" w:hAnsi="仿宋" w:cs="仿宋"/>
          <w:szCs w:val="32"/>
        </w:rPr>
      </w:pPr>
      <w:r>
        <w:rPr>
          <w:rFonts w:hint="eastAsia" w:ascii="仿宋" w:hAnsi="仿宋" w:cs="仿宋"/>
          <w:szCs w:val="32"/>
        </w:rPr>
        <w:t>本次评价工作针对的方向有①资产保存完整；②资产配置合理；③资产使用规范；④资产账务管理合规，账实相符。</w:t>
      </w:r>
    </w:p>
    <w:p>
      <w:pPr>
        <w:autoSpaceDE w:val="0"/>
        <w:autoSpaceDN w:val="0"/>
        <w:ind w:firstLine="640"/>
        <w:rPr>
          <w:rFonts w:hint="eastAsia" w:ascii="仿宋" w:hAnsi="仿宋" w:cs="仿宋"/>
          <w:szCs w:val="32"/>
        </w:rPr>
      </w:pPr>
      <w:r>
        <w:rPr>
          <w:rFonts w:hint="eastAsia" w:ascii="仿宋" w:hAnsi="仿宋" w:cs="仿宋"/>
          <w:szCs w:val="32"/>
        </w:rPr>
        <w:t>高新区市政中心相关资产核查清点工作相对滞后，单位资产能够基本保管完好，配置相对合理。但是也存在着资产管理不到位的情况，如</w:t>
      </w:r>
      <w:r>
        <w:rPr>
          <w:rFonts w:hint="eastAsia" w:ascii="仿宋" w:hAnsi="仿宋" w:cs="仿宋"/>
          <w:kern w:val="0"/>
          <w:szCs w:val="32"/>
          <w:lang w:bidi="ar"/>
        </w:rPr>
        <w:t>正常盘点工作和账实核对工作缺失、未建资产卡片、缺少验收入库手续</w:t>
      </w:r>
      <w:r>
        <w:rPr>
          <w:rFonts w:hint="eastAsia" w:ascii="仿宋" w:hAnsi="仿宋" w:cs="仿宋"/>
          <w:szCs w:val="32"/>
        </w:rPr>
        <w:t>造成资产账实不符同时评价组发现存在账外资产办公设备及办公家具。</w:t>
      </w:r>
    </w:p>
    <w:p>
      <w:pPr>
        <w:autoSpaceDE w:val="0"/>
        <w:autoSpaceDN w:val="0"/>
        <w:ind w:firstLine="640"/>
        <w:rPr>
          <w:rFonts w:hint="eastAsia" w:ascii="仿宋" w:hAnsi="仿宋" w:cs="仿宋"/>
          <w:szCs w:val="32"/>
        </w:rPr>
      </w:pPr>
      <w:r>
        <w:rPr>
          <w:rFonts w:hint="eastAsia" w:ascii="仿宋" w:hAnsi="仿宋" w:cs="仿宋"/>
          <w:szCs w:val="32"/>
        </w:rPr>
        <w:t>3）固定资产利用率</w:t>
      </w:r>
    </w:p>
    <w:p>
      <w:pPr>
        <w:autoSpaceDE w:val="0"/>
        <w:autoSpaceDN w:val="0"/>
        <w:ind w:firstLine="640"/>
        <w:rPr>
          <w:rFonts w:hint="eastAsia" w:ascii="仿宋" w:hAnsi="仿宋" w:cs="仿宋"/>
          <w:szCs w:val="32"/>
        </w:rPr>
      </w:pPr>
      <w:r>
        <w:rPr>
          <w:rFonts w:hint="eastAsia" w:ascii="仿宋" w:hAnsi="仿宋" w:cs="仿宋"/>
          <w:szCs w:val="32"/>
        </w:rPr>
        <w:t>2024年6月20日，评价组根据高新区市政中心台账，整理出《固定资产盘点登记表》，与单位相关人员一起对高新区市政中心资产保存和使用状况进行盘点，评测单位实际在用固定资产总额与所有固定资产总额的比率，考核固定资产使用的效率程度。经过实际现场盘点资产并查看资产使用状态，未发现报废的资产。高新区市政中心的固定资产利用率100.00%。</w:t>
      </w:r>
    </w:p>
    <w:p>
      <w:pPr>
        <w:pStyle w:val="4"/>
        <w:ind w:firstLine="643"/>
        <w:rPr>
          <w:rFonts w:hint="eastAsia" w:ascii="楷体" w:hAnsi="楷体" w:eastAsia="楷体" w:cs="楷体"/>
        </w:rPr>
      </w:pPr>
      <w:bookmarkStart w:id="1568" w:name="_Toc6480"/>
      <w:bookmarkStart w:id="1569" w:name="_Toc19783"/>
      <w:bookmarkStart w:id="1570" w:name="_Toc27344"/>
      <w:bookmarkStart w:id="1571" w:name="_Toc5035"/>
      <w:bookmarkStart w:id="1572" w:name="_Toc8404"/>
      <w:bookmarkStart w:id="1573" w:name="_Toc26746"/>
      <w:bookmarkStart w:id="1574" w:name="_Toc10989"/>
      <w:bookmarkStart w:id="1575" w:name="_Toc12779"/>
      <w:r>
        <w:rPr>
          <w:rFonts w:hint="eastAsia" w:ascii="楷体" w:hAnsi="楷体" w:eastAsia="楷体" w:cs="楷体"/>
        </w:rPr>
        <w:t>3.产出指标</w:t>
      </w:r>
      <w:bookmarkEnd w:id="1568"/>
      <w:bookmarkEnd w:id="1569"/>
      <w:bookmarkEnd w:id="1570"/>
      <w:bookmarkEnd w:id="1571"/>
      <w:bookmarkEnd w:id="1572"/>
      <w:bookmarkEnd w:id="1573"/>
      <w:bookmarkEnd w:id="1574"/>
      <w:bookmarkEnd w:id="1575"/>
    </w:p>
    <w:p>
      <w:pPr>
        <w:autoSpaceDE w:val="0"/>
        <w:autoSpaceDN w:val="0"/>
        <w:ind w:firstLine="640"/>
        <w:rPr>
          <w:rFonts w:hint="eastAsia" w:ascii="仿宋" w:hAnsi="仿宋" w:cs="仿宋"/>
          <w:szCs w:val="32"/>
        </w:rPr>
      </w:pPr>
      <w:r>
        <w:rPr>
          <w:rFonts w:hint="eastAsia" w:ascii="仿宋" w:hAnsi="仿宋" w:cs="仿宋"/>
          <w:szCs w:val="32"/>
        </w:rPr>
        <w:t>结合2023年度高新区市政中心绩效目标设定情况，此次评价对高新区市政中心工作完成情况和目标实现进行评价，2023年度高新区市政中心对园区市政设施、绿化养护、道路清扫保洁、园区生活、餐厨垃圾转运处理、园区污水处理等方面的工作任务上都完成了对应的数量目标值，在园区环境卫生干净整洁率、路灯、交通信号灯安全运行率、收集污水全部达标处理排放率、收集转运垃圾无害化处理等反映质量信息的指标上也达到了预设的目标。总体上，高新区市政中心2023年度圆满地完成了当年工作任务，相关成果数量和质量都是达标的。在工作履职方面，本地区行业指标是高于全国平均水平的，但是在工作领先突出方面，还做不到前列。该指标分值30.00分，得分29.50分，得分率98.33%。评分见下表：</w:t>
      </w:r>
    </w:p>
    <w:p>
      <w:pPr>
        <w:autoSpaceDE w:val="0"/>
        <w:autoSpaceDN w:val="0"/>
        <w:spacing w:after="120" w:afterLines="50"/>
        <w:ind w:firstLine="0" w:firstLineChars="0"/>
        <w:jc w:val="center"/>
        <w:rPr>
          <w:rFonts w:hint="eastAsia" w:ascii="仿宋" w:hAnsi="仿宋" w:cs="仿宋"/>
          <w:b/>
          <w:bCs/>
          <w:szCs w:val="32"/>
        </w:rPr>
      </w:pPr>
      <w:r>
        <w:rPr>
          <w:rFonts w:hint="eastAsia" w:ascii="宋体" w:hAnsi="宋体" w:eastAsia="宋体" w:cs="宋体"/>
          <w:b/>
          <w:bCs/>
          <w:sz w:val="28"/>
          <w:szCs w:val="28"/>
        </w:rPr>
        <w:t>产出指标设定及评分情况表</w:t>
      </w:r>
    </w:p>
    <w:tbl>
      <w:tblPr>
        <w:tblStyle w:val="18"/>
        <w:tblW w:w="8517" w:type="dxa"/>
        <w:jc w:val="center"/>
        <w:tblLayout w:type="fixed"/>
        <w:tblCellMar>
          <w:top w:w="0" w:type="dxa"/>
          <w:left w:w="108" w:type="dxa"/>
          <w:bottom w:w="0" w:type="dxa"/>
          <w:right w:w="108" w:type="dxa"/>
        </w:tblCellMar>
      </w:tblPr>
      <w:tblGrid>
        <w:gridCol w:w="1184"/>
        <w:gridCol w:w="1305"/>
        <w:gridCol w:w="3276"/>
        <w:gridCol w:w="1355"/>
        <w:gridCol w:w="1397"/>
      </w:tblGrid>
      <w:tr>
        <w:tblPrEx>
          <w:tblCellMar>
            <w:top w:w="0" w:type="dxa"/>
            <w:left w:w="108" w:type="dxa"/>
            <w:bottom w:w="0" w:type="dxa"/>
            <w:right w:w="108" w:type="dxa"/>
          </w:tblCellMar>
        </w:tblPrEx>
        <w:trPr>
          <w:trHeight w:val="539" w:hRule="atLeast"/>
          <w:jc w:val="center"/>
        </w:trPr>
        <w:tc>
          <w:tcPr>
            <w:tcW w:w="1184"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一级指标</w:t>
            </w:r>
          </w:p>
        </w:tc>
        <w:tc>
          <w:tcPr>
            <w:tcW w:w="130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二级指标</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三级指标</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分值</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得分</w:t>
            </w:r>
          </w:p>
        </w:tc>
      </w:tr>
      <w:tr>
        <w:tblPrEx>
          <w:tblCellMar>
            <w:top w:w="0" w:type="dxa"/>
            <w:left w:w="108" w:type="dxa"/>
            <w:bottom w:w="0" w:type="dxa"/>
            <w:right w:w="108" w:type="dxa"/>
          </w:tblCellMar>
        </w:tblPrEx>
        <w:trPr>
          <w:trHeight w:val="834" w:hRule="atLeast"/>
          <w:jc w:val="center"/>
        </w:trPr>
        <w:tc>
          <w:tcPr>
            <w:tcW w:w="1184"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产出指标（30分）</w:t>
            </w: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产出数量（10分）</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园区市政设施、绿化养护、道路清扫保洁</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4.00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4.00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园区生活、餐厨垃圾转运处理</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园区污水处理</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产出质量（10分）</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园区环境卫生干净整洁</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路灯、交通信号灯安全运行</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3.00</w:t>
            </w:r>
          </w:p>
        </w:tc>
      </w:tr>
      <w:tr>
        <w:tblPrEx>
          <w:tblCellMar>
            <w:top w:w="0" w:type="dxa"/>
            <w:left w:w="108" w:type="dxa"/>
            <w:bottom w:w="0" w:type="dxa"/>
            <w:right w:w="108" w:type="dxa"/>
          </w:tblCellMar>
        </w:tblPrEx>
        <w:trPr>
          <w:trHeight w:val="69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收集污水全部达标处理排放</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2.00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2.00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收集转运垃圾无害化处理</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2.00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2.00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职责履行（10分）</w:t>
            </w:r>
          </w:p>
        </w:tc>
        <w:tc>
          <w:tcPr>
            <w:tcW w:w="3276"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工作发展</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5.00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4.50</w:t>
            </w:r>
          </w:p>
        </w:tc>
      </w:tr>
      <w:tr>
        <w:tblPrEx>
          <w:tblCellMar>
            <w:top w:w="0" w:type="dxa"/>
            <w:left w:w="108" w:type="dxa"/>
            <w:bottom w:w="0" w:type="dxa"/>
            <w:right w:w="108" w:type="dxa"/>
          </w:tblCellMar>
        </w:tblPrEx>
        <w:trPr>
          <w:trHeight w:val="539" w:hRule="atLeast"/>
          <w:jc w:val="center"/>
        </w:trPr>
        <w:tc>
          <w:tcPr>
            <w:tcW w:w="1184" w:type="dxa"/>
            <w:vMerge w:val="continue"/>
            <w:tcBorders>
              <w:top w:val="single" w:color="000000" w:sz="4" w:space="0"/>
              <w:left w:val="single" w:color="000000" w:sz="4" w:space="0"/>
              <w:bottom w:val="single" w:color="auto"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vMerge w:val="continue"/>
            <w:tcBorders>
              <w:top w:val="single" w:color="000000" w:sz="4" w:space="0"/>
              <w:left w:val="single" w:color="000000" w:sz="4" w:space="0"/>
              <w:bottom w:val="single" w:color="auto"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000000" w:sz="4" w:space="0"/>
              <w:left w:val="single" w:color="000000" w:sz="4" w:space="0"/>
              <w:bottom w:val="single" w:color="auto" w:sz="4" w:space="0"/>
              <w:right w:val="single" w:color="000000" w:sz="4" w:space="0"/>
            </w:tcBorders>
            <w:noWrap w:val="0"/>
            <w:vAlign w:val="center"/>
          </w:tcPr>
          <w:p>
            <w:pPr>
              <w:autoSpaceDE w:val="0"/>
              <w:autoSpaceDN w:val="0"/>
              <w:spacing w:line="240" w:lineRule="auto"/>
              <w:ind w:firstLine="0" w:firstLineChars="0"/>
              <w:jc w:val="center"/>
              <w:textAlignment w:val="center"/>
              <w:rPr>
                <w:rFonts w:hint="eastAsia" w:ascii="宋体" w:hAnsi="宋体" w:eastAsia="宋体" w:cs="宋体"/>
                <w:kern w:val="0"/>
                <w:sz w:val="24"/>
                <w:lang w:bidi="ar"/>
              </w:rPr>
            </w:pPr>
            <w:r>
              <w:rPr>
                <w:rFonts w:hint="eastAsia" w:ascii="宋体" w:hAnsi="宋体" w:eastAsia="宋体" w:cs="宋体"/>
                <w:kern w:val="0"/>
                <w:sz w:val="24"/>
                <w:lang w:bidi="ar"/>
              </w:rPr>
              <w:t>重点工作办理情况</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tabs>
                <w:tab w:val="center" w:pos="505"/>
              </w:tabs>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5.00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r>
              <w:rPr>
                <w:rFonts w:hint="eastAsia" w:ascii="宋体" w:hAnsi="宋体" w:eastAsia="宋体" w:cs="宋体"/>
                <w:kern w:val="0"/>
                <w:sz w:val="24"/>
                <w:lang w:bidi="ar"/>
              </w:rPr>
              <w:t>5.00</w:t>
            </w:r>
          </w:p>
        </w:tc>
      </w:tr>
      <w:tr>
        <w:tblPrEx>
          <w:tblCellMar>
            <w:top w:w="0" w:type="dxa"/>
            <w:left w:w="108" w:type="dxa"/>
            <w:bottom w:w="0" w:type="dxa"/>
            <w:right w:w="108" w:type="dxa"/>
          </w:tblCellMar>
        </w:tblPrEx>
        <w:trPr>
          <w:trHeight w:val="549" w:hRule="atLeast"/>
          <w:jc w:val="center"/>
        </w:trPr>
        <w:tc>
          <w:tcPr>
            <w:tcW w:w="1184" w:type="dxa"/>
            <w:tcBorders>
              <w:top w:val="single" w:color="auto"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1305" w:type="dxa"/>
            <w:tcBorders>
              <w:top w:val="single" w:color="auto"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0"/>
              <w:textAlignment w:val="center"/>
              <w:rPr>
                <w:rFonts w:hint="eastAsia" w:ascii="宋体" w:hAnsi="宋体" w:eastAsia="宋体" w:cs="宋体"/>
                <w:kern w:val="0"/>
                <w:sz w:val="24"/>
                <w:lang w:bidi="ar"/>
              </w:rPr>
            </w:pPr>
          </w:p>
        </w:tc>
        <w:tc>
          <w:tcPr>
            <w:tcW w:w="3276" w:type="dxa"/>
            <w:tcBorders>
              <w:top w:val="single" w:color="auto"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0" w:firstLineChars="0"/>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本项分数合计</w:t>
            </w:r>
          </w:p>
        </w:tc>
        <w:tc>
          <w:tcPr>
            <w:tcW w:w="1355"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2"/>
              <w:textAlignment w:val="center"/>
              <w:rPr>
                <w:rFonts w:hint="eastAsia" w:ascii="宋体" w:hAnsi="宋体" w:eastAsia="宋体" w:cs="宋体"/>
                <w:b/>
                <w:bCs/>
                <w:kern w:val="0"/>
                <w:sz w:val="24"/>
                <w:lang w:bidi="ar"/>
              </w:rPr>
            </w:pPr>
            <w:r>
              <w:rPr>
                <w:rFonts w:hint="eastAsia" w:ascii="宋体" w:hAnsi="宋体" w:eastAsia="宋体" w:cs="宋体"/>
                <w:b/>
                <w:bCs/>
                <w:kern w:val="0"/>
                <w:sz w:val="24"/>
                <w:lang w:bidi="ar"/>
              </w:rPr>
              <w:t>30.00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autoSpaceDE w:val="0"/>
              <w:autoSpaceDN w:val="0"/>
              <w:spacing w:line="240" w:lineRule="auto"/>
              <w:ind w:firstLine="482"/>
              <w:textAlignment w:val="center"/>
              <w:rPr>
                <w:rFonts w:hint="eastAsia" w:ascii="宋体" w:hAnsi="宋体" w:eastAsia="宋体" w:cs="宋体"/>
                <w:kern w:val="0"/>
                <w:sz w:val="24"/>
                <w:lang w:bidi="ar"/>
              </w:rPr>
            </w:pPr>
            <w:r>
              <w:rPr>
                <w:rFonts w:hint="eastAsia" w:ascii="宋体" w:hAnsi="宋体" w:eastAsia="宋体" w:cs="宋体"/>
                <w:b/>
                <w:bCs/>
                <w:kern w:val="0"/>
                <w:sz w:val="24"/>
                <w:lang w:bidi="ar"/>
              </w:rPr>
              <w:t>29.50</w:t>
            </w:r>
          </w:p>
        </w:tc>
      </w:tr>
    </w:tbl>
    <w:p>
      <w:pPr>
        <w:pStyle w:val="5"/>
        <w:ind w:firstLine="643"/>
        <w:rPr>
          <w:rFonts w:hint="eastAsia" w:ascii="仿宋" w:hAnsi="仿宋" w:eastAsia="仿宋" w:cs="仿宋"/>
        </w:rPr>
      </w:pPr>
      <w:bookmarkStart w:id="1576" w:name="_Toc4570"/>
      <w:bookmarkStart w:id="1577" w:name="_Toc16653"/>
      <w:bookmarkStart w:id="1578" w:name="_Toc16418"/>
      <w:bookmarkStart w:id="1579" w:name="_Toc28222"/>
      <w:r>
        <w:rPr>
          <w:rFonts w:hint="eastAsia" w:ascii="仿宋" w:hAnsi="仿宋" w:eastAsia="仿宋" w:cs="仿宋"/>
        </w:rPr>
        <w:t>（1）产出数量</w:t>
      </w:r>
      <w:bookmarkEnd w:id="1576"/>
      <w:bookmarkEnd w:id="1577"/>
      <w:bookmarkEnd w:id="1578"/>
      <w:bookmarkEnd w:id="1579"/>
    </w:p>
    <w:p>
      <w:pPr>
        <w:autoSpaceDE w:val="0"/>
        <w:autoSpaceDN w:val="0"/>
        <w:ind w:firstLine="640"/>
        <w:rPr>
          <w:rFonts w:hint="eastAsia" w:ascii="仿宋" w:hAnsi="仿宋" w:cs="仿宋"/>
          <w:szCs w:val="32"/>
        </w:rPr>
      </w:pPr>
      <w:r>
        <w:rPr>
          <w:rFonts w:hint="eastAsia" w:ascii="仿宋" w:hAnsi="仿宋" w:cs="仿宋"/>
          <w:szCs w:val="32"/>
        </w:rPr>
        <w:t>1）园区市政设施、绿化养护、道路清扫保洁</w:t>
      </w:r>
    </w:p>
    <w:p>
      <w:pPr>
        <w:autoSpaceDE w:val="0"/>
        <w:autoSpaceDN w:val="0"/>
        <w:ind w:firstLine="640"/>
        <w:rPr>
          <w:rFonts w:hint="eastAsia" w:ascii="仿宋" w:hAnsi="仿宋" w:cs="仿宋"/>
          <w:szCs w:val="32"/>
        </w:rPr>
      </w:pPr>
      <w:r>
        <w:rPr>
          <w:rFonts w:hint="eastAsia" w:ascii="仿宋" w:hAnsi="仿宋" w:cs="仿宋"/>
          <w:szCs w:val="32"/>
        </w:rPr>
        <w:t>完成了园区52.92万平方米绿化养护工作；完成园区约260万平方米道路清扫保洁服务作业；完成园区市政道路检查井盖、雨水篦盖计约8000余套日常维护更换雨水篦盖、检查井盖490余套，防坠网100余个，完成道路护栏、道路照明设施、市政消防设施等日常管理与维护。</w:t>
      </w:r>
    </w:p>
    <w:p>
      <w:pPr>
        <w:autoSpaceDE w:val="0"/>
        <w:autoSpaceDN w:val="0"/>
        <w:ind w:firstLine="640"/>
        <w:rPr>
          <w:rFonts w:hint="eastAsia" w:ascii="仿宋" w:hAnsi="仿宋" w:cs="仿宋"/>
          <w:szCs w:val="32"/>
        </w:rPr>
      </w:pPr>
      <w:r>
        <w:rPr>
          <w:rFonts w:hint="eastAsia" w:ascii="仿宋" w:hAnsi="仿宋" w:cs="仿宋"/>
          <w:szCs w:val="32"/>
        </w:rPr>
        <w:t>2）园区生活、餐厨垃圾转运处理</w:t>
      </w:r>
    </w:p>
    <w:p>
      <w:pPr>
        <w:autoSpaceDE w:val="0"/>
        <w:autoSpaceDN w:val="0"/>
        <w:ind w:firstLine="640"/>
        <w:rPr>
          <w:rFonts w:hint="eastAsia" w:ascii="仿宋" w:hAnsi="仿宋" w:cs="仿宋"/>
          <w:szCs w:val="32"/>
        </w:rPr>
      </w:pPr>
      <w:bookmarkStart w:id="1580" w:name="_Toc26221"/>
      <w:bookmarkStart w:id="1581" w:name="_Toc17891"/>
      <w:r>
        <w:rPr>
          <w:rFonts w:hint="eastAsia" w:ascii="仿宋" w:hAnsi="仿宋" w:cs="仿宋"/>
          <w:szCs w:val="32"/>
        </w:rPr>
        <w:t>完成了年收集转运、处置生活垃圾约2.2万吨；收集转运、处置餐厨垃圾约4300余吨。</w:t>
      </w:r>
      <w:bookmarkEnd w:id="1580"/>
      <w:bookmarkEnd w:id="1581"/>
    </w:p>
    <w:p>
      <w:pPr>
        <w:autoSpaceDE w:val="0"/>
        <w:autoSpaceDN w:val="0"/>
        <w:ind w:firstLine="640"/>
        <w:rPr>
          <w:rFonts w:hint="eastAsia" w:ascii="仿宋" w:hAnsi="仿宋" w:cs="仿宋"/>
          <w:szCs w:val="32"/>
        </w:rPr>
      </w:pPr>
      <w:r>
        <w:rPr>
          <w:rFonts w:hint="eastAsia" w:ascii="仿宋" w:hAnsi="仿宋" w:cs="仿宋"/>
          <w:szCs w:val="32"/>
        </w:rPr>
        <w:t>3）完成了园区年处理生活污水约300万吨。</w:t>
      </w:r>
    </w:p>
    <w:p>
      <w:pPr>
        <w:pStyle w:val="5"/>
        <w:keepLines w:val="0"/>
        <w:autoSpaceDE w:val="0"/>
        <w:autoSpaceDN w:val="0"/>
        <w:ind w:firstLine="643"/>
        <w:rPr>
          <w:rFonts w:hint="eastAsia" w:ascii="仿宋" w:hAnsi="仿宋" w:cs="仿宋"/>
          <w:szCs w:val="32"/>
        </w:rPr>
      </w:pPr>
      <w:bookmarkStart w:id="1582" w:name="_Toc24239"/>
      <w:bookmarkStart w:id="1583" w:name="_Toc13249"/>
      <w:bookmarkStart w:id="1584" w:name="_Toc4657"/>
      <w:bookmarkStart w:id="1585" w:name="_Toc13940"/>
      <w:bookmarkStart w:id="1586" w:name="_Toc20681"/>
      <w:r>
        <w:rPr>
          <w:rFonts w:hint="eastAsia" w:ascii="仿宋" w:hAnsi="仿宋" w:cs="仿宋"/>
          <w:szCs w:val="32"/>
        </w:rPr>
        <w:t>（2）产出质量</w:t>
      </w:r>
      <w:bookmarkEnd w:id="1582"/>
      <w:bookmarkEnd w:id="1583"/>
      <w:bookmarkEnd w:id="1584"/>
      <w:bookmarkEnd w:id="1585"/>
      <w:bookmarkEnd w:id="1586"/>
    </w:p>
    <w:p>
      <w:pPr>
        <w:autoSpaceDE w:val="0"/>
        <w:autoSpaceDN w:val="0"/>
        <w:ind w:firstLine="640"/>
        <w:rPr>
          <w:rFonts w:hint="eastAsia" w:ascii="仿宋" w:hAnsi="仿宋" w:cs="仿宋"/>
          <w:szCs w:val="32"/>
        </w:rPr>
      </w:pPr>
      <w:r>
        <w:rPr>
          <w:rFonts w:hint="eastAsia" w:ascii="仿宋" w:hAnsi="仿宋" w:cs="仿宋"/>
          <w:szCs w:val="32"/>
        </w:rPr>
        <w:t>1）园区环境卫生干净整洁</w:t>
      </w:r>
    </w:p>
    <w:p>
      <w:pPr>
        <w:autoSpaceDE w:val="0"/>
        <w:autoSpaceDN w:val="0"/>
        <w:ind w:firstLine="640"/>
        <w:rPr>
          <w:rFonts w:hint="eastAsia" w:ascii="仿宋" w:hAnsi="仿宋" w:cs="仿宋"/>
          <w:szCs w:val="32"/>
        </w:rPr>
      </w:pPr>
      <w:r>
        <w:rPr>
          <w:rFonts w:hint="eastAsia" w:ascii="仿宋" w:hAnsi="仿宋" w:cs="仿宋"/>
          <w:szCs w:val="32"/>
        </w:rPr>
        <w:t>共计清扫保洁道路面积260万平方米，租用7辆市政环卫保洁车辆，2辆市政环卫执勤车辆，切实做好园区道路清扫保洁，洒水降尘工作，机械化道路清扫保洁率达85.00%以上，集中完成乔灌木病虫害防治4次，施肥管理2次，灌木、草坪修剪约15次，落叶及杂草清理150余次，完成了园区52.92万平方米绿化养护工作。每日出动环卫工人约180余人，公厕的环境卫生整治出动8台作业车辆对高新区市政道路进行机械化普扫、洒水降尘，对道路护栏进行清扫；出动1台小型清洗车对公交站台和垃圾桶、果皮箱进行冲洗。园区环境卫生干净整洁达标度为100.00%。</w:t>
      </w:r>
    </w:p>
    <w:p>
      <w:pPr>
        <w:autoSpaceDE w:val="0"/>
        <w:autoSpaceDN w:val="0"/>
        <w:ind w:firstLine="640"/>
        <w:rPr>
          <w:rFonts w:hint="eastAsia" w:ascii="仿宋" w:hAnsi="仿宋" w:cs="仿宋"/>
          <w:szCs w:val="32"/>
        </w:rPr>
      </w:pPr>
      <w:r>
        <w:rPr>
          <w:rFonts w:hint="eastAsia" w:ascii="仿宋" w:hAnsi="仿宋" w:cs="仿宋"/>
          <w:szCs w:val="32"/>
        </w:rPr>
        <w:t>2）路灯、交通信号灯安全运行</w:t>
      </w:r>
    </w:p>
    <w:p>
      <w:pPr>
        <w:autoSpaceDE w:val="0"/>
        <w:autoSpaceDN w:val="0"/>
        <w:ind w:firstLine="640"/>
        <w:rPr>
          <w:rFonts w:hint="eastAsia" w:ascii="仿宋" w:hAnsi="仿宋" w:cs="仿宋"/>
          <w:szCs w:val="32"/>
        </w:rPr>
      </w:pPr>
      <w:r>
        <w:rPr>
          <w:rFonts w:hint="eastAsia" w:ascii="仿宋" w:hAnsi="仿宋" w:cs="仿宋"/>
          <w:szCs w:val="32"/>
        </w:rPr>
        <w:t>现场应急处理路灯100余次，交通信号灯200余次，开展专项维护路灯红绿灯各12次。保障园区交通信号灯正常运行和城市道路夜间功能性照明，确保人民群众安全出行。</w:t>
      </w:r>
    </w:p>
    <w:p>
      <w:pPr>
        <w:autoSpaceDE w:val="0"/>
        <w:autoSpaceDN w:val="0"/>
        <w:ind w:firstLine="640"/>
        <w:rPr>
          <w:rFonts w:hint="eastAsia" w:ascii="仿宋" w:hAnsi="仿宋" w:cs="仿宋"/>
          <w:szCs w:val="32"/>
        </w:rPr>
      </w:pPr>
      <w:r>
        <w:rPr>
          <w:rFonts w:hint="eastAsia" w:ascii="仿宋" w:hAnsi="仿宋" w:cs="仿宋"/>
          <w:szCs w:val="32"/>
        </w:rPr>
        <w:t>3）收集污水全部达标处理排放</w:t>
      </w:r>
    </w:p>
    <w:p>
      <w:pPr>
        <w:autoSpaceDE w:val="0"/>
        <w:autoSpaceDN w:val="0"/>
        <w:ind w:firstLine="640"/>
        <w:rPr>
          <w:rFonts w:hint="eastAsia" w:ascii="仿宋" w:hAnsi="仿宋" w:cs="仿宋"/>
          <w:szCs w:val="32"/>
        </w:rPr>
      </w:pPr>
      <w:r>
        <w:rPr>
          <w:rFonts w:hint="eastAsia" w:ascii="仿宋" w:hAnsi="仿宋" w:cs="仿宋"/>
          <w:szCs w:val="32"/>
        </w:rPr>
        <w:t>处理生活污水约300万吨，出水合格率和安全生产率为100.00%，对高新区及各镇污水处理、污水提升泵站运营管理与维护确保污水处理合格率，园区建成区生活污水处理厂运维管理情况进行常规督查，督促营运管理单位高效、稳定、安全地达标运营。</w:t>
      </w:r>
    </w:p>
    <w:p>
      <w:pPr>
        <w:autoSpaceDE w:val="0"/>
        <w:autoSpaceDN w:val="0"/>
        <w:ind w:firstLine="640"/>
        <w:rPr>
          <w:rFonts w:hint="eastAsia" w:ascii="仿宋" w:hAnsi="仿宋" w:cs="仿宋"/>
          <w:szCs w:val="32"/>
        </w:rPr>
      </w:pPr>
      <w:r>
        <w:rPr>
          <w:rFonts w:hint="eastAsia" w:ascii="仿宋" w:hAnsi="仿宋" w:cs="仿宋"/>
          <w:szCs w:val="32"/>
        </w:rPr>
        <w:t>4）垃圾无害化处理按时完成率</w:t>
      </w:r>
    </w:p>
    <w:p>
      <w:pPr>
        <w:autoSpaceDE w:val="0"/>
        <w:autoSpaceDN w:val="0"/>
        <w:ind w:firstLine="640"/>
        <w:rPr>
          <w:rFonts w:hint="eastAsia" w:ascii="仿宋" w:hAnsi="仿宋" w:cs="仿宋"/>
          <w:szCs w:val="32"/>
        </w:rPr>
      </w:pPr>
      <w:r>
        <w:rPr>
          <w:rFonts w:hint="eastAsia" w:ascii="仿宋" w:hAnsi="仿宋" w:cs="仿宋"/>
          <w:szCs w:val="32"/>
        </w:rPr>
        <w:t>督促垃圾PPP运营单位加大对生活垃圾清运频次，严防生活垃圾收集池周围垃圾随意散落垃圾池外，做到垃圾入池，即满即清。要求川能环卫清运作业车辆沿途不得抛洒滴漏，必须密闭运输，避免造成二次污染；同时加大中转站生活垃圾压缩清运力度，做到即满即运，确保园区生活垃圾转运覆盖率达到100.00%，农村生活垃圾有效处理率达到98.00%以上，垃圾分类设施覆盖率95.00%。确保高新区生活垃圾日产日清，得到有效处置，符合国家行业标准。</w:t>
      </w:r>
    </w:p>
    <w:p>
      <w:pPr>
        <w:pStyle w:val="5"/>
        <w:keepLines w:val="0"/>
        <w:autoSpaceDE w:val="0"/>
        <w:autoSpaceDN w:val="0"/>
        <w:ind w:firstLine="643"/>
        <w:rPr>
          <w:rFonts w:hint="eastAsia" w:ascii="仿宋" w:hAnsi="仿宋" w:cs="仿宋"/>
          <w:szCs w:val="32"/>
        </w:rPr>
      </w:pPr>
      <w:bookmarkStart w:id="1587" w:name="_Toc18211"/>
      <w:bookmarkStart w:id="1588" w:name="_Toc13385"/>
      <w:bookmarkStart w:id="1589" w:name="_Toc15172"/>
      <w:bookmarkStart w:id="1590" w:name="_Toc25886"/>
      <w:bookmarkStart w:id="1591" w:name="_Toc7545"/>
      <w:r>
        <w:rPr>
          <w:rFonts w:hint="eastAsia" w:ascii="仿宋" w:hAnsi="仿宋" w:cs="仿宋"/>
          <w:szCs w:val="32"/>
        </w:rPr>
        <w:t>（3）职责履行</w:t>
      </w:r>
      <w:bookmarkEnd w:id="1587"/>
      <w:bookmarkEnd w:id="1588"/>
      <w:bookmarkEnd w:id="1589"/>
      <w:bookmarkEnd w:id="1590"/>
      <w:bookmarkEnd w:id="1591"/>
    </w:p>
    <w:p>
      <w:pPr>
        <w:autoSpaceDE w:val="0"/>
        <w:autoSpaceDN w:val="0"/>
        <w:ind w:firstLine="640"/>
        <w:rPr>
          <w:rFonts w:hint="eastAsia" w:ascii="仿宋" w:hAnsi="仿宋" w:cs="仿宋"/>
          <w:szCs w:val="32"/>
        </w:rPr>
      </w:pPr>
      <w:r>
        <w:rPr>
          <w:rFonts w:hint="eastAsia" w:ascii="仿宋" w:hAnsi="仿宋" w:cs="仿宋"/>
          <w:szCs w:val="32"/>
        </w:rPr>
        <w:t>1）工作发展</w:t>
      </w:r>
    </w:p>
    <w:p>
      <w:pPr>
        <w:pStyle w:val="7"/>
        <w:autoSpaceDE w:val="0"/>
        <w:autoSpaceDN w:val="0"/>
        <w:ind w:firstLine="640"/>
        <w:rPr>
          <w:rFonts w:hint="eastAsia" w:ascii="仿宋" w:hAnsi="仿宋" w:cs="仿宋"/>
          <w:szCs w:val="32"/>
        </w:rPr>
      </w:pPr>
      <w:r>
        <w:rPr>
          <w:rFonts w:hint="eastAsia" w:ascii="仿宋" w:hAnsi="仿宋" w:cs="仿宋"/>
          <w:szCs w:val="32"/>
        </w:rPr>
        <w:t>本项考核高新区市政中心常规工作在工作能力、工作影响、工作业绩等方面是否积极向前发展，是否争先进位取得突破。主要为通过履职，部门工作取得的积极发展情况，与全国或同行业比，争先排位升降情况。市政管理工作认真贯彻上级部门及园区相关文件要求和会议精神，紧紧围绕城市绿化管理狠抓环境提升，园区垃圾分类全覆盖，污水处理设施升级，绿化与垃圾管理优化，环保工作强化，外包服务严监管，PPP项目高效运营，积极推进“群众最不满意十件事”和污水三年推进计划，全力配合巩固文明城市成果，总体而言，高新区市政中心工作发展总体取得了一定成绩，但还未做到行业突出。</w:t>
      </w:r>
    </w:p>
    <w:p>
      <w:pPr>
        <w:autoSpaceDE w:val="0"/>
        <w:autoSpaceDN w:val="0"/>
        <w:ind w:firstLine="640"/>
        <w:rPr>
          <w:rFonts w:hint="eastAsia" w:ascii="仿宋" w:hAnsi="仿宋" w:cs="仿宋"/>
          <w:szCs w:val="32"/>
        </w:rPr>
      </w:pPr>
      <w:r>
        <w:rPr>
          <w:rFonts w:hint="eastAsia" w:ascii="仿宋" w:hAnsi="仿宋" w:cs="仿宋"/>
          <w:szCs w:val="32"/>
        </w:rPr>
        <w:t>2）重点工作办理情况</w:t>
      </w:r>
    </w:p>
    <w:p>
      <w:pPr>
        <w:autoSpaceDE w:val="0"/>
        <w:autoSpaceDN w:val="0"/>
        <w:ind w:firstLine="640"/>
        <w:rPr>
          <w:rFonts w:hint="eastAsia" w:ascii="仿宋" w:hAnsi="仿宋" w:cs="仿宋"/>
          <w:kern w:val="0"/>
          <w:szCs w:val="32"/>
          <w:lang w:bidi="ar"/>
        </w:rPr>
      </w:pPr>
      <w:r>
        <w:rPr>
          <w:rFonts w:hint="eastAsia" w:ascii="仿宋" w:hAnsi="仿宋" w:cs="仿宋"/>
          <w:szCs w:val="32"/>
        </w:rPr>
        <w:t>2023年度高新区市政中心不存在涉及</w:t>
      </w:r>
      <w:r>
        <w:rPr>
          <w:rFonts w:hint="eastAsia" w:ascii="仿宋" w:hAnsi="仿宋" w:cs="仿宋"/>
          <w:kern w:val="0"/>
          <w:szCs w:val="32"/>
          <w:lang w:bidi="ar"/>
        </w:rPr>
        <w:t>党委、政府、人大、相关部门交办重点工作。</w:t>
      </w:r>
    </w:p>
    <w:p>
      <w:pPr>
        <w:pStyle w:val="4"/>
        <w:ind w:firstLine="643"/>
        <w:rPr>
          <w:rFonts w:hint="eastAsia" w:ascii="楷体" w:hAnsi="楷体" w:eastAsia="楷体" w:cs="楷体"/>
        </w:rPr>
      </w:pPr>
      <w:bookmarkStart w:id="1592" w:name="_Toc3956"/>
      <w:bookmarkStart w:id="1593" w:name="_Toc17870"/>
      <w:bookmarkStart w:id="1594" w:name="_Toc13307"/>
      <w:bookmarkStart w:id="1595" w:name="_Toc26925"/>
      <w:bookmarkStart w:id="1596" w:name="_Toc15863"/>
      <w:r>
        <w:rPr>
          <w:rFonts w:hint="eastAsia" w:ascii="楷体" w:hAnsi="楷体" w:eastAsia="楷体" w:cs="楷体"/>
        </w:rPr>
        <w:t>4.效益指标</w:t>
      </w:r>
      <w:bookmarkEnd w:id="1592"/>
      <w:bookmarkEnd w:id="1593"/>
      <w:bookmarkEnd w:id="1594"/>
      <w:bookmarkEnd w:id="1595"/>
      <w:bookmarkEnd w:id="1596"/>
    </w:p>
    <w:p>
      <w:pPr>
        <w:autoSpaceDE w:val="0"/>
        <w:autoSpaceDN w:val="0"/>
        <w:ind w:firstLine="640"/>
        <w:rPr>
          <w:rFonts w:hint="eastAsia" w:ascii="仿宋" w:hAnsi="仿宋" w:cs="仿宋"/>
          <w:szCs w:val="32"/>
        </w:rPr>
      </w:pPr>
      <w:r>
        <w:rPr>
          <w:rFonts w:hint="eastAsia" w:ascii="仿宋" w:hAnsi="仿宋" w:cs="仿宋"/>
          <w:szCs w:val="32"/>
        </w:rPr>
        <w:t>结合2023年度高新区市政中心绩效目标设定情况，此次评价对高新区市政中心工作完成情况和效益实现进行评价，2023年高新区市政中心工作计划内所做的工作和实施的政策，促进相关行业有序发展有效提高管理和服务水平、居住品质和环境水平有所提升、提升辖区城乡环境质量，提升遂宁高新区整体形象。长期推动绿色发展。综合评价分析，2023年度高新区市政中心的工作开展城市生态环境持续变好改善城乡人居环境，不断增强人民群众的获得感和幸福感。降低园区扬尘污染，提高污水处理效率，改善水环境具有很好的社会效益。总体满意度较高。该指标分值20.00分，得分20.00分，得分率100.00%。评分见下表：</w:t>
      </w:r>
    </w:p>
    <w:p>
      <w:pPr>
        <w:autoSpaceDE w:val="0"/>
        <w:autoSpaceDN w:val="0"/>
        <w:spacing w:after="120" w:afterLines="50"/>
        <w:ind w:firstLine="0" w:firstLineChars="0"/>
        <w:jc w:val="center"/>
        <w:rPr>
          <w:rFonts w:hint="eastAsia" w:ascii="宋体" w:hAnsi="宋体" w:eastAsia="宋体" w:cs="宋体"/>
          <w:b/>
          <w:bCs/>
          <w:iCs/>
          <w:sz w:val="28"/>
          <w:szCs w:val="28"/>
        </w:rPr>
      </w:pPr>
      <w:r>
        <w:rPr>
          <w:rFonts w:hint="eastAsia" w:ascii="宋体" w:hAnsi="宋体" w:eastAsia="宋体" w:cs="宋体"/>
          <w:b/>
          <w:bCs/>
          <w:iCs/>
          <w:sz w:val="28"/>
          <w:szCs w:val="28"/>
        </w:rPr>
        <w:t>效益指标设定及评分情况表</w:t>
      </w:r>
    </w:p>
    <w:tbl>
      <w:tblPr>
        <w:tblStyle w:val="18"/>
        <w:tblW w:w="50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942"/>
        <w:gridCol w:w="3099"/>
        <w:gridCol w:w="1034"/>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39"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一级指标</w:t>
            </w:r>
          </w:p>
        </w:tc>
        <w:tc>
          <w:tcPr>
            <w:tcW w:w="1126"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二级指标</w:t>
            </w:r>
          </w:p>
        </w:tc>
        <w:tc>
          <w:tcPr>
            <w:tcW w:w="1797"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三级指标</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分值</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39" w:type="pct"/>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效益指标</w:t>
            </w:r>
          </w:p>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（20分）</w:t>
            </w:r>
          </w:p>
        </w:tc>
        <w:tc>
          <w:tcPr>
            <w:tcW w:w="1126" w:type="pct"/>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社会效益</w:t>
            </w:r>
          </w:p>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（5分）</w:t>
            </w: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sz w:val="24"/>
              </w:rPr>
            </w:pPr>
            <w:r>
              <w:rPr>
                <w:rFonts w:hint="eastAsia" w:ascii="宋体" w:hAnsi="宋体" w:eastAsia="宋体" w:cs="宋体"/>
                <w:bCs/>
                <w:kern w:val="0"/>
                <w:sz w:val="24"/>
                <w:lang w:bidi="ar"/>
              </w:rPr>
              <w:t>促进相关行业有序发展</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sz w:val="24"/>
              </w:rPr>
            </w:pPr>
            <w:r>
              <w:rPr>
                <w:rFonts w:hint="eastAsia" w:ascii="宋体" w:hAnsi="宋体" w:eastAsia="宋体" w:cs="宋体"/>
                <w:bCs/>
                <w:kern w:val="0"/>
                <w:sz w:val="24"/>
                <w:lang w:bidi="ar"/>
              </w:rPr>
              <w:t>提升城市管理水平</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kern w:val="0"/>
                <w:sz w:val="24"/>
                <w:lang w:bidi="ar"/>
              </w:rPr>
            </w:pPr>
            <w:r>
              <w:rPr>
                <w:rFonts w:hint="eastAsia" w:ascii="宋体" w:hAnsi="宋体" w:eastAsia="宋体" w:cs="宋体"/>
                <w:bCs/>
                <w:kern w:val="0"/>
                <w:sz w:val="24"/>
                <w:lang w:bidi="ar"/>
              </w:rPr>
              <w:t>优化园区营商环境</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生态效益</w:t>
            </w:r>
          </w:p>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（5分）</w:t>
            </w: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sz w:val="24"/>
              </w:rPr>
            </w:pPr>
            <w:r>
              <w:rPr>
                <w:rFonts w:hint="eastAsia" w:ascii="宋体" w:hAnsi="宋体" w:eastAsia="宋体" w:cs="宋体"/>
                <w:bCs/>
                <w:kern w:val="0"/>
                <w:sz w:val="24"/>
                <w:lang w:bidi="ar"/>
              </w:rPr>
              <w:t>城市生态环境</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3.00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tabs>
                <w:tab w:val="left" w:pos="441"/>
                <w:tab w:val="center" w:pos="1504"/>
              </w:tabs>
              <w:autoSpaceDE w:val="0"/>
              <w:autoSpaceDN w:val="0"/>
              <w:spacing w:line="240" w:lineRule="auto"/>
              <w:ind w:firstLine="0" w:firstLineChars="0"/>
              <w:jc w:val="center"/>
              <w:textAlignment w:val="center"/>
              <w:rPr>
                <w:rFonts w:hint="eastAsia" w:ascii="宋体" w:hAnsi="宋体" w:eastAsia="宋体" w:cs="宋体"/>
                <w:bCs/>
                <w:sz w:val="24"/>
              </w:rPr>
            </w:pPr>
            <w:r>
              <w:rPr>
                <w:rFonts w:hint="eastAsia" w:ascii="宋体" w:hAnsi="宋体" w:eastAsia="宋体" w:cs="宋体"/>
                <w:bCs/>
                <w:kern w:val="0"/>
                <w:sz w:val="24"/>
                <w:lang w:bidi="ar"/>
              </w:rPr>
              <w:t>改善城乡人居环境</w:t>
            </w:r>
          </w:p>
        </w:tc>
        <w:tc>
          <w:tcPr>
            <w:tcW w:w="600" w:type="pct"/>
            <w:noWrap w:val="0"/>
            <w:vAlign w:val="center"/>
          </w:tcPr>
          <w:p>
            <w:pPr>
              <w:tabs>
                <w:tab w:val="center" w:pos="602"/>
              </w:tabs>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可持续影响</w:t>
            </w:r>
          </w:p>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（5分）</w:t>
            </w: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sz w:val="24"/>
              </w:rPr>
            </w:pPr>
            <w:r>
              <w:rPr>
                <w:rFonts w:hint="eastAsia" w:ascii="宋体" w:hAnsi="宋体" w:eastAsia="宋体" w:cs="宋体"/>
                <w:bCs/>
                <w:kern w:val="0"/>
                <w:sz w:val="24"/>
                <w:lang w:bidi="ar"/>
              </w:rPr>
              <w:t>园区扬尘污染</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kern w:val="0"/>
                <w:sz w:val="24"/>
                <w:lang w:bidi="ar"/>
              </w:rPr>
            </w:pPr>
            <w:r>
              <w:rPr>
                <w:rFonts w:hint="eastAsia" w:ascii="宋体" w:hAnsi="宋体" w:eastAsia="宋体" w:cs="宋体"/>
                <w:bCs/>
                <w:kern w:val="0"/>
                <w:sz w:val="24"/>
                <w:lang w:bidi="ar"/>
              </w:rPr>
              <w:t>园区城市整体形象</w:t>
            </w:r>
          </w:p>
        </w:tc>
        <w:tc>
          <w:tcPr>
            <w:tcW w:w="600" w:type="pct"/>
            <w:noWrap w:val="0"/>
            <w:vAlign w:val="center"/>
          </w:tcPr>
          <w:p>
            <w:pPr>
              <w:tabs>
                <w:tab w:val="center" w:pos="602"/>
              </w:tabs>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autoSpaceDE w:val="0"/>
              <w:autoSpaceDN w:val="0"/>
              <w:spacing w:line="240" w:lineRule="auto"/>
              <w:ind w:firstLine="0" w:firstLineChars="0"/>
              <w:jc w:val="center"/>
              <w:textAlignment w:val="center"/>
              <w:rPr>
                <w:rFonts w:hint="eastAsia" w:ascii="宋体" w:hAnsi="宋体" w:eastAsia="宋体" w:cs="宋体"/>
                <w:bCs/>
                <w:kern w:val="0"/>
                <w:sz w:val="24"/>
                <w:lang w:bidi="ar"/>
              </w:rPr>
            </w:pPr>
            <w:r>
              <w:rPr>
                <w:rFonts w:hint="eastAsia" w:ascii="宋体" w:hAnsi="宋体" w:eastAsia="宋体" w:cs="宋体"/>
                <w:bCs/>
                <w:kern w:val="0"/>
                <w:sz w:val="24"/>
                <w:lang w:bidi="ar"/>
              </w:rPr>
              <w:t>污水处理效率，改善水环境</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restar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满意度</w:t>
            </w:r>
          </w:p>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（5分）</w:t>
            </w:r>
          </w:p>
        </w:tc>
        <w:tc>
          <w:tcPr>
            <w:tcW w:w="1797"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社会公众或服务对象满意度</w:t>
            </w:r>
          </w:p>
        </w:tc>
        <w:tc>
          <w:tcPr>
            <w:tcW w:w="600" w:type="pct"/>
            <w:noWrap w:val="0"/>
            <w:vAlign w:val="center"/>
          </w:tcPr>
          <w:p>
            <w:pPr>
              <w:tabs>
                <w:tab w:val="center" w:pos="602"/>
              </w:tabs>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3.00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9"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vMerge w:val="continue"/>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评价配合情况满意度</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Cs/>
                <w:sz w:val="24"/>
              </w:rPr>
            </w:pPr>
            <w:r>
              <w:rPr>
                <w:rFonts w:hint="eastAsia" w:ascii="宋体" w:hAnsi="宋体" w:eastAsia="宋体" w:cs="宋体"/>
                <w:bCs/>
                <w:sz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39" w:type="pct"/>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126" w:type="pct"/>
            <w:noWrap w:val="0"/>
            <w:vAlign w:val="center"/>
          </w:tcPr>
          <w:p>
            <w:pPr>
              <w:autoSpaceDE w:val="0"/>
              <w:autoSpaceDN w:val="0"/>
              <w:spacing w:line="240" w:lineRule="auto"/>
              <w:ind w:firstLine="480"/>
              <w:jc w:val="center"/>
              <w:rPr>
                <w:rFonts w:hint="eastAsia" w:ascii="宋体" w:hAnsi="宋体" w:eastAsia="宋体" w:cs="宋体"/>
                <w:bCs/>
                <w:sz w:val="24"/>
              </w:rPr>
            </w:pPr>
          </w:p>
        </w:tc>
        <w:tc>
          <w:tcPr>
            <w:tcW w:w="1797" w:type="pct"/>
            <w:noWrap w:val="0"/>
            <w:vAlign w:val="center"/>
          </w:tcPr>
          <w:p>
            <w:pPr>
              <w:autoSpaceDE w:val="0"/>
              <w:autoSpaceDN w:val="0"/>
              <w:spacing w:line="240" w:lineRule="auto"/>
              <w:ind w:firstLine="482"/>
              <w:jc w:val="center"/>
              <w:rPr>
                <w:rFonts w:hint="eastAsia" w:ascii="宋体" w:hAnsi="宋体" w:eastAsia="宋体" w:cs="宋体"/>
                <w:b/>
                <w:sz w:val="24"/>
              </w:rPr>
            </w:pPr>
            <w:r>
              <w:rPr>
                <w:rFonts w:hint="eastAsia" w:ascii="宋体" w:hAnsi="宋体" w:eastAsia="宋体" w:cs="宋体"/>
                <w:b/>
                <w:sz w:val="24"/>
              </w:rPr>
              <w:t>本项分数合计</w:t>
            </w:r>
          </w:p>
        </w:tc>
        <w:tc>
          <w:tcPr>
            <w:tcW w:w="600"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20.00</w:t>
            </w:r>
          </w:p>
        </w:tc>
        <w:tc>
          <w:tcPr>
            <w:tcW w:w="735" w:type="pct"/>
            <w:noWrap w:val="0"/>
            <w:vAlign w:val="center"/>
          </w:tcPr>
          <w:p>
            <w:pPr>
              <w:autoSpaceDE w:val="0"/>
              <w:autoSpaceDN w:val="0"/>
              <w:spacing w:line="240" w:lineRule="auto"/>
              <w:ind w:firstLine="0" w:firstLineChars="0"/>
              <w:jc w:val="center"/>
              <w:rPr>
                <w:rFonts w:hint="eastAsia" w:ascii="宋体" w:hAnsi="宋体" w:eastAsia="宋体" w:cs="宋体"/>
                <w:b/>
                <w:sz w:val="24"/>
              </w:rPr>
            </w:pPr>
            <w:r>
              <w:rPr>
                <w:rFonts w:hint="eastAsia" w:ascii="宋体" w:hAnsi="宋体" w:eastAsia="宋体" w:cs="宋体"/>
                <w:b/>
                <w:sz w:val="24"/>
              </w:rPr>
              <w:t>20.00</w:t>
            </w:r>
          </w:p>
        </w:tc>
      </w:tr>
    </w:tbl>
    <w:p>
      <w:pPr>
        <w:pStyle w:val="5"/>
        <w:ind w:firstLine="643"/>
        <w:rPr>
          <w:rFonts w:hint="eastAsia" w:ascii="仿宋" w:hAnsi="仿宋" w:eastAsia="仿宋" w:cs="仿宋"/>
        </w:rPr>
      </w:pPr>
      <w:bookmarkStart w:id="1597" w:name="_Toc32654"/>
      <w:bookmarkStart w:id="1598" w:name="_Toc29462"/>
      <w:bookmarkStart w:id="1599" w:name="_Toc27618"/>
      <w:r>
        <w:rPr>
          <w:rFonts w:hint="eastAsia" w:ascii="仿宋" w:hAnsi="仿宋" w:eastAsia="仿宋" w:cs="仿宋"/>
        </w:rPr>
        <w:t>（1）社会效益</w:t>
      </w:r>
      <w:bookmarkEnd w:id="1597"/>
      <w:bookmarkEnd w:id="1598"/>
      <w:bookmarkEnd w:id="1599"/>
    </w:p>
    <w:p>
      <w:pPr>
        <w:autoSpaceDE w:val="0"/>
        <w:autoSpaceDN w:val="0"/>
        <w:ind w:firstLine="640"/>
        <w:rPr>
          <w:rFonts w:hint="eastAsia" w:ascii="仿宋" w:hAnsi="仿宋" w:cs="仿宋"/>
          <w:szCs w:val="32"/>
        </w:rPr>
      </w:pPr>
      <w:r>
        <w:rPr>
          <w:rFonts w:hint="eastAsia" w:ascii="仿宋" w:hAnsi="仿宋" w:cs="仿宋"/>
          <w:szCs w:val="32"/>
        </w:rPr>
        <w:t>2023年高新区市政中心通过日常巡查与重点检查结合的工作方式，显著提升社会效益。能高效监管污垃基础设施，保障环境卫生；加强环卫管护，提升城乡形象，改善居民生活环境。同时，精细管理园林绿化，美化城市，优化营商环境，助力经济发展。这些举措不仅提升城市基础设施现代化水平，还促进经济社会发展，增强公众满意度与幸福感，推动生态文明建设，为城市可持续发展奠定坚实基础。总之，高新区市政中心的工作对城市进步、居民福祉及社会和谐具有重大意义。</w:t>
      </w:r>
    </w:p>
    <w:p>
      <w:pPr>
        <w:pStyle w:val="5"/>
        <w:ind w:firstLine="643"/>
        <w:rPr>
          <w:rFonts w:hint="eastAsia" w:ascii="仿宋" w:hAnsi="仿宋" w:eastAsia="仿宋" w:cs="仿宋"/>
        </w:rPr>
      </w:pPr>
      <w:bookmarkStart w:id="1600" w:name="_Toc23960"/>
      <w:bookmarkStart w:id="1601" w:name="_Toc26043"/>
      <w:bookmarkStart w:id="1602" w:name="_Toc20475"/>
      <w:bookmarkStart w:id="1603" w:name="_Toc32022"/>
      <w:r>
        <w:rPr>
          <w:rFonts w:hint="eastAsia" w:ascii="仿宋" w:hAnsi="仿宋" w:eastAsia="仿宋" w:cs="仿宋"/>
        </w:rPr>
        <w:t>（2）生态效益</w:t>
      </w:r>
      <w:bookmarkEnd w:id="1600"/>
      <w:bookmarkEnd w:id="1601"/>
      <w:bookmarkEnd w:id="1602"/>
      <w:bookmarkEnd w:id="1603"/>
    </w:p>
    <w:p>
      <w:pPr>
        <w:autoSpaceDE w:val="0"/>
        <w:autoSpaceDN w:val="0"/>
        <w:ind w:firstLine="640"/>
        <w:rPr>
          <w:rFonts w:hint="eastAsia" w:ascii="仿宋" w:hAnsi="仿宋" w:cs="仿宋"/>
          <w:szCs w:val="32"/>
        </w:rPr>
      </w:pPr>
      <w:r>
        <w:rPr>
          <w:rFonts w:hint="eastAsia" w:ascii="仿宋" w:hAnsi="仿宋" w:cs="仿宋"/>
          <w:szCs w:val="32"/>
        </w:rPr>
        <w:t>为全面优化城市生态环境，高新区市政中心实施了一系列综合措施，旨在打造绿色、宜居、和谐的园区，强化园区环境治理，控制扬尘与提升污水处理效率；推动绿色交通，减少尾气排放；完善垃圾分类体系，促进资源循环利用；加强道路保洁与绿化美化，提升居住品质；并建立长效管理机制，持续优化管理与服务。通过这些努力，高新区市政中心致力于构建一个生态友好、居民满意的美好家园。</w:t>
      </w:r>
    </w:p>
    <w:p>
      <w:pPr>
        <w:pStyle w:val="5"/>
        <w:ind w:firstLine="643"/>
        <w:rPr>
          <w:rFonts w:hint="eastAsia" w:ascii="仿宋" w:hAnsi="仿宋" w:eastAsia="仿宋" w:cs="仿宋"/>
        </w:rPr>
      </w:pPr>
      <w:bookmarkStart w:id="1604" w:name="_Toc21623"/>
      <w:bookmarkStart w:id="1605" w:name="_Toc16507"/>
      <w:bookmarkStart w:id="1606" w:name="_Toc24315"/>
      <w:bookmarkStart w:id="1607" w:name="_Toc18545"/>
      <w:r>
        <w:rPr>
          <w:rFonts w:hint="eastAsia" w:ascii="仿宋" w:hAnsi="仿宋" w:eastAsia="仿宋" w:cs="仿宋"/>
        </w:rPr>
        <w:t>（3）可持续影响</w:t>
      </w:r>
      <w:bookmarkEnd w:id="1604"/>
      <w:bookmarkEnd w:id="1605"/>
      <w:bookmarkEnd w:id="1606"/>
      <w:bookmarkEnd w:id="1607"/>
    </w:p>
    <w:p>
      <w:pPr>
        <w:autoSpaceDE w:val="0"/>
        <w:autoSpaceDN w:val="0"/>
        <w:ind w:firstLine="640"/>
        <w:rPr>
          <w:rFonts w:hint="eastAsia" w:ascii="仿宋" w:hAnsi="仿宋" w:cs="仿宋"/>
          <w:szCs w:val="32"/>
        </w:rPr>
      </w:pPr>
      <w:r>
        <w:rPr>
          <w:rFonts w:hint="eastAsia" w:ascii="仿宋" w:hAnsi="仿宋" w:cs="仿宋"/>
          <w:szCs w:val="32"/>
        </w:rPr>
        <w:t>为了有效降低园区内的扬尘污染问题，高新区市政中心采取了一系列切实可行的措施，从而提升了园区的整体城市形象，并使其持续向好的方向发展。加强对施工现场的管理，确保所有裸露地面都得到了适当的覆盖和绿化，同时加大了对运输车辆的监管力度，防止尘土飞扬。开展环卫日常管护工作提升垃圾清运处理，确保园区道路和公共区域的清洁卫生。</w:t>
      </w:r>
    </w:p>
    <w:p>
      <w:pPr>
        <w:autoSpaceDE w:val="0"/>
        <w:autoSpaceDN w:val="0"/>
        <w:ind w:firstLine="640"/>
        <w:rPr>
          <w:rFonts w:hint="eastAsia" w:ascii="仿宋" w:hAnsi="仿宋" w:cs="仿宋"/>
          <w:szCs w:val="32"/>
        </w:rPr>
      </w:pPr>
      <w:r>
        <w:rPr>
          <w:rFonts w:hint="eastAsia" w:ascii="仿宋" w:hAnsi="仿宋" w:cs="仿宋"/>
          <w:szCs w:val="32"/>
        </w:rPr>
        <w:t>高新区市政中心还致力于提高污水处理的效率，以改善园区的水环境质量，并使其持续向好的方向发展。现有的污水处理设施进行了升级改造，引入了先进的污水处理技术，确保污水得到充分处理后再排放。加强了对工业废水排放的监管，从而有效减少了水污染的发生。</w:t>
      </w:r>
    </w:p>
    <w:p>
      <w:pPr>
        <w:autoSpaceDE w:val="0"/>
        <w:autoSpaceDN w:val="0"/>
        <w:ind w:firstLine="640"/>
        <w:rPr>
          <w:rFonts w:hint="eastAsia" w:ascii="仿宋" w:hAnsi="仿宋" w:cs="仿宋"/>
          <w:szCs w:val="32"/>
        </w:rPr>
      </w:pPr>
      <w:r>
        <w:rPr>
          <w:rFonts w:hint="eastAsia" w:ascii="仿宋" w:hAnsi="仿宋" w:cs="仿宋"/>
          <w:szCs w:val="32"/>
        </w:rPr>
        <w:t>高新区市政中心通过这些综合措施的实施，园区的环境质量得到了显著提升，不仅美化了城市景观，也为居民提供了一个更加宜居的生活环境。只有持续不断地努力，才能真正实现环境的可持续发展，为园区的长远发展奠定坚实的基础。</w:t>
      </w:r>
    </w:p>
    <w:p>
      <w:pPr>
        <w:pStyle w:val="5"/>
        <w:ind w:firstLine="643"/>
        <w:rPr>
          <w:rFonts w:hint="eastAsia" w:ascii="仿宋" w:hAnsi="仿宋" w:eastAsia="仿宋" w:cs="仿宋"/>
        </w:rPr>
      </w:pPr>
      <w:bookmarkStart w:id="1608" w:name="_Toc7642"/>
      <w:bookmarkStart w:id="1609" w:name="_Toc15491"/>
      <w:bookmarkStart w:id="1610" w:name="_Toc20670"/>
      <w:bookmarkStart w:id="1611" w:name="_Toc19790"/>
      <w:r>
        <w:rPr>
          <w:rFonts w:hint="eastAsia" w:ascii="仿宋" w:hAnsi="仿宋" w:eastAsia="仿宋" w:cs="仿宋"/>
        </w:rPr>
        <w:t>（4）满意度指标</w:t>
      </w:r>
      <w:bookmarkEnd w:id="1608"/>
      <w:bookmarkEnd w:id="1609"/>
      <w:bookmarkEnd w:id="1610"/>
      <w:bookmarkEnd w:id="1611"/>
    </w:p>
    <w:p>
      <w:pPr>
        <w:autoSpaceDE w:val="0"/>
        <w:autoSpaceDN w:val="0"/>
        <w:ind w:firstLine="640"/>
        <w:rPr>
          <w:rFonts w:hint="eastAsia" w:ascii="仿宋" w:hAnsi="仿宋" w:cs="仿宋"/>
          <w:szCs w:val="32"/>
        </w:rPr>
      </w:pPr>
      <w:r>
        <w:rPr>
          <w:rFonts w:hint="eastAsia" w:ascii="仿宋" w:hAnsi="仿宋" w:cs="仿宋"/>
          <w:szCs w:val="32"/>
        </w:rPr>
        <w:t>1）服务对象满意度</w:t>
      </w:r>
    </w:p>
    <w:p>
      <w:pPr>
        <w:autoSpaceDE w:val="0"/>
        <w:autoSpaceDN w:val="0"/>
        <w:ind w:firstLine="640"/>
        <w:rPr>
          <w:rFonts w:hint="eastAsia" w:ascii="仿宋" w:hAnsi="仿宋" w:cs="仿宋"/>
          <w:szCs w:val="32"/>
        </w:rPr>
      </w:pPr>
      <w:r>
        <w:rPr>
          <w:rFonts w:hint="eastAsia" w:ascii="仿宋" w:hAnsi="仿宋" w:cs="仿宋"/>
          <w:szCs w:val="32"/>
        </w:rPr>
        <w:t>本次绩效评价，针对高新区市政中心职能和工作内容，结合园区政策，设计了本次绩效评价满意度指标调查的问卷。调查问卷采用无记名的形式，共计设计10个问题，问题内容涵盖了对工作的及时性、完整性和真实性满意情况、道路清扫保洁、在收集转运处置生活垃圾、餐厨垃圾以及农村生活垃圾、环境卫生的治理、绿化养护、监管整治、生活垃圾分类、雨污水管网以及易涝点整治、排水防涝执行到位、提升园区生态环境、市政设施等方面。为方便被调查人填写问卷，调查问卷最大程度上减少文字填写内容，每个问题增加预设答案选项供直接选择，选项统一设置为积极印象由高到低5个等级，评价量化分的设定为从左至右依次递减：10分、8分、6分、2分和0分。问卷最后设计“意见和建议”项，供被调查者反馈其他想法、意见和建议。</w:t>
      </w:r>
    </w:p>
    <w:p>
      <w:pPr>
        <w:pStyle w:val="7"/>
        <w:autoSpaceDE w:val="0"/>
        <w:autoSpaceDN w:val="0"/>
        <w:ind w:firstLine="640"/>
        <w:rPr>
          <w:rFonts w:hint="eastAsia" w:ascii="仿宋" w:hAnsi="仿宋" w:cs="仿宋"/>
          <w:szCs w:val="32"/>
        </w:rPr>
      </w:pPr>
      <w:r>
        <w:rPr>
          <w:rFonts w:hint="eastAsia" w:ascii="仿宋" w:hAnsi="仿宋" w:cs="仿宋"/>
          <w:kern w:val="0"/>
          <w:szCs w:val="32"/>
          <w:lang w:bidi="ar"/>
        </w:rPr>
        <w:t>本次调查主要针对受益对象、社会群众和高新区市政中心工作人员三类群体，为保障调查的全面性和客观性，受益对象和群众占比65.00%，高新区市政中心工作人员占比35%。共进行了3次满意度调查，调查地方分别为：商场、高新区市政中心、园区周边农贸市场。共计发放调查问卷30份，回收30份。经过对回收问卷统计，确定有效问卷为30份。经统计，最高分100.00分，最低分84.00分，平均分数95.50分，本次满意度指标综合得分为95.50分（满分100.00分）。</w:t>
      </w:r>
    </w:p>
    <w:p>
      <w:pPr>
        <w:autoSpaceDE w:val="0"/>
        <w:autoSpaceDN w:val="0"/>
        <w:ind w:firstLine="640"/>
        <w:rPr>
          <w:rFonts w:hint="eastAsia" w:ascii="仿宋" w:hAnsi="仿宋" w:cs="仿宋"/>
          <w:szCs w:val="32"/>
        </w:rPr>
      </w:pPr>
      <w:r>
        <w:rPr>
          <w:rFonts w:hint="eastAsia" w:ascii="仿宋" w:hAnsi="仿宋" w:cs="仿宋"/>
          <w:szCs w:val="32"/>
        </w:rPr>
        <w:t>2）评价配合情况满意度</w:t>
      </w:r>
    </w:p>
    <w:p>
      <w:pPr>
        <w:overflowPunct w:val="0"/>
        <w:autoSpaceDE w:val="0"/>
        <w:autoSpaceDN w:val="0"/>
        <w:ind w:firstLine="640"/>
        <w:rPr>
          <w:rFonts w:hint="eastAsia" w:ascii="仿宋" w:hAnsi="仿宋" w:cs="仿宋"/>
          <w:szCs w:val="32"/>
        </w:rPr>
      </w:pPr>
      <w:r>
        <w:rPr>
          <w:rFonts w:hint="eastAsia" w:ascii="仿宋" w:hAnsi="仿宋" w:cs="仿宋"/>
          <w:szCs w:val="32"/>
        </w:rPr>
        <w:t>本次绩效评价工作得到高新区市政中心全力支持，部门领导统一部署，组织人员布置了工作场地，选派了专门的人员负责协调工作。特别指示财务部门和业务部门积极配合，做到安排专人负责联系协调；各股室和下属单位人员积极准备并提供了资料，资料相对较为齐全，少部分资料提供有困难的也能克服难通过其他方式搜寻后提供；资料报送及时，准备充分，资料的及时有效提供，保证评价小组的绩效评价工作顺利。</w:t>
      </w:r>
      <w:bookmarkStart w:id="1612" w:name="_Toc24430"/>
    </w:p>
    <w:p>
      <w:pPr>
        <w:pStyle w:val="2"/>
        <w:bidi w:val="0"/>
        <w:rPr>
          <w:rFonts w:hint="eastAsia"/>
          <w:b w:val="0"/>
          <w:bCs w:val="0"/>
        </w:rPr>
      </w:pPr>
      <w:bookmarkStart w:id="1613" w:name="_Toc17831"/>
      <w:bookmarkStart w:id="1614" w:name="_Toc17493"/>
      <w:bookmarkStart w:id="1615" w:name="_Toc1557"/>
      <w:bookmarkStart w:id="1616" w:name="_Toc30632"/>
      <w:bookmarkStart w:id="1617" w:name="_Toc8771"/>
      <w:bookmarkStart w:id="1618" w:name="_Toc30309"/>
      <w:bookmarkStart w:id="1619" w:name="_Toc16797"/>
      <w:bookmarkStart w:id="1620" w:name="_Toc16525"/>
      <w:bookmarkStart w:id="1621" w:name="_Toc20298"/>
      <w:bookmarkStart w:id="1622" w:name="_Toc27706"/>
      <w:bookmarkStart w:id="1623" w:name="_Toc2663"/>
      <w:bookmarkStart w:id="1624" w:name="_Toc31803"/>
      <w:bookmarkStart w:id="1625" w:name="_Toc5773"/>
      <w:bookmarkStart w:id="1626" w:name="_Toc7107"/>
      <w:bookmarkStart w:id="1627" w:name="_Toc4422"/>
      <w:bookmarkStart w:id="1628" w:name="_Toc23680"/>
      <w:bookmarkStart w:id="1629" w:name="_Toc7255"/>
      <w:bookmarkStart w:id="1630" w:name="_Toc7593"/>
      <w:bookmarkStart w:id="1631" w:name="_Toc17428"/>
      <w:bookmarkStart w:id="1632" w:name="_Toc28739"/>
      <w:bookmarkStart w:id="1633" w:name="_Toc3050"/>
      <w:bookmarkStart w:id="1634" w:name="_Toc17144"/>
      <w:bookmarkStart w:id="1635" w:name="_Toc27135"/>
      <w:bookmarkStart w:id="1636" w:name="_Toc18522"/>
      <w:bookmarkStart w:id="1637" w:name="_Toc8990"/>
      <w:bookmarkStart w:id="1638" w:name="_Toc28919"/>
      <w:r>
        <w:rPr>
          <w:rFonts w:hint="eastAsia"/>
          <w:b w:val="0"/>
          <w:bCs w:val="0"/>
        </w:rPr>
        <w:t>六、存在问题及建议</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p>
    <w:p>
      <w:pPr>
        <w:pStyle w:val="3"/>
        <w:bidi w:val="0"/>
        <w:rPr>
          <w:rFonts w:hint="eastAsia"/>
        </w:rPr>
      </w:pPr>
      <w:bookmarkStart w:id="1639" w:name="_Toc14150"/>
      <w:bookmarkStart w:id="1640" w:name="_Toc16219"/>
      <w:bookmarkStart w:id="1641" w:name="_Toc17819"/>
      <w:bookmarkStart w:id="1642" w:name="_Toc27679"/>
      <w:bookmarkStart w:id="1643" w:name="_Toc5793"/>
      <w:bookmarkStart w:id="1644" w:name="_Toc2366"/>
      <w:bookmarkStart w:id="1645" w:name="_Toc21474"/>
      <w:bookmarkStart w:id="1646" w:name="_Toc26427"/>
      <w:bookmarkStart w:id="1647" w:name="_Toc18976"/>
      <w:bookmarkStart w:id="1648" w:name="_Toc6046"/>
      <w:bookmarkStart w:id="1649" w:name="_Toc19366"/>
      <w:bookmarkStart w:id="1650" w:name="_Toc5363"/>
      <w:bookmarkStart w:id="1651" w:name="_Toc26437"/>
      <w:bookmarkStart w:id="1652" w:name="_Toc14035"/>
      <w:bookmarkStart w:id="1653" w:name="_Toc28230"/>
      <w:bookmarkStart w:id="1654" w:name="_Toc39"/>
      <w:bookmarkStart w:id="1655" w:name="_Toc7387"/>
      <w:bookmarkStart w:id="1656" w:name="_Toc32715"/>
      <w:bookmarkStart w:id="1657" w:name="_Toc9847"/>
      <w:bookmarkStart w:id="1658" w:name="_Toc10552"/>
      <w:bookmarkStart w:id="1659" w:name="_Toc650"/>
      <w:bookmarkStart w:id="1660" w:name="_Toc8321"/>
      <w:bookmarkStart w:id="1661" w:name="_Toc32391"/>
      <w:bookmarkStart w:id="1662" w:name="_Toc2706"/>
      <w:bookmarkStart w:id="1663" w:name="_Toc24956"/>
      <w:bookmarkStart w:id="1664" w:name="_Toc23152"/>
      <w:bookmarkStart w:id="1665" w:name="_Toc27713"/>
      <w:r>
        <w:rPr>
          <w:rFonts w:hint="eastAsia"/>
        </w:rPr>
        <w:t>（一）存在的问题</w:t>
      </w:r>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pPr>
        <w:pStyle w:val="4"/>
        <w:ind w:firstLine="643"/>
        <w:rPr>
          <w:rFonts w:hint="eastAsia" w:ascii="楷体" w:hAnsi="楷体" w:eastAsia="楷体" w:cs="楷体"/>
          <w:lang w:val="zh-CN"/>
        </w:rPr>
      </w:pPr>
      <w:bookmarkStart w:id="1666" w:name="_Toc32465"/>
      <w:bookmarkStart w:id="1667" w:name="_Toc10731"/>
      <w:bookmarkStart w:id="1668" w:name="_Toc17845"/>
      <w:bookmarkStart w:id="1669" w:name="_Toc16784"/>
      <w:bookmarkStart w:id="1670" w:name="_Toc32388"/>
      <w:r>
        <w:rPr>
          <w:rFonts w:hint="eastAsia" w:ascii="楷体" w:hAnsi="楷体" w:eastAsia="楷体" w:cs="楷体"/>
        </w:rPr>
        <w:t>1.</w:t>
      </w:r>
      <w:r>
        <w:rPr>
          <w:rFonts w:hint="eastAsia" w:ascii="楷体" w:hAnsi="楷体" w:eastAsia="楷体" w:cs="楷体"/>
          <w:lang w:val="zh-CN"/>
        </w:rPr>
        <w:t>预算编制</w:t>
      </w:r>
      <w:bookmarkEnd w:id="1664"/>
      <w:bookmarkEnd w:id="1665"/>
      <w:bookmarkEnd w:id="1666"/>
      <w:r>
        <w:rPr>
          <w:rFonts w:hint="eastAsia" w:ascii="楷体" w:hAnsi="楷体" w:eastAsia="楷体" w:cs="楷体"/>
          <w:lang w:val="zh-CN"/>
        </w:rPr>
        <w:t>管理制度不合理</w:t>
      </w:r>
      <w:bookmarkEnd w:id="1667"/>
      <w:bookmarkEnd w:id="1668"/>
      <w:bookmarkEnd w:id="1669"/>
      <w:bookmarkEnd w:id="1670"/>
    </w:p>
    <w:p>
      <w:pPr>
        <w:overflowPunct w:val="0"/>
        <w:autoSpaceDE w:val="0"/>
        <w:autoSpaceDN w:val="0"/>
        <w:ind w:firstLine="640"/>
        <w:rPr>
          <w:rFonts w:hint="eastAsia" w:ascii="仿宋" w:hAnsi="仿宋" w:cs="仿宋"/>
          <w:szCs w:val="32"/>
        </w:rPr>
      </w:pPr>
      <w:r>
        <w:rPr>
          <w:rFonts w:hint="eastAsia" w:ascii="仿宋" w:hAnsi="仿宋" w:cs="仿宋"/>
          <w:szCs w:val="32"/>
        </w:rPr>
        <w:t>一是单位年初预算编制不科学，年初预算金额与预算调整额差距较大，造成预算调整率较高。预算的编制应该符合部门的实际情况，按照部门职能和工作安排情况，按照科学合理规范的方法测算编制预算额，测算的过程要有理有据，使得预算编制趋近于单位年度支出额。</w:t>
      </w:r>
    </w:p>
    <w:p>
      <w:pPr>
        <w:autoSpaceDE w:val="0"/>
        <w:autoSpaceDN w:val="0"/>
        <w:ind w:firstLine="640"/>
        <w:rPr>
          <w:rFonts w:hint="eastAsia" w:ascii="仿宋" w:hAnsi="仿宋" w:cs="仿宋"/>
          <w:szCs w:val="32"/>
        </w:rPr>
      </w:pPr>
      <w:r>
        <w:rPr>
          <w:rFonts w:hint="eastAsia" w:ascii="仿宋" w:hAnsi="仿宋" w:cs="仿宋"/>
          <w:szCs w:val="32"/>
        </w:rPr>
        <w:t>二是部门绩效目标设置不够完善。对于部门支出，虽然设立了绩效目标，但指标设置不够明确、细化和量化。如“招商引资”质量指标定性为“做好招商引资”对应的考核指标评判方式未明确。</w:t>
      </w:r>
    </w:p>
    <w:p>
      <w:pPr>
        <w:pStyle w:val="4"/>
        <w:ind w:firstLine="643"/>
        <w:rPr>
          <w:rFonts w:hint="eastAsia" w:ascii="楷体" w:hAnsi="楷体" w:eastAsia="楷体" w:cs="楷体"/>
        </w:rPr>
      </w:pPr>
      <w:bookmarkStart w:id="1671" w:name="_Toc12683"/>
      <w:bookmarkStart w:id="1672" w:name="_Toc23558"/>
      <w:bookmarkStart w:id="1673" w:name="_Toc13101"/>
      <w:bookmarkStart w:id="1674" w:name="_Toc7057"/>
      <w:r>
        <w:rPr>
          <w:rFonts w:hint="eastAsia" w:ascii="楷体" w:hAnsi="楷体" w:eastAsia="楷体" w:cs="楷体"/>
        </w:rPr>
        <w:t>2.固定资产管理不规范</w:t>
      </w:r>
      <w:bookmarkEnd w:id="1671"/>
      <w:bookmarkEnd w:id="1672"/>
      <w:bookmarkEnd w:id="1673"/>
      <w:bookmarkEnd w:id="1674"/>
    </w:p>
    <w:p>
      <w:pPr>
        <w:pStyle w:val="5"/>
        <w:ind w:firstLine="640"/>
        <w:rPr>
          <w:rFonts w:hint="eastAsia" w:ascii="仿宋" w:hAnsi="仿宋" w:eastAsia="仿宋" w:cs="仿宋"/>
          <w:b/>
          <w:bCs/>
        </w:rPr>
      </w:pPr>
      <w:r>
        <w:rPr>
          <w:rFonts w:hint="eastAsia" w:ascii="仿宋" w:hAnsi="仿宋" w:eastAsia="仿宋" w:cs="仿宋"/>
          <w:b/>
          <w:bCs/>
        </w:rPr>
        <w:t>（1）对固定资产的定期盘点工作落实不到位。</w:t>
      </w:r>
    </w:p>
    <w:p>
      <w:pPr>
        <w:autoSpaceDE w:val="0"/>
        <w:autoSpaceDN w:val="0"/>
        <w:ind w:firstLine="640"/>
        <w:rPr>
          <w:rFonts w:hint="eastAsia" w:ascii="仿宋" w:hAnsi="仿宋" w:cs="仿宋"/>
          <w:szCs w:val="32"/>
          <w:lang w:bidi="ar"/>
        </w:rPr>
      </w:pPr>
      <w:r>
        <w:rPr>
          <w:rFonts w:hint="eastAsia" w:ascii="仿宋" w:hAnsi="仿宋" w:cs="仿宋"/>
          <w:szCs w:val="32"/>
          <w:lang w:bidi="ar"/>
        </w:rPr>
        <w:t>高新区市政中心制定了《资产管理制度》，对单位各科室的固定资产管理、办公易耗用品管理的核算、购置、验收、登记、保管、使用等方面进行了规定，但未对固定资产维修维护管理进行规定且未制定无形资产管理制度，资产管理制度有待完善。在固定资产日常管理过程中，存在固定资产管理制度更新不及时、资产实时更新和盘点不及时、标签应用覆盖不全、账实不相符未能全面如实反映单位资产信息情况。</w:t>
      </w:r>
    </w:p>
    <w:p>
      <w:pPr>
        <w:pStyle w:val="5"/>
        <w:bidi w:val="0"/>
        <w:rPr>
          <w:rFonts w:hint="eastAsia"/>
        </w:rPr>
      </w:pPr>
      <w:r>
        <w:rPr>
          <w:rFonts w:hint="eastAsia"/>
        </w:rPr>
        <w:t>（2）未做到账实相符，固定资产账目不准确，未能全面客观如实反映单位资产信息情况。</w:t>
      </w:r>
    </w:p>
    <w:p>
      <w:pPr>
        <w:autoSpaceDE w:val="0"/>
        <w:autoSpaceDN w:val="0"/>
        <w:ind w:firstLine="640"/>
        <w:rPr>
          <w:rFonts w:hint="eastAsia" w:ascii="仿宋" w:hAnsi="仿宋" w:cs="仿宋"/>
          <w:szCs w:val="32"/>
          <w:lang w:bidi="ar"/>
        </w:rPr>
      </w:pPr>
      <w:r>
        <w:rPr>
          <w:rFonts w:hint="eastAsia" w:ascii="仿宋" w:hAnsi="仿宋" w:cs="仿宋"/>
          <w:szCs w:val="32"/>
          <w:lang w:bidi="ar"/>
        </w:rPr>
        <w:t>评价组发现单位存在电脑6台、打印机1台、碎纸机1台、佳能相机1台等13项属于单位账外资产，未纳入财务账和实物资产台账核算，存在资产监管漏洞。单位固定资产账和《预算支出相关信息表》《主要指标变动表》未显示出这些资产的价值。</w:t>
      </w:r>
    </w:p>
    <w:p>
      <w:pPr>
        <w:autoSpaceDE w:val="0"/>
        <w:autoSpaceDN w:val="0"/>
        <w:ind w:firstLine="640"/>
        <w:rPr>
          <w:rFonts w:hint="eastAsia" w:ascii="仿宋" w:hAnsi="仿宋" w:cs="仿宋"/>
          <w:szCs w:val="32"/>
        </w:rPr>
      </w:pPr>
      <w:r>
        <w:rPr>
          <w:rFonts w:hint="eastAsia" w:ascii="仿宋" w:hAnsi="仿宋" w:cs="仿宋"/>
          <w:szCs w:val="32"/>
        </w:rPr>
        <w:t>2016年5月遂宁市生态环境局赠予园区抑尘车一辆，没有办理过户手续固定资产权属不明确。</w:t>
      </w:r>
    </w:p>
    <w:bookmarkEnd w:id="1612"/>
    <w:p>
      <w:pPr>
        <w:pStyle w:val="4"/>
        <w:ind w:firstLine="643"/>
        <w:rPr>
          <w:rFonts w:hint="eastAsia" w:ascii="楷体" w:hAnsi="楷体" w:eastAsia="楷体" w:cs="楷体"/>
        </w:rPr>
      </w:pPr>
      <w:bookmarkStart w:id="1675" w:name="_Toc18232"/>
      <w:bookmarkStart w:id="1676" w:name="_Toc17965"/>
      <w:bookmarkStart w:id="1677" w:name="_Toc22456"/>
      <w:bookmarkStart w:id="1678" w:name="_Toc30220"/>
      <w:bookmarkStart w:id="1679" w:name="_Toc6048"/>
      <w:bookmarkStart w:id="1680" w:name="_Toc14091"/>
      <w:r>
        <w:rPr>
          <w:rFonts w:hint="eastAsia" w:ascii="楷体" w:hAnsi="楷体" w:eastAsia="楷体" w:cs="楷体"/>
        </w:rPr>
        <w:t>3.资金支付与报销管理</w:t>
      </w:r>
      <w:bookmarkEnd w:id="1675"/>
      <w:bookmarkEnd w:id="1676"/>
      <w:bookmarkEnd w:id="1677"/>
      <w:r>
        <w:rPr>
          <w:rFonts w:hint="eastAsia" w:ascii="楷体" w:hAnsi="楷体" w:eastAsia="楷体" w:cs="楷体"/>
        </w:rPr>
        <w:t>执行力度不够</w:t>
      </w:r>
      <w:bookmarkEnd w:id="1678"/>
      <w:bookmarkEnd w:id="1679"/>
      <w:bookmarkEnd w:id="1680"/>
    </w:p>
    <w:p>
      <w:pPr>
        <w:autoSpaceDE w:val="0"/>
        <w:autoSpaceDN w:val="0"/>
        <w:ind w:firstLine="640"/>
        <w:rPr>
          <w:rFonts w:hint="eastAsia" w:ascii="仿宋" w:hAnsi="仿宋" w:cs="仿宋"/>
          <w:szCs w:val="32"/>
        </w:rPr>
      </w:pPr>
      <w:r>
        <w:rPr>
          <w:rFonts w:hint="eastAsia" w:ascii="仿宋" w:hAnsi="仿宋" w:cs="仿宋"/>
          <w:szCs w:val="32"/>
        </w:rPr>
        <w:t>资金支付凭据不合规，报账资料审核不够严格，存在报账票据不合规（发票抬头不规范），票据流与资金流不一致的情况。</w:t>
      </w:r>
    </w:p>
    <w:p>
      <w:pPr>
        <w:autoSpaceDE w:val="0"/>
        <w:autoSpaceDN w:val="0"/>
        <w:ind w:firstLine="640"/>
        <w:rPr>
          <w:rFonts w:hint="eastAsia" w:ascii="仿宋" w:hAnsi="仿宋" w:cs="仿宋"/>
          <w:szCs w:val="32"/>
        </w:rPr>
      </w:pPr>
      <w:r>
        <w:rPr>
          <w:rFonts w:hint="eastAsia" w:ascii="仿宋" w:hAnsi="仿宋" w:cs="仿宋"/>
          <w:szCs w:val="32"/>
        </w:rPr>
        <w:t>入账发票不合规。不符合《中华人民共和国发票管理办法》（国函〔1993〕174号 ）第二十条“销售商品、提供服务以及从事其他经营活动的单位和个人，对外发生经营业务收取款项，收款方应向付款方开具发票；特殊情况下由付款方向收款方开具发票”的规定。</w:t>
      </w:r>
    </w:p>
    <w:p>
      <w:pPr>
        <w:autoSpaceDE w:val="0"/>
        <w:autoSpaceDN w:val="0"/>
        <w:ind w:firstLine="640"/>
        <w:rPr>
          <w:rFonts w:hint="eastAsia" w:ascii="仿宋" w:hAnsi="仿宋" w:cs="仿宋"/>
          <w:szCs w:val="32"/>
        </w:rPr>
      </w:pPr>
      <w:r>
        <w:rPr>
          <w:rFonts w:hint="eastAsia" w:ascii="仿宋" w:hAnsi="仿宋" w:cs="仿宋"/>
          <w:szCs w:val="32"/>
        </w:rPr>
        <w:t>抽查发现高新区市政中心2023年7月记8号凭证抑尘车（川J132560）缴纳交强险、商业保险金额为0.78万元，保险单车主名称“遂宁市环境保护局”发票购买方名称为“遂宁高新区市政公用事务中心”。</w:t>
      </w:r>
    </w:p>
    <w:p>
      <w:pPr>
        <w:autoSpaceDE w:val="0"/>
        <w:autoSpaceDN w:val="0"/>
        <w:ind w:firstLine="640"/>
        <w:rPr>
          <w:rFonts w:hint="eastAsia" w:ascii="仿宋" w:hAnsi="仿宋" w:cs="仿宋"/>
          <w:szCs w:val="32"/>
        </w:rPr>
      </w:pPr>
      <w:r>
        <w:rPr>
          <w:rFonts w:hint="eastAsia" w:ascii="仿宋" w:hAnsi="仿宋" w:cs="仿宋"/>
          <w:szCs w:val="32"/>
        </w:rPr>
        <w:t>抽查发现2023年3月17日记账5号凭证，支付维修费用5.97万元，开票单位名称为“四川光华科技集团有限公司水电公司”，购买方名称和发票抬头使用的单位名称为“四川遂宁高新区技术产业园区建设与交通运输局”</w:t>
      </w:r>
      <w:r>
        <w:rPr>
          <w:rStyle w:val="24"/>
          <w:rFonts w:hint="eastAsia" w:ascii="仿宋" w:hAnsi="仿宋" w:cs="仿宋"/>
          <w:sz w:val="32"/>
          <w:szCs w:val="32"/>
        </w:rPr>
        <w:t>，</w:t>
      </w:r>
      <w:r>
        <w:rPr>
          <w:rFonts w:hint="eastAsia" w:ascii="仿宋" w:hAnsi="仿宋" w:cs="仿宋"/>
          <w:szCs w:val="32"/>
        </w:rPr>
        <w:t>支付凭证国库集中支付凭证付款人名称为“遂宁高新区市政公用事务中心”。</w:t>
      </w:r>
    </w:p>
    <w:p>
      <w:pPr>
        <w:autoSpaceDE w:val="0"/>
        <w:autoSpaceDN w:val="0"/>
        <w:ind w:firstLine="640"/>
        <w:rPr>
          <w:rFonts w:hint="eastAsia" w:ascii="仿宋" w:hAnsi="仿宋" w:cs="仿宋"/>
          <w:szCs w:val="32"/>
        </w:rPr>
      </w:pPr>
      <w:r>
        <w:rPr>
          <w:rFonts w:hint="eastAsia" w:ascii="仿宋" w:hAnsi="仿宋" w:cs="仿宋"/>
          <w:szCs w:val="32"/>
        </w:rPr>
        <w:t>会计核算不准确。抽查发现2023年6月21日记账8号凭证、2023年4月7日记账5号凭证</w:t>
      </w:r>
      <w:r>
        <w:rPr>
          <w:rFonts w:hint="eastAsia" w:ascii="仿宋" w:hAnsi="仿宋" w:cs="仿宋"/>
          <w:szCs w:val="32"/>
          <w:lang w:eastAsia="zh-CN"/>
        </w:rPr>
        <w:t>，</w:t>
      </w:r>
      <w:r>
        <w:rPr>
          <w:rFonts w:hint="eastAsia" w:ascii="仿宋" w:hAnsi="仿宋" w:cs="仿宋"/>
          <w:szCs w:val="32"/>
        </w:rPr>
        <w:t>凭证金额合计为0.21万元。办公费使用“30299－其他商品和服务支出”经济科目核算，未计入“30201-办公费”。</w:t>
      </w:r>
    </w:p>
    <w:p>
      <w:pPr>
        <w:pStyle w:val="4"/>
        <w:ind w:firstLine="643"/>
        <w:rPr>
          <w:rFonts w:hint="eastAsia" w:ascii="楷体" w:hAnsi="楷体" w:eastAsia="楷体" w:cs="楷体"/>
        </w:rPr>
      </w:pPr>
      <w:bookmarkStart w:id="1681" w:name="_Toc12238"/>
      <w:bookmarkStart w:id="1682" w:name="_Toc8384"/>
      <w:bookmarkStart w:id="1683" w:name="_Toc13606"/>
      <w:r>
        <w:rPr>
          <w:rFonts w:hint="eastAsia" w:ascii="楷体" w:hAnsi="楷体" w:eastAsia="楷体" w:cs="楷体"/>
        </w:rPr>
        <w:t>4.内部管理执行</w:t>
      </w:r>
      <w:bookmarkEnd w:id="1681"/>
      <w:bookmarkEnd w:id="1682"/>
      <w:bookmarkEnd w:id="1683"/>
      <w:r>
        <w:rPr>
          <w:rFonts w:hint="eastAsia" w:ascii="楷体" w:hAnsi="楷体" w:eastAsia="楷体" w:cs="楷体"/>
        </w:rPr>
        <w:t>力有待提升</w:t>
      </w:r>
    </w:p>
    <w:p>
      <w:pPr>
        <w:pStyle w:val="7"/>
        <w:autoSpaceDE w:val="0"/>
        <w:autoSpaceDN w:val="0"/>
        <w:ind w:firstLine="640"/>
        <w:rPr>
          <w:rFonts w:hint="eastAsia" w:ascii="仿宋" w:hAnsi="仿宋" w:cs="仿宋"/>
          <w:szCs w:val="32"/>
        </w:rPr>
      </w:pPr>
      <w:r>
        <w:rPr>
          <w:rFonts w:hint="eastAsia" w:ascii="仿宋" w:hAnsi="仿宋" w:cs="仿宋"/>
          <w:szCs w:val="32"/>
        </w:rPr>
        <w:t>抽查发现2023年4月7日记账8号凭证所记录的支付事项存在不合规情况。该凭证涉及向慧语堂公司支付2023年6月至8月期间购买日常办公用品及办公耗材的费用，总金额为0.22万元。此支付行为未遵循《遂宁高新区机关财务管理制度（试行）》（遂高办〔2021〕269号）中的相关规定，如“</w:t>
      </w:r>
      <w:r>
        <w:rPr>
          <w:rFonts w:hint="eastAsia" w:ascii="仿宋" w:hAnsi="仿宋" w:cs="仿宋"/>
          <w:kern w:val="0"/>
          <w:szCs w:val="32"/>
          <w:lang w:bidi="ar"/>
        </w:rPr>
        <w:t>所购办公用品或其他物品交保管人员查收后，双方在购置发票和入库清单上签字确认，按审批程序报账。严格办公用品发放领用制度，办公用品管理部门应建立办公用品领用和库存台账，严格领用签字手续”定执行，没有办公用品入库单据。</w:t>
      </w:r>
    </w:p>
    <w:p>
      <w:pPr>
        <w:autoSpaceDE w:val="0"/>
        <w:autoSpaceDN w:val="0"/>
        <w:ind w:firstLine="640"/>
        <w:rPr>
          <w:rFonts w:hint="eastAsia" w:ascii="仿宋" w:hAnsi="仿宋" w:cs="仿宋"/>
          <w:w w:val="95"/>
          <w:szCs w:val="32"/>
        </w:rPr>
      </w:pPr>
      <w:r>
        <w:rPr>
          <w:rFonts w:hint="eastAsia" w:ascii="仿宋" w:hAnsi="仿宋" w:cs="仿宋"/>
          <w:kern w:val="0"/>
          <w:szCs w:val="32"/>
          <w:lang w:bidi="ar"/>
        </w:rPr>
        <w:t>存在记账凭证会计信息登记不够真实完整，原始报销凭证下方信息如会计主管、审核、记账、制单、出纳等未落款具体人员，影响了会计信息质量的真实性。</w:t>
      </w:r>
    </w:p>
    <w:p>
      <w:pPr>
        <w:autoSpaceDE w:val="0"/>
        <w:autoSpaceDN w:val="0"/>
        <w:ind w:firstLine="640"/>
        <w:rPr>
          <w:rFonts w:hint="eastAsia" w:ascii="仿宋" w:hAnsi="仿宋" w:cs="仿宋"/>
          <w:kern w:val="0"/>
          <w:szCs w:val="32"/>
          <w:lang w:bidi="ar"/>
        </w:rPr>
      </w:pPr>
      <w:r>
        <w:rPr>
          <w:rFonts w:hint="eastAsia" w:ascii="仿宋" w:hAnsi="仿宋" w:cs="仿宋"/>
          <w:szCs w:val="32"/>
        </w:rPr>
        <w:t>个人垫付单位支出，无付款凭证或支付证据资料</w:t>
      </w:r>
      <w:r>
        <w:rPr>
          <w:rFonts w:hint="eastAsia" w:ascii="仿宋" w:hAnsi="仿宋" w:cs="仿宋"/>
          <w:kern w:val="0"/>
          <w:szCs w:val="32"/>
          <w:lang w:bidi="ar"/>
        </w:rPr>
        <w:t>未按</w:t>
      </w:r>
      <w:r>
        <w:rPr>
          <w:rFonts w:hint="eastAsia" w:ascii="仿宋" w:hAnsi="仿宋" w:cs="仿宋"/>
          <w:w w:val="95"/>
          <w:szCs w:val="32"/>
        </w:rPr>
        <w:t>《遂宁高新区机关财务管理制度（试行）》（遂高办）269号的规定</w:t>
      </w:r>
      <w:r>
        <w:rPr>
          <w:rFonts w:hint="eastAsia" w:ascii="仿宋" w:hAnsi="仿宋" w:cs="仿宋"/>
          <w:kern w:val="0"/>
          <w:szCs w:val="32"/>
          <w:lang w:bidi="ar"/>
        </w:rPr>
        <w:t>“除不具备转账条件的酒店和临时外出接待、职工出差的差旅费借支、劳务支出和零星采购外，1000.00元以上的业务结算，一律通过银行转账支付”规定执行。如2023年11月21日</w:t>
      </w:r>
      <w:r>
        <w:rPr>
          <w:rFonts w:hint="eastAsia" w:ascii="仿宋" w:hAnsi="仿宋" w:cs="仿宋"/>
          <w:szCs w:val="32"/>
        </w:rPr>
        <w:t>记账</w:t>
      </w:r>
      <w:r>
        <w:rPr>
          <w:rFonts w:hint="eastAsia" w:ascii="仿宋" w:hAnsi="仿宋" w:cs="仿宋"/>
          <w:kern w:val="0"/>
          <w:szCs w:val="32"/>
          <w:lang w:bidi="ar"/>
        </w:rPr>
        <w:t>20号凭证报销差旅费金额0.47万元，没有通过银行转账支付，也没有使用公务卡结算。</w:t>
      </w:r>
    </w:p>
    <w:p>
      <w:pPr>
        <w:pStyle w:val="3"/>
        <w:keepLines w:val="0"/>
        <w:autoSpaceDE w:val="0"/>
        <w:autoSpaceDN w:val="0"/>
        <w:spacing w:before="0" w:beforeLines="0"/>
        <w:ind w:firstLine="643"/>
        <w:rPr>
          <w:rFonts w:hint="eastAsia" w:ascii="仿宋_GB2312" w:hAnsi="仿宋_GB2312" w:cs="仿宋_GB2312"/>
        </w:rPr>
      </w:pPr>
      <w:bookmarkStart w:id="1684" w:name="_Toc11779"/>
      <w:bookmarkStart w:id="1685" w:name="_Toc11283"/>
      <w:bookmarkStart w:id="1686" w:name="_Toc1315"/>
      <w:bookmarkStart w:id="1687" w:name="_Toc8937"/>
      <w:bookmarkStart w:id="1688" w:name="_Toc30821"/>
      <w:bookmarkStart w:id="1689" w:name="_Toc3712"/>
      <w:bookmarkStart w:id="1690" w:name="_Toc5428"/>
      <w:bookmarkStart w:id="1691" w:name="_Toc29764"/>
      <w:bookmarkStart w:id="1692" w:name="_Toc5871"/>
      <w:bookmarkStart w:id="1693" w:name="_Toc4811"/>
      <w:bookmarkStart w:id="1694" w:name="_Toc25397"/>
      <w:bookmarkStart w:id="1695" w:name="_Toc2637"/>
      <w:bookmarkStart w:id="1696" w:name="_Toc23424"/>
      <w:bookmarkStart w:id="1697" w:name="_Toc5629"/>
      <w:bookmarkStart w:id="1698" w:name="_Toc3687"/>
      <w:bookmarkStart w:id="1699" w:name="_Toc3131"/>
      <w:bookmarkStart w:id="1700" w:name="_Toc286"/>
      <w:bookmarkStart w:id="1701" w:name="_Toc28576"/>
      <w:bookmarkStart w:id="1702" w:name="_Toc6011"/>
      <w:bookmarkStart w:id="1703" w:name="_Toc19978"/>
      <w:bookmarkStart w:id="1704" w:name="_Toc210"/>
      <w:bookmarkStart w:id="1705" w:name="_Toc28667"/>
      <w:bookmarkStart w:id="1706" w:name="_Toc13695"/>
      <w:bookmarkStart w:id="1707" w:name="_Toc2317"/>
      <w:bookmarkStart w:id="1708" w:name="_Toc4780"/>
      <w:bookmarkStart w:id="1709" w:name="_Toc29877"/>
      <w:bookmarkStart w:id="1710" w:name="_Toc15192"/>
      <w:bookmarkStart w:id="1711" w:name="_Toc32510"/>
      <w:bookmarkStart w:id="1712" w:name="_Toc12087"/>
      <w:bookmarkStart w:id="1713" w:name="_Toc4648"/>
      <w:bookmarkStart w:id="1714" w:name="_Toc1759"/>
      <w:bookmarkStart w:id="1715" w:name="_Toc27062"/>
      <w:bookmarkStart w:id="1716" w:name="_Toc564"/>
      <w:r>
        <w:rPr>
          <w:rFonts w:hint="eastAsia" w:ascii="仿宋_GB2312" w:hAnsi="仿宋_GB2312" w:cs="仿宋_GB2312"/>
        </w:rPr>
        <w:t>（二）建议和改进举措</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p>
    <w:p>
      <w:pPr>
        <w:autoSpaceDE w:val="0"/>
        <w:autoSpaceDN w:val="0"/>
        <w:ind w:firstLine="643"/>
        <w:outlineLvl w:val="2"/>
        <w:rPr>
          <w:rFonts w:hint="eastAsia" w:ascii="楷体" w:hAnsi="楷体" w:eastAsia="楷体" w:cs="楷体"/>
          <w:b/>
          <w:bCs/>
          <w:szCs w:val="32"/>
        </w:rPr>
      </w:pPr>
      <w:bookmarkStart w:id="1717" w:name="_Toc11120"/>
      <w:bookmarkStart w:id="1718" w:name="_Toc26924"/>
      <w:bookmarkStart w:id="1719" w:name="_Toc12005"/>
      <w:bookmarkStart w:id="1720" w:name="_Toc27523"/>
      <w:r>
        <w:rPr>
          <w:rFonts w:hint="eastAsia" w:ascii="楷体" w:hAnsi="楷体" w:eastAsia="楷体" w:cs="楷体"/>
          <w:b/>
          <w:bCs/>
          <w:szCs w:val="32"/>
        </w:rPr>
        <w:t>1.</w:t>
      </w:r>
      <w:bookmarkEnd w:id="1717"/>
      <w:bookmarkEnd w:id="1718"/>
      <w:bookmarkEnd w:id="1719"/>
      <w:r>
        <w:rPr>
          <w:rFonts w:hint="eastAsia" w:ascii="楷体" w:hAnsi="楷体" w:eastAsia="楷体" w:cs="楷体"/>
          <w:b/>
          <w:bCs/>
          <w:szCs w:val="32"/>
        </w:rPr>
        <w:t>提高预算编制及执行管理水平</w:t>
      </w:r>
      <w:bookmarkEnd w:id="1720"/>
    </w:p>
    <w:p>
      <w:pPr>
        <w:autoSpaceDE w:val="0"/>
        <w:autoSpaceDN w:val="0"/>
        <w:ind w:firstLine="640"/>
        <w:rPr>
          <w:rFonts w:hint="eastAsia" w:ascii="仿宋" w:hAnsi="仿宋" w:cs="仿宋"/>
          <w:szCs w:val="32"/>
        </w:rPr>
      </w:pPr>
      <w:r>
        <w:rPr>
          <w:rFonts w:hint="eastAsia" w:ascii="仿宋" w:hAnsi="仿宋" w:cs="仿宋"/>
          <w:szCs w:val="32"/>
        </w:rPr>
        <w:t>在预算期初，结合上年度资金使用情况及预计业务水平来编制预算，并在预算实施的过程中，根据情况调整预算，不断提高预算编制的准确性和精细性。</w:t>
      </w:r>
    </w:p>
    <w:p>
      <w:pPr>
        <w:autoSpaceDE w:val="0"/>
        <w:autoSpaceDN w:val="0"/>
        <w:ind w:firstLine="643"/>
        <w:outlineLvl w:val="2"/>
        <w:rPr>
          <w:rFonts w:hint="eastAsia" w:ascii="楷体" w:hAnsi="楷体" w:eastAsia="楷体" w:cs="楷体"/>
          <w:b/>
          <w:bCs/>
          <w:szCs w:val="32"/>
        </w:rPr>
      </w:pPr>
      <w:bookmarkStart w:id="1721" w:name="_Toc32103"/>
      <w:bookmarkStart w:id="1722" w:name="_Toc9442"/>
      <w:bookmarkStart w:id="1723" w:name="_Toc15549"/>
      <w:bookmarkStart w:id="1724" w:name="_Toc18114"/>
      <w:bookmarkStart w:id="1725" w:name="_Toc27085"/>
      <w:r>
        <w:rPr>
          <w:rFonts w:hint="eastAsia" w:ascii="楷体" w:hAnsi="楷体" w:eastAsia="楷体" w:cs="楷体"/>
          <w:b/>
          <w:bCs/>
          <w:szCs w:val="32"/>
        </w:rPr>
        <w:t>2.加强固定资产管理工作</w:t>
      </w:r>
      <w:bookmarkEnd w:id="1721"/>
      <w:bookmarkEnd w:id="1722"/>
      <w:bookmarkEnd w:id="1723"/>
      <w:bookmarkEnd w:id="1724"/>
      <w:bookmarkEnd w:id="1725"/>
    </w:p>
    <w:p>
      <w:pPr>
        <w:autoSpaceDE w:val="0"/>
        <w:autoSpaceDN w:val="0"/>
        <w:ind w:firstLine="640"/>
        <w:rPr>
          <w:rFonts w:hint="eastAsia" w:ascii="仿宋" w:hAnsi="仿宋" w:cs="仿宋"/>
          <w:kern w:val="0"/>
          <w:szCs w:val="32"/>
          <w:lang w:bidi="ar"/>
        </w:rPr>
      </w:pPr>
      <w:r>
        <w:rPr>
          <w:rFonts w:hint="eastAsia" w:ascii="仿宋" w:hAnsi="仿宋" w:cs="仿宋"/>
          <w:kern w:val="0"/>
          <w:szCs w:val="32"/>
          <w:lang w:bidi="ar"/>
        </w:rPr>
        <w:t>建议完善单位国有资产管理办法，强化和落实资产管理责任；建议单位每季度、半年和年末组织开展资产清查，摸清行政事业单位国有资产家底，清点资产，及时调整账目，保障资产账账、账实相符，盘活闲置资产，提高资产利用率。</w:t>
      </w:r>
    </w:p>
    <w:p>
      <w:pPr>
        <w:autoSpaceDE w:val="0"/>
        <w:autoSpaceDN w:val="0"/>
        <w:ind w:firstLine="640"/>
        <w:rPr>
          <w:rFonts w:hint="eastAsia" w:ascii="仿宋" w:hAnsi="仿宋" w:cs="仿宋"/>
          <w:szCs w:val="32"/>
        </w:rPr>
      </w:pPr>
      <w:r>
        <w:rPr>
          <w:rFonts w:hint="eastAsia" w:ascii="仿宋" w:hAnsi="仿宋" w:cs="仿宋"/>
          <w:szCs w:val="32"/>
        </w:rPr>
        <w:t>熟悉单位的报销政策和标准，包括可报销的费用类型报销限额、所需单据等；确保所有相关费用单据齐全，如发票、收据、行程单等，并检查其真实性和有效性；定期对报销流程进行内部审计，确保合规性和效率。</w:t>
      </w:r>
    </w:p>
    <w:p>
      <w:pPr>
        <w:autoSpaceDE w:val="0"/>
        <w:autoSpaceDN w:val="0"/>
        <w:ind w:firstLine="643"/>
        <w:outlineLvl w:val="2"/>
        <w:rPr>
          <w:rFonts w:hint="eastAsia" w:ascii="楷体" w:hAnsi="楷体" w:eastAsia="楷体" w:cs="楷体"/>
          <w:b/>
          <w:bCs/>
          <w:szCs w:val="32"/>
        </w:rPr>
      </w:pPr>
      <w:bookmarkStart w:id="1726" w:name="_Toc20567"/>
      <w:r>
        <w:rPr>
          <w:rFonts w:hint="eastAsia" w:ascii="楷体" w:hAnsi="楷体" w:eastAsia="楷体" w:cs="楷体"/>
          <w:b/>
          <w:bCs/>
          <w:szCs w:val="32"/>
        </w:rPr>
        <w:t>3.强化内部制度的执行力度</w:t>
      </w:r>
      <w:bookmarkEnd w:id="1726"/>
    </w:p>
    <w:p>
      <w:pPr>
        <w:autoSpaceDE w:val="0"/>
        <w:autoSpaceDN w:val="0"/>
        <w:ind w:firstLine="640"/>
        <w:rPr>
          <w:rFonts w:hint="eastAsia" w:ascii="仿宋" w:hAnsi="仿宋" w:cs="仿宋"/>
          <w:szCs w:val="32"/>
        </w:rPr>
      </w:pPr>
      <w:r>
        <w:rPr>
          <w:rFonts w:hint="eastAsia" w:ascii="仿宋" w:hAnsi="仿宋" w:cs="仿宋"/>
          <w:szCs w:val="32"/>
        </w:rPr>
        <w:t>建议加强高新区市政中心内部人员对财务制度的学习与宣传，确保部门人员充分理解并掌握制度的内容和要求；明确责任与考核机制，确保制度执行有明确的责任主体；建立健全的内部控制制度，包括财务审批、资金管理、成本控制、内部审计等方面的制度，确保财务活动的规范性和安全性；定期对财务制度的执行情况进行评估和总结，发现问题和不足及时进行改进和优化。</w:t>
      </w:r>
    </w:p>
    <w:p>
      <w:pPr>
        <w:pStyle w:val="2"/>
        <w:spacing w:before="0" w:after="0"/>
        <w:ind w:firstLine="640"/>
        <w:rPr>
          <w:rFonts w:hint="eastAsia" w:ascii="黑体" w:hAnsi="黑体" w:cs="黑体"/>
        </w:rPr>
      </w:pPr>
      <w:bookmarkStart w:id="1727" w:name="_Toc24302"/>
      <w:bookmarkStart w:id="1728" w:name="_Toc10503"/>
      <w:bookmarkStart w:id="1729" w:name="_Toc17673"/>
      <w:bookmarkStart w:id="1730" w:name="_Toc4351"/>
      <w:bookmarkStart w:id="1731" w:name="_Toc10695"/>
      <w:bookmarkStart w:id="1732" w:name="_Toc2975"/>
      <w:bookmarkStart w:id="1733" w:name="_Toc21169"/>
      <w:bookmarkStart w:id="1734" w:name="_Toc18837"/>
      <w:bookmarkStart w:id="1735" w:name="_Toc17057"/>
      <w:bookmarkStart w:id="1736" w:name="_Toc4860"/>
      <w:bookmarkStart w:id="1737" w:name="_Toc24809"/>
      <w:bookmarkStart w:id="1738" w:name="_Toc19020"/>
      <w:bookmarkStart w:id="1739" w:name="_Toc7200"/>
      <w:bookmarkStart w:id="1740" w:name="_Toc21503"/>
      <w:bookmarkStart w:id="1741" w:name="_Toc23748"/>
      <w:bookmarkStart w:id="1742" w:name="_Toc5813"/>
      <w:bookmarkStart w:id="1743" w:name="_Toc689"/>
      <w:bookmarkStart w:id="1744" w:name="_Toc853"/>
      <w:bookmarkStart w:id="1745" w:name="_Toc8618"/>
      <w:bookmarkStart w:id="1746" w:name="_Toc27949"/>
      <w:bookmarkStart w:id="1747" w:name="_Toc23929"/>
      <w:bookmarkStart w:id="1748" w:name="_Toc22881"/>
      <w:bookmarkStart w:id="1749" w:name="_Toc13730"/>
      <w:bookmarkStart w:id="1750" w:name="_Toc1833"/>
      <w:bookmarkStart w:id="1751" w:name="_Toc13877"/>
      <w:bookmarkStart w:id="1752" w:name="_Toc16047"/>
      <w:bookmarkStart w:id="1753" w:name="_Toc12068"/>
      <w:bookmarkStart w:id="1754" w:name="_Toc1359"/>
      <w:bookmarkStart w:id="1755" w:name="_Toc13676"/>
      <w:bookmarkStart w:id="1756" w:name="_Toc28677"/>
      <w:bookmarkStart w:id="1757" w:name="_Toc27745"/>
      <w:bookmarkStart w:id="1758" w:name="_Toc12016"/>
      <w:r>
        <w:rPr>
          <w:rFonts w:hint="eastAsia" w:ascii="黑体" w:hAnsi="黑体" w:cs="黑体"/>
          <w:b w:val="0"/>
          <w:bCs w:val="0"/>
        </w:rPr>
        <w:t>七、相关附件</w:t>
      </w:r>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pPr>
        <w:autoSpaceDE w:val="0"/>
        <w:autoSpaceDN w:val="0"/>
        <w:ind w:firstLine="640"/>
        <w:rPr>
          <w:rFonts w:hint="eastAsia" w:ascii="仿宋" w:hAnsi="仿宋" w:cs="仿宋"/>
          <w:kern w:val="0"/>
          <w:szCs w:val="32"/>
          <w:shd w:val="clear" w:color="auto" w:fill="FFFFFF"/>
        </w:rPr>
      </w:pPr>
      <w:r>
        <w:rPr>
          <w:rFonts w:hint="eastAsia" w:ascii="仿宋" w:hAnsi="仿宋" w:cs="仿宋"/>
          <w:szCs w:val="32"/>
        </w:rPr>
        <w:t>附件：</w:t>
      </w:r>
      <w:r>
        <w:rPr>
          <w:rFonts w:hint="eastAsia" w:ascii="仿宋" w:hAnsi="仿宋" w:cs="仿宋"/>
          <w:kern w:val="0"/>
          <w:szCs w:val="32"/>
          <w:shd w:val="clear" w:color="auto" w:fill="FFFFFF"/>
        </w:rPr>
        <w:t>遂宁高新区市政公用事务中心2023年度部门整体支出绩效评价指标评分表</w:t>
      </w: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pStyle w:val="17"/>
        <w:spacing w:before="240" w:after="240"/>
        <w:outlineLvl w:val="9"/>
        <w:rPr>
          <w:rFonts w:hint="eastAsia" w:ascii="宋体" w:hAnsi="宋体" w:eastAsia="宋体" w:cs="宋体"/>
          <w:b/>
          <w:bCs/>
          <w:szCs w:val="44"/>
        </w:rPr>
      </w:pPr>
      <w:r>
        <w:rPr>
          <w:rFonts w:hint="eastAsia" w:ascii="宋体" w:hAnsi="宋体" w:eastAsia="宋体" w:cs="宋体"/>
          <w:b/>
          <w:bCs/>
          <w:szCs w:val="44"/>
        </w:rPr>
        <w:t>遂宁市市场监督管理局高新区分局2023</w:t>
      </w:r>
    </w:p>
    <w:p>
      <w:pPr>
        <w:pStyle w:val="17"/>
        <w:spacing w:before="240" w:after="240"/>
        <w:outlineLvl w:val="9"/>
        <w:rPr>
          <w:rFonts w:hint="eastAsia" w:ascii="宋体" w:hAnsi="宋体" w:eastAsia="宋体" w:cs="宋体"/>
          <w:b/>
          <w:bCs/>
          <w:szCs w:val="44"/>
        </w:rPr>
      </w:pPr>
      <w:r>
        <w:rPr>
          <w:rFonts w:hint="eastAsia" w:ascii="宋体" w:hAnsi="宋体" w:eastAsia="宋体" w:cs="宋体"/>
          <w:b/>
          <w:bCs/>
          <w:szCs w:val="44"/>
        </w:rPr>
        <w:t>年度部门整体支出绩效评价报告</w:t>
      </w:r>
      <w:bookmarkStart w:id="1759" w:name="_Toc13538"/>
    </w:p>
    <w:p>
      <w:pPr>
        <w:pStyle w:val="17"/>
        <w:spacing w:before="240" w:after="240"/>
        <w:outlineLvl w:val="9"/>
        <w:rPr>
          <w:rFonts w:hint="eastAsia" w:ascii="黑体" w:hAnsi="黑体" w:eastAsia="黑体" w:cs="黑体"/>
          <w:b w:val="0"/>
          <w:bCs w:val="0"/>
          <w:szCs w:val="44"/>
        </w:rPr>
      </w:pPr>
      <w:r>
        <w:rPr>
          <w:rFonts w:hint="eastAsia" w:ascii="宋体" w:hAnsi="宋体" w:cs="宋体"/>
          <w:b/>
          <w:bCs/>
          <w:szCs w:val="44"/>
          <w:lang w:val="en-US" w:eastAsia="zh-CN"/>
        </w:rPr>
        <w:t>摘</w:t>
      </w:r>
      <w:r>
        <w:rPr>
          <w:rFonts w:hint="eastAsia" w:ascii="黑体" w:hAnsi="黑体" w:eastAsia="黑体" w:cs="黑体"/>
          <w:b w:val="0"/>
          <w:bCs w:val="0"/>
          <w:szCs w:val="44"/>
        </w:rPr>
        <w:t>要</w:t>
      </w:r>
      <w:bookmarkEnd w:id="1759"/>
    </w:p>
    <w:p>
      <w:pPr>
        <w:widowControl/>
        <w:ind w:firstLine="640"/>
        <w:jc w:val="left"/>
        <w:rPr>
          <w:rFonts w:hint="eastAsia" w:ascii="黑体" w:hAnsi="黑体" w:eastAsia="黑体" w:cs="黑体"/>
          <w:color w:val="000000"/>
          <w:kern w:val="0"/>
          <w:szCs w:val="32"/>
          <w:lang w:bidi="ar"/>
        </w:rPr>
      </w:pPr>
      <w:r>
        <w:rPr>
          <w:rFonts w:hint="eastAsia" w:ascii="黑体" w:hAnsi="黑体" w:eastAsia="黑体" w:cs="黑体"/>
          <w:color w:val="000000"/>
          <w:kern w:val="0"/>
          <w:szCs w:val="32"/>
          <w:lang w:bidi="ar"/>
        </w:rPr>
        <w:t>部门情况</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遂宁市市场监督管理局高新区分局是2019年7月25日经市委编办同意成立的遂宁市市场监督管理局派驻机构，属于</w:t>
      </w:r>
      <w:r>
        <w:rPr>
          <w:rFonts w:hint="eastAsia" w:ascii="仿宋" w:hAnsi="仿宋" w:cs="仿宋"/>
          <w:sz w:val="32"/>
          <w:szCs w:val="32"/>
          <w:lang w:val="en-US" w:eastAsia="zh-CN"/>
        </w:rPr>
        <w:t>行政</w:t>
      </w:r>
      <w:r>
        <w:rPr>
          <w:rFonts w:hint="eastAsia" w:ascii="仿宋" w:hAnsi="仿宋" w:eastAsia="仿宋" w:cs="仿宋"/>
          <w:sz w:val="32"/>
          <w:szCs w:val="32"/>
        </w:rPr>
        <w:t>单位。现有综合行政组、监管执法组、市场服务组、发展项目组4个内设机构，保升市场监管所和西宁市场监管所2个派出机构。</w:t>
      </w:r>
    </w:p>
    <w:p>
      <w:pPr>
        <w:widowControl/>
        <w:ind w:firstLine="640"/>
        <w:jc w:val="left"/>
        <w:rPr>
          <w:rFonts w:hint="eastAsia" w:ascii="黑体" w:hAnsi="黑体" w:eastAsia="黑体" w:cs="黑体"/>
          <w:color w:val="000000"/>
          <w:kern w:val="0"/>
          <w:szCs w:val="32"/>
          <w:lang w:bidi="ar"/>
        </w:rPr>
      </w:pPr>
      <w:r>
        <w:rPr>
          <w:rFonts w:hint="eastAsia" w:ascii="黑体" w:hAnsi="黑体" w:eastAsia="黑体" w:cs="黑体"/>
          <w:color w:val="000000"/>
          <w:kern w:val="0"/>
          <w:szCs w:val="32"/>
          <w:lang w:bidi="ar"/>
        </w:rPr>
        <w:t>评价结论</w:t>
      </w:r>
    </w:p>
    <w:p>
      <w:pPr>
        <w:pStyle w:val="8"/>
        <w:keepNext w:val="0"/>
        <w:keepLines w:val="0"/>
        <w:pageBreakBefore w:val="0"/>
        <w:widowControl w:val="0"/>
        <w:kinsoku/>
        <w:wordWrap/>
        <w:overflowPunct/>
        <w:topLinePunct w:val="0"/>
        <w:autoSpaceDE/>
        <w:autoSpaceDN/>
        <w:bidi w:val="0"/>
        <w:adjustRightInd/>
        <w:snapToGrid/>
        <w:ind w:firstLine="640"/>
        <w:jc w:val="both"/>
        <w:textAlignment w:val="auto"/>
        <w:rPr>
          <w:rFonts w:hint="eastAsia" w:ascii="仿宋" w:hAnsi="仿宋" w:cs="仿宋"/>
          <w:szCs w:val="32"/>
        </w:rPr>
      </w:pPr>
      <w:r>
        <w:rPr>
          <w:rFonts w:hint="eastAsia" w:ascii="仿宋" w:hAnsi="仿宋" w:cs="仿宋"/>
          <w:szCs w:val="32"/>
        </w:rPr>
        <w:t>2023年度遂宁市市场监督管理局高新区分局按规定编报了部门绩效目标，目标设立合理，符合绩效管理相关规定，与地区发展规划的目标方向一致，相应工作内容与三定方案确定的职责相契合。</w:t>
      </w:r>
      <w:r>
        <w:rPr>
          <w:rFonts w:hint="eastAsia" w:ascii="仿宋" w:hAnsi="仿宋" w:cs="仿宋"/>
          <w:szCs w:val="32"/>
          <w:lang w:val="en-US" w:eastAsia="zh-CN"/>
        </w:rPr>
        <w:t>目标管理不足，</w:t>
      </w:r>
      <w:r>
        <w:rPr>
          <w:rFonts w:hint="eastAsia" w:ascii="仿宋" w:hAnsi="仿宋" w:cs="仿宋"/>
          <w:szCs w:val="32"/>
        </w:rPr>
        <w:t>指标设置不够明确、细化和量化</w:t>
      </w:r>
      <w:r>
        <w:rPr>
          <w:rFonts w:hint="eastAsia" w:ascii="仿宋" w:hAnsi="仿宋" w:cs="仿宋"/>
          <w:szCs w:val="32"/>
          <w:lang w:eastAsia="zh-CN"/>
        </w:rPr>
        <w:t>。</w:t>
      </w:r>
      <w:r>
        <w:rPr>
          <w:rFonts w:hint="eastAsia" w:ascii="仿宋" w:hAnsi="仿宋" w:cs="仿宋"/>
          <w:szCs w:val="32"/>
        </w:rPr>
        <w:t>遂宁市市场监督管理局高新区分局制定了中长期发展规划，完成了本年度各项工作任务，实现了部门绩效总体目标和各项指标。遂宁市市场监督管理局高新区分局紧抓预算管理和执行，完成了2023年度预算支出。三公经费实际支出1.86万元</w:t>
      </w:r>
      <w:r>
        <w:rPr>
          <w:rStyle w:val="24"/>
          <w:rFonts w:hint="eastAsia" w:ascii="仿宋" w:hAnsi="仿宋" w:cs="仿宋"/>
          <w:sz w:val="32"/>
          <w:szCs w:val="32"/>
        </w:rPr>
        <w:t>，未超出预算安排，控制良好</w:t>
      </w:r>
      <w:r>
        <w:rPr>
          <w:rFonts w:hint="eastAsia" w:ascii="仿宋" w:hAnsi="仿宋" w:cs="仿宋"/>
          <w:szCs w:val="32"/>
        </w:rPr>
        <w:t>。2023年遂宁市市场监督管理局高新区分局在职人员数量</w:t>
      </w:r>
      <w:r>
        <w:rPr>
          <w:rFonts w:hint="eastAsia" w:ascii="仿宋" w:hAnsi="仿宋" w:cs="仿宋"/>
          <w:szCs w:val="32"/>
          <w:lang w:val="en-US" w:eastAsia="zh-CN"/>
        </w:rPr>
        <w:t>未</w:t>
      </w:r>
      <w:r>
        <w:rPr>
          <w:rFonts w:hint="eastAsia" w:ascii="仿宋" w:hAnsi="仿宋" w:cs="仿宋"/>
          <w:szCs w:val="32"/>
        </w:rPr>
        <w:t>超出三定方案确定的人员编制范围。部门制定了部分内部管理制度，但不够健全，相关资产管理工作存在不足。2023年度遂宁市市场监督管理局高新区分局各项工作任务均已顺利完成，较好地履行了部门工作职责。遂宁市市场监督管理局高新区分局工作的完成发挥了相应的社会效益和一定的经济效益，群众满意度总体较高。经综合评议，遂宁市市场监督管理局高新区分局2023年度部门整体支出绩效评价综合得分8</w:t>
      </w:r>
      <w:r>
        <w:rPr>
          <w:rFonts w:hint="eastAsia" w:ascii="仿宋" w:hAnsi="仿宋" w:cs="仿宋"/>
          <w:szCs w:val="32"/>
          <w:lang w:val="en-US" w:eastAsia="zh-CN"/>
        </w:rPr>
        <w:t>6</w:t>
      </w:r>
      <w:r>
        <w:rPr>
          <w:rFonts w:hint="eastAsia" w:ascii="仿宋" w:hAnsi="仿宋" w:cs="仿宋"/>
          <w:szCs w:val="32"/>
        </w:rPr>
        <w:t>.17分，综合绩效评定结论为“良”。</w:t>
      </w:r>
    </w:p>
    <w:p>
      <w:pPr>
        <w:widowControl/>
        <w:ind w:firstLine="640"/>
        <w:jc w:val="left"/>
        <w:rPr>
          <w:rFonts w:hint="eastAsia" w:ascii="黑体" w:hAnsi="黑体" w:eastAsia="黑体" w:cs="黑体"/>
          <w:color w:val="000000"/>
          <w:kern w:val="0"/>
          <w:szCs w:val="32"/>
          <w:lang w:bidi="ar"/>
        </w:rPr>
      </w:pPr>
      <w:r>
        <w:rPr>
          <w:rFonts w:hint="eastAsia" w:ascii="黑体" w:hAnsi="黑体" w:eastAsia="黑体" w:cs="黑体"/>
          <w:color w:val="000000"/>
          <w:kern w:val="0"/>
          <w:szCs w:val="32"/>
          <w:lang w:bidi="ar"/>
        </w:rPr>
        <w:t>绩效分析</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cs="仿宋"/>
        </w:rPr>
      </w:pPr>
      <w:r>
        <w:rPr>
          <w:rFonts w:hint="eastAsia" w:ascii="仿宋" w:hAnsi="仿宋" w:cs="仿宋"/>
          <w:szCs w:val="32"/>
        </w:rPr>
        <w:t>遂宁市市场监督管理局高新区分局</w:t>
      </w:r>
      <w:r>
        <w:rPr>
          <w:rFonts w:hint="eastAsia" w:ascii="仿宋" w:hAnsi="仿宋" w:cs="仿宋"/>
        </w:rPr>
        <w:t>2023年度整体支出绩效评价，投入指标</w:t>
      </w:r>
      <w:r>
        <w:rPr>
          <w:rFonts w:hint="eastAsia"/>
        </w:rPr>
        <w:t>预算编制程序合规，能够按照管理要求申报，预算配置科学合理，能够较好完成全年预算，预算执行情况良好</w:t>
      </w:r>
      <w:r>
        <w:rPr>
          <w:rFonts w:hint="eastAsia"/>
          <w:lang w:eastAsia="zh-CN"/>
        </w:rPr>
        <w:t>。</w:t>
      </w:r>
      <w:r>
        <w:rPr>
          <w:rFonts w:hint="eastAsia"/>
          <w:lang w:val="en-US" w:eastAsia="zh-CN"/>
        </w:rPr>
        <w:t>在职人员数量未超出编制数，控制较好</w:t>
      </w:r>
      <w:r>
        <w:rPr>
          <w:rFonts w:hint="eastAsia"/>
          <w:lang w:eastAsia="zh-CN"/>
        </w:rPr>
        <w:t>。</w:t>
      </w:r>
      <w:r>
        <w:rPr>
          <w:rFonts w:hint="eastAsia" w:ascii="仿宋" w:hAnsi="仿宋" w:cs="仿宋"/>
          <w:lang w:val="en-US" w:eastAsia="zh-CN"/>
        </w:rPr>
        <w:t>指</w:t>
      </w:r>
      <w:r>
        <w:rPr>
          <w:rFonts w:hint="eastAsia"/>
        </w:rPr>
        <w:t>标设置不够细化量化可衡量</w:t>
      </w:r>
      <w:r>
        <w:rPr>
          <w:rFonts w:hint="eastAsia" w:ascii="仿宋" w:hAnsi="仿宋" w:cs="仿宋"/>
        </w:rPr>
        <w:t>。投入指标总分20.00分，得分为1</w:t>
      </w:r>
      <w:r>
        <w:rPr>
          <w:rFonts w:hint="eastAsia" w:ascii="仿宋" w:hAnsi="仿宋" w:cs="仿宋"/>
          <w:lang w:val="en-US" w:eastAsia="zh-CN"/>
        </w:rPr>
        <w:t>6</w:t>
      </w:r>
      <w:r>
        <w:rPr>
          <w:rFonts w:hint="eastAsia" w:ascii="仿宋" w:hAnsi="仿宋" w:cs="仿宋"/>
        </w:rPr>
        <w:t>.00分，得分率</w:t>
      </w:r>
      <w:r>
        <w:rPr>
          <w:rFonts w:hint="eastAsia" w:ascii="仿宋" w:hAnsi="仿宋" w:cs="仿宋"/>
          <w:lang w:val="en-US" w:eastAsia="zh-CN"/>
        </w:rPr>
        <w:t>80</w:t>
      </w:r>
      <w:r>
        <w:rPr>
          <w:rFonts w:hint="eastAsia" w:ascii="仿宋" w:hAnsi="仿宋" w:cs="仿宋"/>
        </w:rPr>
        <w:t>.00%。过程指标预算执行总体可控，</w:t>
      </w:r>
      <w:r>
        <w:rPr>
          <w:rFonts w:hint="eastAsia"/>
        </w:rPr>
        <w:t>预算管理工作能够做到管理有效控制到位</w:t>
      </w:r>
      <w:r>
        <w:rPr>
          <w:rFonts w:hint="eastAsia" w:ascii="仿宋" w:hAnsi="仿宋" w:cs="仿宋"/>
        </w:rPr>
        <w:t>，经费管理有需要加强的地方，会计信息质量控制较好，能够达到客观真实核算和监督单位实际收支，资产管理工作</w:t>
      </w:r>
      <w:r>
        <w:rPr>
          <w:rFonts w:hint="eastAsia" w:ascii="仿宋" w:hAnsi="仿宋" w:cs="仿宋"/>
          <w:lang w:val="en-US" w:eastAsia="zh-CN"/>
        </w:rPr>
        <w:t>存在</w:t>
      </w:r>
      <w:r>
        <w:rPr>
          <w:rFonts w:hint="eastAsia" w:ascii="仿宋" w:hAnsi="仿宋" w:cs="仿宋"/>
        </w:rPr>
        <w:t>不足。过程指标总分30.00分，得分为21.50分，得分率71.67%。预算管理和执行及资产管理工作都有待加强。产出指标完成情况良好。</w:t>
      </w:r>
      <w:r>
        <w:rPr>
          <w:rFonts w:hint="eastAsia" w:ascii="仿宋" w:hAnsi="仿宋" w:cs="仿宋"/>
          <w:szCs w:val="32"/>
        </w:rPr>
        <w:t>遂宁市市场监督管理局高新区分局</w:t>
      </w:r>
      <w:r>
        <w:rPr>
          <w:rFonts w:hint="eastAsia" w:ascii="仿宋" w:hAnsi="仿宋" w:cs="仿宋"/>
        </w:rPr>
        <w:t>2023年度圆满地完成了当年工作任务，相关成果数量和质量都达到绩效目标值。单位履职管理工作成绩稳中有进，</w:t>
      </w:r>
      <w:r>
        <w:rPr>
          <w:rFonts w:hint="eastAsia" w:ascii="仿宋" w:hAnsi="仿宋" w:cs="仿宋"/>
          <w:szCs w:val="32"/>
        </w:rPr>
        <w:t>2023年度12315效能评价被省局评为“优秀等次”。</w:t>
      </w:r>
      <w:r>
        <w:rPr>
          <w:rFonts w:hint="eastAsia" w:ascii="仿宋" w:hAnsi="仿宋" w:cs="仿宋"/>
        </w:rPr>
        <w:t>产出指标分值30.00分，得分为30.00分，得分率100.00%。效益指标实现情况较好，2023年度</w:t>
      </w:r>
      <w:r>
        <w:rPr>
          <w:rFonts w:hint="eastAsia" w:ascii="仿宋" w:hAnsi="仿宋" w:cs="仿宋"/>
          <w:szCs w:val="32"/>
        </w:rPr>
        <w:t>遂宁市市场监督管理局高新区分局</w:t>
      </w:r>
      <w:r>
        <w:rPr>
          <w:rFonts w:hint="eastAsia" w:ascii="仿宋" w:hAnsi="仿宋" w:cs="仿宋"/>
        </w:rPr>
        <w:t>的工作开展和政策施行产生了一定的经济效益，市场监管领域工作、违法行为举报兑现奖励重要工作安排，具有很好的社会效益。调查对象总体满意度较高。效益指标分值20.00分，得分18.67分，得分率93.35%。</w:t>
      </w:r>
    </w:p>
    <w:p>
      <w:pPr>
        <w:widowControl/>
        <w:ind w:firstLine="640"/>
        <w:jc w:val="left"/>
        <w:rPr>
          <w:rFonts w:hint="default" w:ascii="黑体" w:hAnsi="黑体" w:eastAsia="黑体" w:cs="黑体"/>
          <w:color w:val="000000"/>
          <w:kern w:val="0"/>
          <w:szCs w:val="32"/>
          <w:lang w:val="en-US" w:eastAsia="zh-CN" w:bidi="ar"/>
        </w:rPr>
      </w:pPr>
      <w:r>
        <w:rPr>
          <w:rFonts w:hint="eastAsia" w:ascii="黑体" w:hAnsi="黑体" w:eastAsia="黑体" w:cs="黑体"/>
          <w:color w:val="000000"/>
          <w:kern w:val="0"/>
          <w:szCs w:val="32"/>
          <w:lang w:bidi="ar"/>
        </w:rPr>
        <w:t>问题</w:t>
      </w:r>
      <w:r>
        <w:rPr>
          <w:rFonts w:hint="eastAsia" w:ascii="黑体" w:hAnsi="黑体" w:eastAsia="黑体" w:cs="黑体"/>
          <w:color w:val="000000"/>
          <w:kern w:val="0"/>
          <w:szCs w:val="32"/>
          <w:lang w:val="en-US" w:eastAsia="zh-CN" w:bidi="ar"/>
        </w:rPr>
        <w:t>及建议</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rPr>
      </w:pPr>
      <w:r>
        <w:rPr>
          <w:rFonts w:hint="eastAsia"/>
        </w:rPr>
        <w:t>本次绩效评价发现了</w:t>
      </w:r>
      <w:r>
        <w:rPr>
          <w:rFonts w:hint="eastAsia" w:ascii="仿宋" w:hAnsi="仿宋" w:cs="仿宋"/>
          <w:color w:val="000000"/>
          <w:kern w:val="0"/>
          <w:szCs w:val="32"/>
          <w:lang w:bidi="ar"/>
        </w:rPr>
        <w:t>单位预算编制不科学</w:t>
      </w:r>
      <w:r>
        <w:rPr>
          <w:rFonts w:hint="eastAsia"/>
        </w:rPr>
        <w:t>、固定资产管理不足、报销管控不严等问题。</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rPr>
      </w:pPr>
      <w:r>
        <w:rPr>
          <w:rFonts w:hint="eastAsia"/>
        </w:rPr>
        <w:t>建议加强单位预算资金管理，加强单位固定资产管理工作，加强单位</w:t>
      </w:r>
      <w:r>
        <w:rPr>
          <w:rFonts w:hint="eastAsia"/>
          <w:lang w:val="en-US" w:eastAsia="zh-CN"/>
        </w:rPr>
        <w:t>经费报销</w:t>
      </w:r>
      <w:r>
        <w:rPr>
          <w:rFonts w:hint="eastAsia"/>
        </w:rPr>
        <w:t>管理。</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ind w:left="0" w:leftChars="0" w:firstLine="442" w:firstLineChars="100"/>
        <w:textAlignment w:val="auto"/>
        <w:rPr>
          <w:rFonts w:hint="eastAsia" w:ascii="宋体" w:hAnsi="宋体" w:eastAsia="宋体" w:cs="宋体"/>
          <w:b/>
          <w:bCs/>
          <w:sz w:val="44"/>
          <w:szCs w:val="44"/>
        </w:rPr>
      </w:pPr>
      <w:r>
        <w:rPr>
          <w:rFonts w:hint="eastAsia" w:ascii="宋体" w:hAnsi="宋体" w:eastAsia="宋体" w:cs="宋体"/>
          <w:b/>
          <w:bCs/>
          <w:sz w:val="44"/>
          <w:szCs w:val="44"/>
        </w:rPr>
        <w:t>遂宁市市场监督管理局高新区分局2023</w:t>
      </w:r>
    </w:p>
    <w:p>
      <w:pPr>
        <w:pStyle w:val="17"/>
        <w:spacing w:before="240" w:after="240"/>
        <w:outlineLvl w:val="9"/>
        <w:rPr>
          <w:rFonts w:hint="eastAsia" w:ascii="宋体" w:hAnsi="宋体" w:eastAsia="宋体" w:cs="宋体"/>
          <w:b/>
          <w:bCs/>
          <w:sz w:val="44"/>
          <w:szCs w:val="44"/>
        </w:rPr>
      </w:pPr>
      <w:r>
        <w:rPr>
          <w:rFonts w:hint="eastAsia" w:ascii="宋体" w:hAnsi="宋体" w:eastAsia="宋体" w:cs="宋体"/>
          <w:b/>
          <w:bCs/>
          <w:sz w:val="44"/>
          <w:szCs w:val="44"/>
        </w:rPr>
        <w:t>年度部门整体支出绩效评价报告</w:t>
      </w:r>
    </w:p>
    <w:p>
      <w:pPr>
        <w:pStyle w:val="2"/>
        <w:ind w:firstLine="640"/>
        <w:rPr>
          <w:rFonts w:hint="eastAsia"/>
          <w:b/>
          <w:bCs w:val="0"/>
        </w:rPr>
      </w:pPr>
      <w:bookmarkStart w:id="1760" w:name="_Toc26577"/>
      <w:r>
        <w:rPr>
          <w:rFonts w:hint="eastAsia"/>
          <w:b/>
          <w:bCs w:val="0"/>
        </w:rPr>
        <w:t>一、部门（单位）基本情况</w:t>
      </w:r>
      <w:bookmarkEnd w:id="1760"/>
    </w:p>
    <w:p>
      <w:pPr>
        <w:pStyle w:val="3"/>
        <w:spacing w:before="120"/>
        <w:ind w:firstLine="643"/>
        <w:rPr>
          <w:rFonts w:hint="eastAsia"/>
        </w:rPr>
      </w:pPr>
      <w:bookmarkStart w:id="1761" w:name="_Toc9697"/>
      <w:r>
        <w:rPr>
          <w:rFonts w:hint="eastAsia"/>
        </w:rPr>
        <w:t>（一）部门（单位）概况</w:t>
      </w:r>
      <w:bookmarkEnd w:id="1761"/>
    </w:p>
    <w:p>
      <w:pPr>
        <w:pStyle w:val="4"/>
        <w:ind w:firstLine="643"/>
        <w:rPr>
          <w:rFonts w:hint="eastAsia" w:ascii="楷体" w:hAnsi="楷体" w:eastAsia="楷体" w:cs="楷体"/>
        </w:rPr>
      </w:pPr>
      <w:r>
        <w:rPr>
          <w:rFonts w:hint="eastAsia" w:ascii="楷体" w:hAnsi="楷体" w:eastAsia="楷体" w:cs="楷体"/>
        </w:rPr>
        <w:t>1.单位概况</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Cs w:val="32"/>
          <w:lang w:eastAsia="zh-CN"/>
        </w:rPr>
      </w:pPr>
      <w:r>
        <w:rPr>
          <w:rFonts w:hint="eastAsia" w:ascii="仿宋" w:hAnsi="仿宋" w:cs="仿宋"/>
          <w:szCs w:val="32"/>
        </w:rPr>
        <w:t>遂宁市市场监督管理局高新区分局（以下简称“市监局高新分局”）是2019年7月25日经市委编办同意成立的</w:t>
      </w:r>
      <w:r>
        <w:rPr>
          <w:rFonts w:hint="eastAsia" w:ascii="仿宋" w:hAnsi="仿宋" w:eastAsia="仿宋" w:cs="仿宋"/>
          <w:sz w:val="32"/>
          <w:szCs w:val="32"/>
        </w:rPr>
        <w:t>遂宁市市场监督管理局</w:t>
      </w:r>
      <w:r>
        <w:rPr>
          <w:rFonts w:hint="eastAsia" w:ascii="仿宋" w:hAnsi="仿宋" w:cs="仿宋"/>
          <w:szCs w:val="32"/>
        </w:rPr>
        <w:t>派驻机构，属于</w:t>
      </w:r>
      <w:r>
        <w:rPr>
          <w:rFonts w:hint="eastAsia" w:ascii="仿宋" w:hAnsi="仿宋" w:cs="仿宋"/>
          <w:szCs w:val="32"/>
          <w:lang w:val="en-US" w:eastAsia="zh-CN"/>
        </w:rPr>
        <w:t>行政</w:t>
      </w:r>
      <w:r>
        <w:rPr>
          <w:rFonts w:hint="eastAsia" w:ascii="仿宋" w:hAnsi="仿宋" w:cs="仿宋"/>
          <w:szCs w:val="32"/>
        </w:rPr>
        <w:t>单位。单位办公地址为遂宁市船山区物流港健坤城1FC国际金融中心</w:t>
      </w:r>
      <w:r>
        <w:rPr>
          <w:rFonts w:hint="eastAsia" w:ascii="仿宋" w:hAnsi="仿宋" w:cs="仿宋"/>
          <w:szCs w:val="32"/>
          <w:lang w:eastAsia="zh-CN"/>
        </w:rPr>
        <w:t>。</w:t>
      </w:r>
    </w:p>
    <w:p>
      <w:pPr>
        <w:pStyle w:val="4"/>
        <w:ind w:firstLine="643"/>
        <w:rPr>
          <w:rFonts w:hint="eastAsia" w:ascii="楷体" w:hAnsi="楷体" w:eastAsia="楷体" w:cs="楷体"/>
        </w:rPr>
      </w:pPr>
      <w:r>
        <w:rPr>
          <w:rFonts w:hint="eastAsia" w:ascii="楷体" w:hAnsi="楷体" w:eastAsia="楷体" w:cs="楷体"/>
        </w:rPr>
        <w:t>2.单位机构设置</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市监局高新分局实行双重领导和管理，以遂宁高新区管理为主，市监局高新分局负责业务指导。结合乡镇（街道）机构改革，统筹设置市场监管基层机构。</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rPr>
        <w:t>现有综合行政组、监管执法组、市场服务组、发展项目组4个内设机构，保升市场监管所和西宁市场监管所2个派出机构。</w:t>
      </w:r>
    </w:p>
    <w:p>
      <w:pPr>
        <w:keepNext w:val="0"/>
        <w:keepLines w:val="0"/>
        <w:pageBreakBefore w:val="0"/>
        <w:widowControl w:val="0"/>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color w:val="444444"/>
          <w:spacing w:val="-3"/>
          <w:w w:val="95"/>
          <w:sz w:val="28"/>
          <w:szCs w:val="28"/>
        </w:rPr>
      </w:pPr>
      <w:r>
        <w:rPr>
          <w:rFonts w:hint="eastAsia" w:ascii="宋体" w:hAnsi="宋体" w:eastAsia="宋体" w:cs="宋体"/>
          <w:b/>
          <w:bCs/>
          <w:color w:val="444444"/>
          <w:spacing w:val="-3"/>
          <w:w w:val="95"/>
          <w:sz w:val="28"/>
          <w:szCs w:val="28"/>
        </w:rPr>
        <w:t>机构组成情况</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单位名称</w:t>
            </w: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内设办公室</w:t>
            </w: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派出机构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vMerge w:val="restart"/>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市监局高新分局</w:t>
            </w: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综合行政组</w:t>
            </w: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保升市场监管所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vMerge w:val="continue"/>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监管执法组</w:t>
            </w: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西宁市场监管所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vMerge w:val="continue"/>
            <w:noWrap w:val="0"/>
            <w:vAlign w:val="center"/>
          </w:tcPr>
          <w:p>
            <w:pPr>
              <w:pStyle w:val="7"/>
              <w:jc w:val="center"/>
              <w:rPr>
                <w:rFonts w:hint="eastAsia" w:ascii="宋体" w:hAnsi="宋体" w:eastAsia="宋体" w:cs="宋体"/>
                <w:snapToGrid w:val="0"/>
                <w:color w:val="000000"/>
                <w:sz w:val="24"/>
                <w:szCs w:val="24"/>
                <w:vertAlign w:val="baseline"/>
              </w:rPr>
            </w:pP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市场服务组</w:t>
            </w:r>
          </w:p>
        </w:tc>
        <w:tc>
          <w:tcPr>
            <w:tcW w:w="2841" w:type="dxa"/>
            <w:noWrap w:val="0"/>
            <w:vAlign w:val="center"/>
          </w:tcPr>
          <w:p>
            <w:pPr>
              <w:pStyle w:val="7"/>
              <w:jc w:val="center"/>
              <w:rPr>
                <w:rFonts w:hint="eastAsia" w:ascii="宋体" w:hAnsi="宋体" w:eastAsia="宋体" w:cs="宋体"/>
                <w:snapToGrid w:val="0"/>
                <w:color w:val="00000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1" w:type="dxa"/>
            <w:vMerge w:val="continue"/>
            <w:noWrap w:val="0"/>
            <w:vAlign w:val="center"/>
          </w:tcPr>
          <w:p>
            <w:pPr>
              <w:pStyle w:val="7"/>
              <w:jc w:val="center"/>
              <w:rPr>
                <w:rFonts w:hint="eastAsia" w:ascii="宋体" w:hAnsi="宋体" w:eastAsia="宋体" w:cs="宋体"/>
                <w:snapToGrid w:val="0"/>
                <w:color w:val="000000"/>
                <w:sz w:val="24"/>
                <w:szCs w:val="24"/>
                <w:vertAlign w:val="baseline"/>
              </w:rPr>
            </w:pPr>
          </w:p>
        </w:tc>
        <w:tc>
          <w:tcPr>
            <w:tcW w:w="2841" w:type="dxa"/>
            <w:noWrap w:val="0"/>
            <w:vAlign w:val="center"/>
          </w:tcPr>
          <w:p>
            <w:pPr>
              <w:pStyle w:val="7"/>
              <w:ind w:left="0" w:leftChars="0" w:firstLine="0" w:firstLineChars="0"/>
              <w:jc w:val="center"/>
              <w:rPr>
                <w:rFonts w:hint="eastAsia" w:ascii="宋体" w:hAnsi="宋体" w:eastAsia="宋体" w:cs="宋体"/>
                <w:snapToGrid w:val="0"/>
                <w:color w:val="000000"/>
                <w:sz w:val="24"/>
                <w:szCs w:val="24"/>
                <w:vertAlign w:val="baseline"/>
                <w:lang w:val="en-US" w:eastAsia="zh-CN"/>
              </w:rPr>
            </w:pPr>
            <w:r>
              <w:rPr>
                <w:rFonts w:hint="eastAsia" w:ascii="宋体" w:hAnsi="宋体" w:eastAsia="宋体" w:cs="宋体"/>
                <w:snapToGrid w:val="0"/>
                <w:color w:val="000000"/>
                <w:sz w:val="24"/>
                <w:szCs w:val="24"/>
                <w:vertAlign w:val="baseline"/>
                <w:lang w:val="en-US" w:eastAsia="zh-CN"/>
              </w:rPr>
              <w:t>发展项目组</w:t>
            </w:r>
          </w:p>
        </w:tc>
        <w:tc>
          <w:tcPr>
            <w:tcW w:w="2841" w:type="dxa"/>
            <w:noWrap w:val="0"/>
            <w:vAlign w:val="center"/>
          </w:tcPr>
          <w:p>
            <w:pPr>
              <w:pStyle w:val="7"/>
              <w:jc w:val="center"/>
              <w:rPr>
                <w:rFonts w:hint="eastAsia" w:ascii="宋体" w:hAnsi="宋体" w:eastAsia="宋体" w:cs="宋体"/>
                <w:snapToGrid w:val="0"/>
                <w:color w:val="000000"/>
                <w:sz w:val="24"/>
                <w:szCs w:val="24"/>
                <w:vertAlign w:val="baseline"/>
              </w:rPr>
            </w:pPr>
          </w:p>
        </w:tc>
      </w:tr>
    </w:tbl>
    <w:p>
      <w:pPr>
        <w:pStyle w:val="7"/>
        <w:rPr>
          <w:rFonts w:hint="eastAsia"/>
        </w:rPr>
      </w:pPr>
    </w:p>
    <w:p>
      <w:pPr>
        <w:pStyle w:val="4"/>
        <w:bidi w:val="0"/>
        <w:rPr>
          <w:rFonts w:hint="eastAsia" w:ascii="楷体" w:hAnsi="楷体" w:eastAsia="楷体" w:cs="楷体"/>
        </w:rPr>
      </w:pPr>
      <w:r>
        <w:rPr>
          <w:rFonts w:hint="eastAsia" w:ascii="楷体" w:hAnsi="楷体" w:eastAsia="楷体" w:cs="楷体"/>
        </w:rPr>
        <w:t>3.人员编制</w:t>
      </w:r>
    </w:p>
    <w:p>
      <w:pPr>
        <w:keepNext w:val="0"/>
        <w:keepLines w:val="0"/>
        <w:pageBreakBefore w:val="0"/>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市监局高新分局核定行政编制10名（含原物流港工商质监所行政编制2名），设局长1名（正科级）、副局长2名（副科级）。</w:t>
      </w:r>
    </w:p>
    <w:p>
      <w:pPr>
        <w:pStyle w:val="4"/>
        <w:bidi w:val="0"/>
        <w:rPr>
          <w:rFonts w:hint="eastAsia"/>
        </w:rPr>
      </w:pPr>
      <w:r>
        <w:rPr>
          <w:rFonts w:hint="eastAsia" w:ascii="楷体" w:hAnsi="楷体" w:eastAsia="楷体" w:cs="楷体"/>
        </w:rPr>
        <w:t>4.职能定位</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市监局高新分局主要职能是：</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负责辖区市场综合监督管理工作；</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负责市场主体统一登记注册；</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负责组织市场监督管理综合执法工作；</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负责监督管理市场秩序；</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负责辖区宏观质量管理；</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负责产品质量安全监督管理、特种设备安全监督管理、食品安全监督管理；</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负责食品安全监督管理综合协调；</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负责贯彻执行国家、省有关药品（含中药、民族下同）、医疗器械和化妆品监督管理的方针政策和法律法规；</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负责统一管理计量工作、统一管理标准化工作、统一管理检验检测工作、负责统一管理认证认可工作；</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负责市场监督管理科技和信息化建设、新闻宣传；</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负责知识产权战略、规划的制定，知识产权的保护，负责组织指导商标、专利执法工作；</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负责职责范围内的安全生产和职业健康、生态环境保护、审批服务便民化等工作；</w:t>
      </w:r>
    </w:p>
    <w:p>
      <w:pPr>
        <w:keepNext w:val="0"/>
        <w:keepLines w:val="0"/>
        <w:pageBreakBefore w:val="0"/>
        <w:widowControl/>
        <w:numPr>
          <w:ilvl w:val="0"/>
          <w:numId w:val="4"/>
        </w:numPr>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负责完成高新区党工委管委会交办的其他工作任务。</w:t>
      </w:r>
    </w:p>
    <w:p>
      <w:pPr>
        <w:pStyle w:val="3"/>
        <w:spacing w:before="120"/>
        <w:ind w:firstLine="643"/>
        <w:rPr>
          <w:rFonts w:hint="eastAsia"/>
        </w:rPr>
      </w:pPr>
      <w:bookmarkStart w:id="1762" w:name="_Toc22546"/>
      <w:r>
        <w:rPr>
          <w:rFonts w:hint="eastAsia"/>
        </w:rPr>
        <w:t>（二）部门（单位）管理制度</w:t>
      </w:r>
      <w:bookmarkEnd w:id="1762"/>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宋体"/>
          <w:color w:val="000000"/>
          <w:kern w:val="0"/>
          <w:szCs w:val="32"/>
        </w:rPr>
      </w:pPr>
      <w:r>
        <w:rPr>
          <w:rFonts w:hint="eastAsia" w:ascii="仿宋" w:hAnsi="仿宋" w:cs="宋体"/>
          <w:color w:val="000000"/>
          <w:kern w:val="0"/>
          <w:szCs w:val="32"/>
        </w:rPr>
        <w:t>根据国家及区有关规定和文件精神，结合日常工作具体情况，市监局高新分局制定了相关制度文件保证日常业务有序开展。</w:t>
      </w:r>
    </w:p>
    <w:p>
      <w:pPr>
        <w:pStyle w:val="4"/>
        <w:ind w:firstLine="643"/>
        <w:rPr>
          <w:rFonts w:hint="eastAsia" w:ascii="楷体" w:hAnsi="楷体" w:eastAsia="楷体" w:cs="楷体"/>
        </w:rPr>
      </w:pPr>
      <w:r>
        <w:rPr>
          <w:rFonts w:hint="eastAsia" w:ascii="楷体" w:hAnsi="楷体" w:eastAsia="楷体" w:cs="楷体"/>
        </w:rPr>
        <w:t>1.内部管理</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为进一步</w:t>
      </w:r>
      <w:r>
        <w:rPr>
          <w:rFonts w:hint="eastAsia" w:ascii="仿宋" w:hAnsi="仿宋" w:cs="仿宋"/>
          <w:szCs w:val="32"/>
        </w:rPr>
        <w:t>提升分局议事决策的科学性和规范性，增强工作的透明度，加强对决策重大事项的风险防控和监督管理，以及</w:t>
      </w:r>
      <w:r>
        <w:rPr>
          <w:rFonts w:hint="eastAsia" w:ascii="仿宋" w:hAnsi="仿宋" w:cs="仿宋"/>
          <w:color w:val="000000"/>
          <w:kern w:val="0"/>
          <w:szCs w:val="32"/>
          <w:lang w:bidi="ar"/>
        </w:rPr>
        <w:t>规范各个业务环节的管理，</w:t>
      </w:r>
      <w:r>
        <w:rPr>
          <w:rFonts w:hint="eastAsia" w:ascii="仿宋" w:hAnsi="仿宋" w:cs="宋体"/>
          <w:color w:val="000000"/>
          <w:kern w:val="0"/>
          <w:szCs w:val="32"/>
        </w:rPr>
        <w:t>市监局高新分局</w:t>
      </w:r>
      <w:r>
        <w:rPr>
          <w:rFonts w:hint="eastAsia" w:ascii="仿宋" w:hAnsi="仿宋" w:cs="仿宋"/>
          <w:szCs w:val="32"/>
        </w:rPr>
        <w:t>制定了《事务管理制度</w:t>
      </w:r>
      <w:r>
        <w:rPr>
          <w:rFonts w:hint="eastAsia" w:ascii="仿宋" w:hAnsi="仿宋" w:cs="仿宋"/>
          <w:color w:val="000000"/>
          <w:kern w:val="0"/>
          <w:szCs w:val="32"/>
          <w:lang w:bidi="ar"/>
        </w:rPr>
        <w:t>》</w:t>
      </w:r>
      <w:r>
        <w:rPr>
          <w:rFonts w:hint="eastAsia" w:ascii="仿宋" w:hAnsi="仿宋" w:cs="仿宋"/>
          <w:szCs w:val="32"/>
        </w:rPr>
        <w:t>《财务管理制度</w:t>
      </w:r>
      <w:r>
        <w:rPr>
          <w:rFonts w:hint="eastAsia" w:ascii="仿宋" w:hAnsi="仿宋" w:cs="仿宋"/>
          <w:color w:val="000000"/>
          <w:kern w:val="0"/>
          <w:szCs w:val="32"/>
          <w:lang w:bidi="ar"/>
        </w:rPr>
        <w:t>》《</w:t>
      </w:r>
      <w:r>
        <w:rPr>
          <w:rFonts w:hint="eastAsia" w:ascii="仿宋" w:hAnsi="仿宋" w:cs="仿宋"/>
          <w:szCs w:val="32"/>
        </w:rPr>
        <w:t>遂宁市市场监督管理局高新分局高新区分局</w:t>
      </w:r>
      <w:r>
        <w:rPr>
          <w:rFonts w:hint="eastAsia" w:ascii="仿宋" w:hAnsi="仿宋" w:cs="仿宋"/>
          <w:color w:val="000000"/>
          <w:kern w:val="0"/>
          <w:szCs w:val="32"/>
          <w:lang w:bidi="ar"/>
        </w:rPr>
        <w:t>内控手册（试行版）》</w:t>
      </w:r>
      <w:r>
        <w:rPr>
          <w:rFonts w:hint="eastAsia" w:ascii="仿宋" w:hAnsi="仿宋" w:cs="仿宋"/>
          <w:szCs w:val="32"/>
        </w:rPr>
        <w:t>等管理制度。</w:t>
      </w:r>
      <w:r>
        <w:rPr>
          <w:rFonts w:hint="eastAsia" w:ascii="仿宋" w:hAnsi="仿宋" w:cs="仿宋"/>
          <w:color w:val="000000"/>
          <w:kern w:val="0"/>
          <w:szCs w:val="32"/>
          <w:lang w:bidi="ar"/>
        </w:rPr>
        <w:t>其他各项管理参照的遂宁高新区党政办公室关于印发《机关财务管理制度（试行）》的通知（遂高办</w:t>
      </w:r>
      <w:r>
        <w:rPr>
          <w:rFonts w:hint="eastAsia" w:ascii="仿宋" w:hAnsi="仿宋" w:cs="仿宋"/>
          <w:szCs w:val="32"/>
        </w:rPr>
        <w:t>〔2021〕</w:t>
      </w:r>
      <w:r>
        <w:rPr>
          <w:rFonts w:hint="eastAsia" w:ascii="仿宋" w:hAnsi="仿宋" w:cs="仿宋"/>
          <w:color w:val="000000"/>
          <w:kern w:val="0"/>
          <w:szCs w:val="32"/>
          <w:lang w:bidi="ar"/>
        </w:rPr>
        <w:t>269号）</w:t>
      </w:r>
      <w:r>
        <w:rPr>
          <w:rFonts w:hint="eastAsia" w:ascii="仿宋" w:hAnsi="仿宋" w:cs="仿宋"/>
          <w:color w:val="000000"/>
          <w:kern w:val="0"/>
          <w:szCs w:val="32"/>
          <w:lang w:eastAsia="zh-CN" w:bidi="ar"/>
        </w:rPr>
        <w:t>、</w:t>
      </w:r>
      <w:r>
        <w:rPr>
          <w:rFonts w:hint="eastAsia" w:ascii="仿宋" w:hAnsi="仿宋" w:cs="仿宋"/>
          <w:szCs w:val="32"/>
        </w:rPr>
        <w:t>遂宁高新区党政办公室关于印发《遂宁高新区财政性资金使用管理暂行办法（试行）》的通知（遂高办〔2021〕270号）</w:t>
      </w:r>
      <w:r>
        <w:rPr>
          <w:rFonts w:hint="eastAsia" w:ascii="仿宋" w:hAnsi="仿宋" w:cs="仿宋"/>
          <w:szCs w:val="32"/>
          <w:lang w:eastAsia="zh-CN"/>
        </w:rPr>
        <w:t>、</w:t>
      </w:r>
      <w:r>
        <w:rPr>
          <w:rFonts w:hint="eastAsia" w:ascii="仿宋" w:hAnsi="仿宋" w:cs="仿宋"/>
          <w:color w:val="000000"/>
          <w:kern w:val="0"/>
          <w:szCs w:val="32"/>
          <w:lang w:bidi="ar"/>
        </w:rPr>
        <w:t>《遂宁市党政机关国内公务接待管理实施办法的通知》（遂委办发</w:t>
      </w:r>
      <w:r>
        <w:rPr>
          <w:rFonts w:hint="eastAsia" w:ascii="仿宋" w:hAnsi="仿宋" w:cs="仿宋"/>
          <w:szCs w:val="32"/>
        </w:rPr>
        <w:t>〔2014〕</w:t>
      </w:r>
      <w:r>
        <w:rPr>
          <w:rFonts w:hint="eastAsia" w:ascii="仿宋" w:hAnsi="仿宋" w:cs="仿宋"/>
          <w:color w:val="000000"/>
          <w:kern w:val="0"/>
          <w:szCs w:val="32"/>
          <w:lang w:bidi="ar"/>
        </w:rPr>
        <w:t>18号）</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《遂宁市财政局遂宁市监察局遂宁市审计局遂宁市市机关事务管理局关于严格执行国内公务接待管理和接待费使用管理有关规定的通知》（遂财行</w:t>
      </w:r>
      <w:r>
        <w:rPr>
          <w:rFonts w:hint="eastAsia" w:ascii="仿宋" w:hAnsi="仿宋" w:cs="仿宋"/>
          <w:szCs w:val="32"/>
        </w:rPr>
        <w:t>〔2015〕</w:t>
      </w:r>
      <w:r>
        <w:rPr>
          <w:rFonts w:hint="eastAsia" w:ascii="仿宋" w:hAnsi="仿宋" w:cs="仿宋"/>
          <w:color w:val="000000"/>
          <w:kern w:val="0"/>
          <w:szCs w:val="32"/>
          <w:lang w:bidi="ar"/>
        </w:rPr>
        <w:t>2号）</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《遂宁市市直机关会议费管理办法》（遂委办发</w:t>
      </w:r>
      <w:r>
        <w:rPr>
          <w:rFonts w:hint="eastAsia" w:ascii="仿宋" w:hAnsi="仿宋" w:cs="仿宋"/>
          <w:szCs w:val="32"/>
        </w:rPr>
        <w:t>〔2014〕</w:t>
      </w:r>
      <w:r>
        <w:rPr>
          <w:rFonts w:hint="eastAsia" w:ascii="仿宋" w:hAnsi="仿宋" w:cs="仿宋"/>
          <w:color w:val="000000"/>
          <w:kern w:val="0"/>
          <w:szCs w:val="32"/>
          <w:lang w:bidi="ar"/>
        </w:rPr>
        <w:t>18号）</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《遂宁高新区财政性资金使用管理暂行办法（试行）》等文件规定执行。</w:t>
      </w:r>
    </w:p>
    <w:p>
      <w:pPr>
        <w:pStyle w:val="4"/>
        <w:ind w:firstLine="643"/>
        <w:rPr>
          <w:rFonts w:hint="eastAsia" w:ascii="楷体" w:hAnsi="楷体" w:eastAsia="楷体" w:cs="楷体"/>
        </w:rPr>
      </w:pPr>
      <w:r>
        <w:rPr>
          <w:rFonts w:hint="eastAsia" w:ascii="楷体" w:hAnsi="楷体" w:eastAsia="楷体" w:cs="楷体"/>
        </w:rPr>
        <w:t>2.业务管理</w:t>
      </w:r>
    </w:p>
    <w:p>
      <w:pPr>
        <w:ind w:firstLine="640"/>
      </w:pPr>
      <w:r>
        <w:rPr>
          <w:rFonts w:hint="eastAsia"/>
        </w:rPr>
        <w:t>为规范市场经济秩序，保障消费者权益，维护经济社会发展稳定，</w:t>
      </w:r>
      <w:r>
        <w:rPr>
          <w:rFonts w:hint="eastAsia" w:ascii="仿宋" w:hAnsi="仿宋" w:cs="仿宋"/>
          <w:szCs w:val="32"/>
        </w:rPr>
        <w:t>市监局高新分局制定了</w:t>
      </w:r>
      <w:r>
        <w:rPr>
          <w:rFonts w:hint="eastAsia"/>
        </w:rPr>
        <w:t>《</w:t>
      </w:r>
      <w:r>
        <w:rPr>
          <w:rFonts w:hint="eastAsia" w:ascii="仿宋" w:hAnsi="仿宋" w:cs="仿宋"/>
          <w:szCs w:val="32"/>
        </w:rPr>
        <w:t>遂宁市市场监督管理局高新分局高新区分局</w:t>
      </w:r>
      <w:r>
        <w:rPr>
          <w:rFonts w:hint="eastAsia" w:ascii="仿宋" w:hAnsi="仿宋" w:cs="仿宋"/>
          <w:color w:val="000000"/>
          <w:kern w:val="0"/>
          <w:szCs w:val="32"/>
          <w:lang w:bidi="ar"/>
        </w:rPr>
        <w:t>内控手册（试行版）</w:t>
      </w:r>
      <w:r>
        <w:rPr>
          <w:rFonts w:hint="eastAsia"/>
        </w:rPr>
        <w:t>》</w:t>
      </w:r>
      <w:r>
        <w:rPr>
          <w:rFonts w:hint="eastAsia" w:ascii="仿宋" w:hAnsi="仿宋" w:cs="仿宋"/>
          <w:szCs w:val="32"/>
        </w:rPr>
        <w:t>，</w:t>
      </w:r>
      <w:r>
        <w:rPr>
          <w:rFonts w:hint="eastAsia"/>
        </w:rPr>
        <w:t>日常业务按照《中华人民共和国市场监督管理法》《中华人民共和国反不正当竞争法》《中华人民共和国行政许可法》《中华人民共和国商品条码管理条例》等相关法律法规执行。</w:t>
      </w:r>
    </w:p>
    <w:p>
      <w:pPr>
        <w:pStyle w:val="3"/>
        <w:spacing w:before="120"/>
        <w:ind w:firstLine="643"/>
        <w:rPr>
          <w:rFonts w:hint="eastAsia"/>
        </w:rPr>
      </w:pPr>
      <w:bookmarkStart w:id="1763" w:name="_Toc7116"/>
      <w:r>
        <w:rPr>
          <w:rFonts w:hint="eastAsia"/>
        </w:rPr>
        <w:t>（三）部门（单位）预算资金</w:t>
      </w:r>
      <w:bookmarkEnd w:id="1763"/>
    </w:p>
    <w:p>
      <w:pPr>
        <w:pStyle w:val="4"/>
        <w:ind w:firstLine="643"/>
        <w:rPr>
          <w:rFonts w:hint="eastAsia" w:ascii="楷体" w:hAnsi="楷体" w:eastAsia="楷体" w:cs="楷体"/>
        </w:rPr>
      </w:pPr>
      <w:r>
        <w:rPr>
          <w:rFonts w:hint="eastAsia" w:ascii="楷体" w:hAnsi="楷体" w:eastAsia="楷体" w:cs="楷体"/>
        </w:rPr>
        <w:t>1.预算安排和执行情况</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color w:val="000000"/>
          <w:kern w:val="0"/>
          <w:szCs w:val="32"/>
        </w:rPr>
      </w:pPr>
      <w:r>
        <w:rPr>
          <w:rFonts w:hint="eastAsia" w:ascii="仿宋" w:hAnsi="仿宋" w:cs="仿宋"/>
          <w:color w:val="000000"/>
          <w:kern w:val="0"/>
          <w:szCs w:val="32"/>
        </w:rPr>
        <w:t>2023年</w:t>
      </w:r>
      <w:r>
        <w:rPr>
          <w:rFonts w:hint="eastAsia" w:ascii="仿宋" w:hAnsi="仿宋" w:cs="仿宋"/>
          <w:color w:val="000000"/>
          <w:kern w:val="0"/>
          <w:szCs w:val="32"/>
          <w:lang w:bidi="ar"/>
        </w:rPr>
        <w:t>市监局高新分局</w:t>
      </w:r>
      <w:r>
        <w:rPr>
          <w:rFonts w:hint="eastAsia" w:ascii="仿宋" w:hAnsi="仿宋" w:cs="仿宋"/>
          <w:color w:val="000000"/>
          <w:kern w:val="0"/>
          <w:szCs w:val="32"/>
        </w:rPr>
        <w:t>年初预算总额348.60万元，其中资金来源于一般公共预算348.60万元，其他收入0.00万元。后经预算调整，预算总额为226.06万元，其中基本支出75.66万元（人员经费51.97万元、公用经费23.69万元），项目支出150.40万元。</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color w:val="000000"/>
          <w:kern w:val="0"/>
          <w:szCs w:val="32"/>
        </w:rPr>
      </w:pPr>
      <w:r>
        <w:rPr>
          <w:rFonts w:hint="eastAsia" w:ascii="仿宋" w:hAnsi="仿宋" w:cs="仿宋"/>
          <w:color w:val="000000"/>
        </w:rPr>
        <w:t>2023年市监局高新分局全年共</w:t>
      </w:r>
      <w:r>
        <w:rPr>
          <w:rFonts w:hint="eastAsia" w:ascii="仿宋" w:hAnsi="仿宋" w:cs="仿宋"/>
          <w:color w:val="000000"/>
          <w:kern w:val="0"/>
          <w:szCs w:val="32"/>
        </w:rPr>
        <w:t>支出226.06万元，其中人员经费支出51.97万元，占总支出的22.99%，公用经费支出23.69万元，占总支出的10.48%，项目支出150.40万元，占总支出的66.53%。</w:t>
      </w:r>
    </w:p>
    <w:p>
      <w:pPr>
        <w:keepNext w:val="0"/>
        <w:keepLines w:val="0"/>
        <w:pageBreakBefore w:val="0"/>
        <w:widowControl/>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bCs/>
          <w:color w:val="000000"/>
          <w:kern w:val="0"/>
          <w:sz w:val="28"/>
          <w:szCs w:val="28"/>
          <w:lang w:val="en-US" w:eastAsia="zh-CN"/>
        </w:rPr>
      </w:pPr>
      <w:r>
        <w:rPr>
          <w:rFonts w:hint="eastAsia" w:ascii="宋体" w:hAnsi="宋体" w:eastAsia="宋体" w:cs="宋体"/>
          <w:b/>
          <w:bCs/>
          <w:color w:val="000000"/>
          <w:kern w:val="0"/>
          <w:sz w:val="28"/>
          <w:szCs w:val="28"/>
          <w:lang w:val="en-US" w:eastAsia="zh-CN"/>
        </w:rPr>
        <w:t>预算安排与执行情况表</w:t>
      </w:r>
    </w:p>
    <w:p>
      <w:pPr>
        <w:keepNext w:val="0"/>
        <w:keepLines w:val="0"/>
        <w:pageBreakBefore w:val="0"/>
        <w:widowControl/>
        <w:kinsoku/>
        <w:wordWrap/>
        <w:overflowPunct/>
        <w:topLinePunct w:val="0"/>
        <w:autoSpaceDE/>
        <w:autoSpaceDN/>
        <w:bidi w:val="0"/>
        <w:adjustRightInd/>
        <w:snapToGrid/>
        <w:ind w:left="0" w:leftChars="0" w:firstLine="0" w:firstLineChars="0"/>
        <w:jc w:val="righ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单位：万元</w:t>
      </w:r>
    </w:p>
    <w:tbl>
      <w:tblPr>
        <w:tblStyle w:val="18"/>
        <w:tblW w:w="9113" w:type="dxa"/>
        <w:jc w:val="center"/>
        <w:tblLayout w:type="fixed"/>
        <w:tblCellMar>
          <w:top w:w="0" w:type="dxa"/>
          <w:left w:w="108" w:type="dxa"/>
          <w:bottom w:w="0" w:type="dxa"/>
          <w:right w:w="108" w:type="dxa"/>
        </w:tblCellMar>
      </w:tblPr>
      <w:tblGrid>
        <w:gridCol w:w="764"/>
        <w:gridCol w:w="467"/>
        <w:gridCol w:w="1222"/>
        <w:gridCol w:w="1060"/>
        <w:gridCol w:w="1050"/>
        <w:gridCol w:w="1215"/>
        <w:gridCol w:w="1230"/>
        <w:gridCol w:w="1035"/>
        <w:gridCol w:w="1070"/>
      </w:tblGrid>
      <w:tr>
        <w:tblPrEx>
          <w:tblCellMar>
            <w:top w:w="0" w:type="dxa"/>
            <w:left w:w="108" w:type="dxa"/>
            <w:bottom w:w="0" w:type="dxa"/>
            <w:right w:w="108" w:type="dxa"/>
          </w:tblCellMar>
        </w:tblPrEx>
        <w:trPr>
          <w:trHeight w:val="360" w:hRule="atLeast"/>
          <w:tblHeader/>
          <w:jc w:val="center"/>
        </w:trPr>
        <w:tc>
          <w:tcPr>
            <w:tcW w:w="76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支出类别</w:t>
            </w:r>
          </w:p>
        </w:tc>
        <w:tc>
          <w:tcPr>
            <w:tcW w:w="1689"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项目名称</w:t>
            </w: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年初</w:t>
            </w:r>
          </w:p>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预算</w:t>
            </w:r>
          </w:p>
        </w:tc>
        <w:tc>
          <w:tcPr>
            <w:tcW w:w="10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调整后预算</w:t>
            </w:r>
          </w:p>
        </w:tc>
        <w:tc>
          <w:tcPr>
            <w:tcW w:w="1215"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预算调整率</w:t>
            </w:r>
          </w:p>
        </w:tc>
        <w:tc>
          <w:tcPr>
            <w:tcW w:w="123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执行金额</w:t>
            </w:r>
          </w:p>
        </w:tc>
        <w:tc>
          <w:tcPr>
            <w:tcW w:w="103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结余</w:t>
            </w:r>
          </w:p>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金额</w:t>
            </w:r>
          </w:p>
        </w:tc>
        <w:tc>
          <w:tcPr>
            <w:tcW w:w="107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执行率</w:t>
            </w:r>
          </w:p>
        </w:tc>
      </w:tr>
      <w:tr>
        <w:tblPrEx>
          <w:tblCellMar>
            <w:top w:w="0" w:type="dxa"/>
            <w:left w:w="108" w:type="dxa"/>
            <w:bottom w:w="0" w:type="dxa"/>
            <w:right w:w="108" w:type="dxa"/>
          </w:tblCellMar>
        </w:tblPrEx>
        <w:trPr>
          <w:trHeight w:val="820" w:hRule="atLeast"/>
          <w:tblHeader/>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689"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0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215"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2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03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0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r>
      <w:tr>
        <w:tblPrEx>
          <w:tblCellMar>
            <w:top w:w="0" w:type="dxa"/>
            <w:left w:w="108" w:type="dxa"/>
            <w:bottom w:w="0" w:type="dxa"/>
            <w:right w:w="108" w:type="dxa"/>
          </w:tblCellMar>
        </w:tblPrEx>
        <w:trPr>
          <w:trHeight w:val="400" w:hRule="exact"/>
          <w:jc w:val="center"/>
        </w:trPr>
        <w:tc>
          <w:tcPr>
            <w:tcW w:w="76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基本支出</w:t>
            </w:r>
          </w:p>
        </w:tc>
        <w:tc>
          <w:tcPr>
            <w:tcW w:w="168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人员经费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145.67</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51.97</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right"/>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64.33%</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51.97</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right"/>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400" w:hRule="exact"/>
          <w:jc w:val="center"/>
        </w:trPr>
        <w:tc>
          <w:tcPr>
            <w:tcW w:w="7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68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公用经费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34.69</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23.69</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right"/>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31.70%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23.69</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right"/>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400" w:hRule="exact"/>
          <w:jc w:val="center"/>
        </w:trPr>
        <w:tc>
          <w:tcPr>
            <w:tcW w:w="76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689" w:type="dxa"/>
            <w:gridSpan w:val="2"/>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小计</w:t>
            </w:r>
          </w:p>
        </w:tc>
        <w:tc>
          <w:tcPr>
            <w:tcW w:w="106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180.36</w:t>
            </w:r>
          </w:p>
        </w:tc>
        <w:tc>
          <w:tcPr>
            <w:tcW w:w="105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75.66</w:t>
            </w:r>
          </w:p>
        </w:tc>
        <w:tc>
          <w:tcPr>
            <w:tcW w:w="121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right"/>
              <w:rPr>
                <w:rFonts w:hint="eastAsia" w:ascii="宋体" w:hAnsi="宋体" w:eastAsia="宋体" w:cs="宋体"/>
                <w:b/>
                <w:bCs/>
                <w:color w:val="000000"/>
                <w:kern w:val="0"/>
                <w:sz w:val="24"/>
              </w:rPr>
            </w:pPr>
            <w:r>
              <w:rPr>
                <w:rFonts w:hint="eastAsia" w:ascii="宋体" w:hAnsi="宋体" w:eastAsia="宋体" w:cs="宋体"/>
                <w:b/>
                <w:bCs/>
                <w:color w:val="000000"/>
                <w:kern w:val="0"/>
                <w:sz w:val="24"/>
                <w:lang w:val="en-US" w:eastAsia="zh-CN"/>
              </w:rPr>
              <w:t>-</w:t>
            </w:r>
            <w:r>
              <w:rPr>
                <w:rFonts w:hint="eastAsia" w:ascii="宋体" w:hAnsi="宋体" w:eastAsia="宋体" w:cs="宋体"/>
                <w:b/>
                <w:bCs/>
                <w:color w:val="000000"/>
                <w:kern w:val="0"/>
                <w:sz w:val="24"/>
              </w:rPr>
              <w:t>58.05%</w:t>
            </w:r>
          </w:p>
        </w:tc>
        <w:tc>
          <w:tcPr>
            <w:tcW w:w="123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75.66</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right"/>
              <w:rPr>
                <w:rFonts w:hint="eastAsia" w:ascii="宋体" w:hAnsi="宋体" w:eastAsia="宋体" w:cs="宋体"/>
                <w:b/>
                <w:bCs/>
                <w:color w:val="000000"/>
                <w:kern w:val="0"/>
                <w:sz w:val="24"/>
              </w:rPr>
            </w:pPr>
            <w:r>
              <w:rPr>
                <w:rFonts w:hint="eastAsia" w:ascii="宋体" w:hAnsi="宋体" w:eastAsia="宋体" w:cs="宋体"/>
                <w:b/>
                <w:bCs/>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项目支出</w:t>
            </w: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lang w:bidi="ar"/>
              </w:rPr>
              <w:t>省级知识产权专项资金</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20.00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20.00</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left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w:t>
            </w:r>
          </w:p>
        </w:tc>
        <w:tc>
          <w:tcPr>
            <w:tcW w:w="1222" w:type="dxa"/>
            <w:tcBorders>
              <w:top w:val="nil"/>
              <w:left w:val="nil"/>
              <w:bottom w:val="single" w:color="auto" w:sz="4" w:space="0"/>
              <w:right w:val="single" w:color="auto" w:sz="4" w:space="0"/>
            </w:tcBorders>
            <w:noWrap w:val="0"/>
            <w:vAlign w:val="center"/>
          </w:tcPr>
          <w:p>
            <w:pPr>
              <w:pStyle w:val="29"/>
              <w:spacing w:line="240" w:lineRule="auto"/>
              <w:ind w:firstLine="0" w:firstLineChars="0"/>
              <w:jc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工业转型升级奖励资金</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3</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sz w:val="24"/>
              </w:rPr>
            </w:pPr>
            <w:r>
              <w:rPr>
                <w:rFonts w:hint="eastAsia" w:ascii="宋体" w:hAnsi="宋体" w:eastAsia="宋体" w:cs="宋体"/>
                <w:color w:val="000000"/>
                <w:kern w:val="0"/>
                <w:sz w:val="24"/>
                <w:lang w:bidi="ar"/>
              </w:rPr>
              <w:t>省级市场监管专项资金</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19.00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19.00</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4</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市场监管领域应急工作经费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6.03</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39.70%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6.03</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5</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长聘人员经费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41.74</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41.74</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41.74</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6</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市场监管领域工作经费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96.00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49.17</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48.78%</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49.17</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7</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中央药品监管补助资金</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2.96</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2.96</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8</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支持中小企业发展和管理支出</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15.00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1.50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90.00%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1.50</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9</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招商引资项目工作经费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5.00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r>
      <w:tr>
        <w:tblPrEx>
          <w:tblCellMar>
            <w:top w:w="0" w:type="dxa"/>
            <w:left w:w="108" w:type="dxa"/>
            <w:bottom w:w="0" w:type="dxa"/>
            <w:right w:w="108" w:type="dxa"/>
          </w:tblCellMar>
        </w:tblPrEx>
        <w:trPr>
          <w:trHeight w:val="92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467"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10</w:t>
            </w:r>
          </w:p>
        </w:tc>
        <w:tc>
          <w:tcPr>
            <w:tcW w:w="1222"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食品药品违法行为举报奖励兑现经费</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0.50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lang w:val="en-US" w:eastAsia="zh-CN"/>
              </w:rPr>
              <w:t>-</w:t>
            </w:r>
            <w:r>
              <w:rPr>
                <w:rFonts w:hint="eastAsia" w:ascii="宋体" w:hAnsi="宋体" w:eastAsia="宋体" w:cs="宋体"/>
                <w:color w:val="000000"/>
                <w:kern w:val="0"/>
                <w:sz w:val="24"/>
              </w:rPr>
              <w:t>100.00%</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35"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c>
          <w:tcPr>
            <w:tcW w:w="107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color w:val="000000"/>
                <w:kern w:val="0"/>
                <w:sz w:val="24"/>
              </w:rPr>
            </w:pPr>
            <w:r>
              <w:rPr>
                <w:rFonts w:hint="eastAsia" w:ascii="宋体" w:hAnsi="宋体" w:eastAsia="宋体" w:cs="宋体"/>
                <w:color w:val="000000"/>
                <w:kern w:val="0"/>
                <w:sz w:val="24"/>
              </w:rPr>
              <w:t>0.00%</w:t>
            </w:r>
          </w:p>
        </w:tc>
      </w:tr>
      <w:tr>
        <w:tblPrEx>
          <w:tblCellMar>
            <w:top w:w="0" w:type="dxa"/>
            <w:left w:w="108" w:type="dxa"/>
            <w:bottom w:w="0" w:type="dxa"/>
            <w:right w:w="108" w:type="dxa"/>
          </w:tblCellMar>
        </w:tblPrEx>
        <w:trPr>
          <w:trHeight w:val="440" w:hRule="exact"/>
          <w:jc w:val="center"/>
        </w:trPr>
        <w:tc>
          <w:tcPr>
            <w:tcW w:w="764" w:type="dxa"/>
            <w:vMerge w:val="continue"/>
            <w:tcBorders>
              <w:top w:val="single" w:color="auto" w:sz="4" w:space="0"/>
              <w:left w:val="single" w:color="auto" w:sz="4" w:space="0"/>
              <w:bottom w:val="single" w:color="000000" w:sz="4" w:space="0"/>
              <w:right w:val="single" w:color="auto" w:sz="4" w:space="0"/>
            </w:tcBorders>
            <w:noWrap w:val="0"/>
            <w:vAlign w:val="center"/>
          </w:tcPr>
          <w:p>
            <w:pPr>
              <w:widowControl/>
              <w:spacing w:line="240" w:lineRule="auto"/>
              <w:ind w:firstLine="0" w:firstLineChars="0"/>
              <w:jc w:val="center"/>
              <w:rPr>
                <w:rFonts w:hint="eastAsia" w:ascii="宋体" w:hAnsi="宋体" w:eastAsia="宋体" w:cs="宋体"/>
                <w:b/>
                <w:bCs/>
                <w:color w:val="000000"/>
                <w:kern w:val="0"/>
                <w:sz w:val="24"/>
              </w:rPr>
            </w:pPr>
          </w:p>
        </w:tc>
        <w:tc>
          <w:tcPr>
            <w:tcW w:w="1689" w:type="dxa"/>
            <w:gridSpan w:val="2"/>
            <w:tcBorders>
              <w:top w:val="single" w:color="auto" w:sz="4" w:space="0"/>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24"/>
              </w:rPr>
            </w:pPr>
            <w:r>
              <w:rPr>
                <w:rFonts w:hint="eastAsia" w:ascii="宋体" w:hAnsi="宋体" w:eastAsia="宋体" w:cs="宋体"/>
                <w:b/>
                <w:bCs/>
                <w:kern w:val="0"/>
                <w:sz w:val="24"/>
              </w:rPr>
              <w:t>小计</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168.24</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150.40</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lang w:val="en-US" w:eastAsia="zh-CN"/>
              </w:rPr>
              <w:t>-</w:t>
            </w:r>
            <w:r>
              <w:rPr>
                <w:rFonts w:hint="eastAsia" w:ascii="宋体" w:hAnsi="宋体" w:eastAsia="宋体" w:cs="宋体"/>
                <w:b/>
                <w:bCs/>
                <w:color w:val="000000"/>
                <w:kern w:val="0"/>
                <w:sz w:val="24"/>
              </w:rPr>
              <w:t>10.61%</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150.40</w:t>
            </w:r>
          </w:p>
        </w:tc>
        <w:tc>
          <w:tcPr>
            <w:tcW w:w="103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0.00</w:t>
            </w:r>
          </w:p>
        </w:tc>
        <w:tc>
          <w:tcPr>
            <w:tcW w:w="107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100.00%</w:t>
            </w:r>
          </w:p>
        </w:tc>
      </w:tr>
      <w:tr>
        <w:tblPrEx>
          <w:tblCellMar>
            <w:top w:w="0" w:type="dxa"/>
            <w:left w:w="108" w:type="dxa"/>
            <w:bottom w:w="0" w:type="dxa"/>
            <w:right w:w="108" w:type="dxa"/>
          </w:tblCellMar>
        </w:tblPrEx>
        <w:trPr>
          <w:trHeight w:val="440" w:hRule="exact"/>
          <w:jc w:val="center"/>
        </w:trPr>
        <w:tc>
          <w:tcPr>
            <w:tcW w:w="2453"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kern w:val="0"/>
                <w:sz w:val="24"/>
              </w:rPr>
            </w:pPr>
            <w:r>
              <w:rPr>
                <w:rFonts w:hint="eastAsia" w:ascii="宋体" w:hAnsi="宋体" w:eastAsia="宋体" w:cs="宋体"/>
                <w:b/>
                <w:bCs/>
                <w:kern w:val="0"/>
                <w:sz w:val="24"/>
              </w:rPr>
              <w:t>合计</w:t>
            </w:r>
          </w:p>
        </w:tc>
        <w:tc>
          <w:tcPr>
            <w:tcW w:w="106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348.60</w:t>
            </w:r>
          </w:p>
        </w:tc>
        <w:tc>
          <w:tcPr>
            <w:tcW w:w="105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226.06</w:t>
            </w:r>
          </w:p>
        </w:tc>
        <w:tc>
          <w:tcPr>
            <w:tcW w:w="121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lang w:val="en-US" w:eastAsia="zh-CN"/>
              </w:rPr>
              <w:t>-</w:t>
            </w:r>
            <w:r>
              <w:rPr>
                <w:rFonts w:hint="eastAsia" w:ascii="宋体" w:hAnsi="宋体" w:eastAsia="宋体" w:cs="宋体"/>
                <w:b/>
                <w:bCs/>
                <w:color w:val="000000"/>
                <w:kern w:val="0"/>
                <w:sz w:val="24"/>
              </w:rPr>
              <w:t>35.15%</w:t>
            </w:r>
          </w:p>
        </w:tc>
        <w:tc>
          <w:tcPr>
            <w:tcW w:w="123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226.06</w:t>
            </w:r>
          </w:p>
        </w:tc>
        <w:tc>
          <w:tcPr>
            <w:tcW w:w="1035"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0.00</w:t>
            </w:r>
          </w:p>
        </w:tc>
        <w:tc>
          <w:tcPr>
            <w:tcW w:w="1070" w:type="dxa"/>
            <w:tcBorders>
              <w:top w:val="nil"/>
              <w:left w:val="nil"/>
              <w:bottom w:val="single" w:color="auto" w:sz="4" w:space="0"/>
              <w:right w:val="single" w:color="auto" w:sz="4" w:space="0"/>
            </w:tcBorders>
            <w:noWrap/>
            <w:vAlign w:val="center"/>
          </w:tcPr>
          <w:p>
            <w:pPr>
              <w:widowControl/>
              <w:spacing w:line="240" w:lineRule="auto"/>
              <w:ind w:firstLine="0" w:firstLineChars="0"/>
              <w:jc w:val="center"/>
              <w:rPr>
                <w:rFonts w:hint="eastAsia" w:ascii="宋体" w:hAnsi="宋体" w:eastAsia="宋体" w:cs="宋体"/>
                <w:b/>
                <w:bCs/>
                <w:color w:val="000000"/>
                <w:kern w:val="0"/>
                <w:sz w:val="24"/>
              </w:rPr>
            </w:pPr>
            <w:r>
              <w:rPr>
                <w:rFonts w:hint="eastAsia" w:ascii="宋体" w:hAnsi="宋体" w:eastAsia="宋体" w:cs="宋体"/>
                <w:b/>
                <w:bCs/>
                <w:color w:val="000000"/>
                <w:kern w:val="0"/>
                <w:sz w:val="24"/>
              </w:rPr>
              <w:t>100.00%</w:t>
            </w:r>
          </w:p>
        </w:tc>
      </w:tr>
    </w:tbl>
    <w:p>
      <w:pPr>
        <w:pStyle w:val="4"/>
        <w:ind w:firstLine="643"/>
        <w:rPr>
          <w:rFonts w:hint="eastAsia" w:ascii="楷体" w:hAnsi="楷体" w:eastAsia="楷体" w:cs="楷体"/>
        </w:rPr>
      </w:pPr>
      <w:r>
        <w:rPr>
          <w:rFonts w:hint="eastAsia" w:ascii="楷体" w:hAnsi="楷体" w:eastAsia="楷体" w:cs="楷体"/>
        </w:rPr>
        <w:t>2.预算调整情况</w:t>
      </w:r>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仿宋" w:hAnsi="仿宋" w:eastAsia="仿宋" w:cs="仿宋"/>
          <w:color w:val="000000"/>
          <w:kern w:val="0"/>
          <w:szCs w:val="32"/>
          <w:lang w:val="en-US" w:eastAsia="zh-CN"/>
        </w:rPr>
      </w:pPr>
      <w:r>
        <w:rPr>
          <w:rFonts w:hint="eastAsia" w:ascii="仿宋" w:hAnsi="仿宋" w:cs="仿宋"/>
          <w:color w:val="000000"/>
          <w:kern w:val="0"/>
          <w:szCs w:val="32"/>
        </w:rPr>
        <w:t>2023年</w:t>
      </w:r>
      <w:r>
        <w:rPr>
          <w:rFonts w:hint="eastAsia" w:ascii="仿宋" w:hAnsi="仿宋" w:cs="仿宋"/>
          <w:color w:val="000000"/>
          <w:kern w:val="0"/>
          <w:szCs w:val="32"/>
          <w:lang w:bidi="ar"/>
        </w:rPr>
        <w:t>市监局高新分局</w:t>
      </w:r>
      <w:r>
        <w:rPr>
          <w:rFonts w:hint="eastAsia" w:ascii="仿宋" w:hAnsi="仿宋" w:cs="仿宋"/>
        </w:rPr>
        <w:t>年初预算总额348.60万元，调整后预算总额226.06万元，调整率为35.15%</w:t>
      </w:r>
      <w:r>
        <w:rPr>
          <w:rFonts w:hint="eastAsia" w:ascii="仿宋" w:hAnsi="仿宋" w:cs="仿宋"/>
          <w:lang w:eastAsia="zh-CN"/>
        </w:rPr>
        <w:t>。</w:t>
      </w:r>
      <w:r>
        <w:rPr>
          <w:rFonts w:hint="eastAsia" w:ascii="仿宋" w:hAnsi="仿宋" w:cs="仿宋"/>
        </w:rPr>
        <w:t>其中主要调整项为：</w:t>
      </w:r>
      <w:r>
        <w:rPr>
          <w:rFonts w:hint="eastAsia" w:ascii="仿宋" w:hAnsi="仿宋" w:cs="仿宋"/>
          <w:color w:val="000000"/>
          <w:kern w:val="0"/>
          <w:szCs w:val="32"/>
        </w:rPr>
        <w:t>公用经费预算</w:t>
      </w:r>
      <w:r>
        <w:rPr>
          <w:rFonts w:hint="eastAsia" w:ascii="仿宋" w:hAnsi="仿宋" w:cs="仿宋"/>
          <w:color w:val="000000"/>
          <w:kern w:val="0"/>
          <w:szCs w:val="32"/>
          <w:lang w:val="en-US" w:eastAsia="zh-CN"/>
        </w:rPr>
        <w:t>调减</w:t>
      </w:r>
      <w:r>
        <w:rPr>
          <w:rFonts w:hint="eastAsia" w:ascii="仿宋" w:hAnsi="仿宋" w:cs="仿宋"/>
          <w:color w:val="000000"/>
          <w:kern w:val="0"/>
          <w:szCs w:val="32"/>
        </w:rPr>
        <w:t>11.00万元，调整率为31.70%；三公经费预算</w:t>
      </w:r>
      <w:r>
        <w:rPr>
          <w:rFonts w:hint="eastAsia" w:ascii="仿宋" w:hAnsi="仿宋" w:cs="仿宋"/>
          <w:color w:val="000000"/>
          <w:kern w:val="0"/>
          <w:szCs w:val="32"/>
          <w:lang w:val="en-US" w:eastAsia="zh-CN"/>
        </w:rPr>
        <w:t>调减</w:t>
      </w:r>
      <w:r>
        <w:rPr>
          <w:rFonts w:hint="eastAsia" w:ascii="仿宋" w:hAnsi="仿宋" w:cs="仿宋"/>
          <w:color w:val="000000"/>
          <w:kern w:val="0"/>
          <w:szCs w:val="32"/>
        </w:rPr>
        <w:t>6.64万元，调整率为78.12%；</w:t>
      </w:r>
      <w:r>
        <w:rPr>
          <w:rFonts w:hint="eastAsia" w:ascii="仿宋" w:hAnsi="仿宋" w:cs="仿宋"/>
          <w:color w:val="000000"/>
          <w:kern w:val="0"/>
          <w:szCs w:val="32"/>
          <w:lang w:bidi="ar"/>
        </w:rPr>
        <w:t>省级知识产权专项资金</w:t>
      </w:r>
      <w:r>
        <w:rPr>
          <w:rFonts w:hint="eastAsia" w:ascii="仿宋" w:hAnsi="仿宋" w:cs="仿宋"/>
          <w:color w:val="000000"/>
          <w:kern w:val="0"/>
          <w:szCs w:val="32"/>
        </w:rPr>
        <w:t>项目预算</w:t>
      </w:r>
      <w:r>
        <w:rPr>
          <w:rFonts w:hint="eastAsia" w:ascii="仿宋" w:hAnsi="仿宋" w:cs="仿宋"/>
          <w:color w:val="000000"/>
          <w:kern w:val="0"/>
          <w:szCs w:val="32"/>
          <w:lang w:val="en-US" w:eastAsia="zh-CN"/>
        </w:rPr>
        <w:t>调增</w:t>
      </w:r>
      <w:r>
        <w:rPr>
          <w:rFonts w:hint="eastAsia" w:ascii="仿宋" w:hAnsi="仿宋" w:cs="仿宋"/>
          <w:color w:val="000000"/>
          <w:kern w:val="0"/>
          <w:szCs w:val="32"/>
        </w:rPr>
        <w:t>20.00万元，调整率为100.00%；</w:t>
      </w:r>
      <w:r>
        <w:rPr>
          <w:rFonts w:hint="eastAsia" w:ascii="仿宋" w:hAnsi="仿宋" w:cs="仿宋"/>
          <w:color w:val="000000"/>
          <w:kern w:val="0"/>
          <w:szCs w:val="32"/>
          <w:lang w:bidi="ar"/>
        </w:rPr>
        <w:t>工业转型升级奖励资金</w:t>
      </w:r>
      <w:r>
        <w:rPr>
          <w:rFonts w:hint="eastAsia" w:ascii="仿宋" w:hAnsi="仿宋" w:cs="仿宋"/>
          <w:color w:val="000000"/>
          <w:kern w:val="0"/>
          <w:szCs w:val="32"/>
        </w:rPr>
        <w:t>预算</w:t>
      </w:r>
      <w:r>
        <w:rPr>
          <w:rFonts w:hint="eastAsia" w:ascii="仿宋" w:hAnsi="仿宋" w:cs="仿宋"/>
          <w:color w:val="000000"/>
          <w:kern w:val="0"/>
          <w:szCs w:val="32"/>
          <w:lang w:val="en-US" w:eastAsia="zh-CN"/>
        </w:rPr>
        <w:t>调增</w:t>
      </w:r>
      <w:r>
        <w:rPr>
          <w:rFonts w:hint="eastAsia" w:ascii="仿宋" w:hAnsi="仿宋" w:cs="仿宋"/>
          <w:color w:val="000000"/>
          <w:kern w:val="0"/>
          <w:szCs w:val="32"/>
        </w:rPr>
        <w:t>10.00万元，调整率为100.00%</w:t>
      </w:r>
      <w:r>
        <w:rPr>
          <w:rFonts w:hint="eastAsia" w:ascii="仿宋" w:hAnsi="仿宋" w:cs="仿宋"/>
          <w:color w:val="000000"/>
          <w:kern w:val="0"/>
          <w:szCs w:val="32"/>
          <w:lang w:eastAsia="zh-CN"/>
        </w:rPr>
        <w:t>；</w:t>
      </w:r>
      <w:r>
        <w:rPr>
          <w:rFonts w:hint="eastAsia" w:ascii="仿宋" w:hAnsi="仿宋" w:eastAsia="仿宋" w:cs="仿宋"/>
          <w:color w:val="000000"/>
          <w:kern w:val="0"/>
          <w:sz w:val="32"/>
          <w:szCs w:val="32"/>
          <w:lang w:bidi="ar"/>
        </w:rPr>
        <w:t>省级市场监管专项资金</w:t>
      </w:r>
      <w:r>
        <w:rPr>
          <w:rFonts w:hint="eastAsia" w:ascii="仿宋" w:hAnsi="仿宋" w:cs="仿宋"/>
          <w:color w:val="000000"/>
          <w:kern w:val="0"/>
          <w:sz w:val="32"/>
          <w:szCs w:val="32"/>
          <w:lang w:val="en-US" w:eastAsia="zh-CN" w:bidi="ar"/>
        </w:rPr>
        <w:t>预算</w:t>
      </w:r>
      <w:r>
        <w:rPr>
          <w:rFonts w:hint="eastAsia" w:ascii="仿宋" w:hAnsi="仿宋" w:eastAsia="仿宋" w:cs="仿宋"/>
          <w:color w:val="000000"/>
          <w:kern w:val="0"/>
          <w:sz w:val="32"/>
          <w:szCs w:val="32"/>
          <w:lang w:val="en-US" w:eastAsia="zh-CN" w:bidi="ar"/>
        </w:rPr>
        <w:t>调增19.00万元，调整率100.00%；</w:t>
      </w:r>
      <w:r>
        <w:rPr>
          <w:rFonts w:hint="eastAsia" w:ascii="仿宋" w:hAnsi="仿宋" w:cs="仿宋"/>
          <w:color w:val="000000"/>
          <w:kern w:val="0"/>
          <w:szCs w:val="32"/>
          <w:lang w:val="en-US" w:eastAsia="zh-CN"/>
        </w:rPr>
        <w:t>市场监管领域工作经费预算调减46.83万元，调整率为48.78%。</w:t>
      </w:r>
    </w:p>
    <w:p>
      <w:pPr>
        <w:pStyle w:val="4"/>
        <w:bidi w:val="0"/>
        <w:rPr>
          <w:rFonts w:hint="eastAsia"/>
        </w:rPr>
      </w:pPr>
      <w:r>
        <w:rPr>
          <w:rFonts w:hint="eastAsia"/>
        </w:rPr>
        <w:t>3.预算结余情况</w:t>
      </w:r>
    </w:p>
    <w:p>
      <w:pPr>
        <w:keepNext w:val="0"/>
        <w:keepLines w:val="0"/>
        <w:pageBreakBefore w:val="0"/>
        <w:widowControl/>
        <w:kinsoku/>
        <w:wordWrap/>
        <w:overflowPunct/>
        <w:topLinePunct w:val="0"/>
        <w:autoSpaceDE/>
        <w:autoSpaceDN/>
        <w:bidi w:val="0"/>
        <w:adjustRightInd w:val="0"/>
        <w:snapToGrid w:val="0"/>
        <w:ind w:firstLine="640"/>
        <w:contextualSpacing/>
        <w:textAlignment w:val="auto"/>
        <w:rPr>
          <w:rFonts w:hint="eastAsia" w:ascii="仿宋" w:hAnsi="仿宋" w:cs="仿宋"/>
          <w:szCs w:val="32"/>
        </w:rPr>
      </w:pPr>
      <w:r>
        <w:rPr>
          <w:rFonts w:hint="eastAsia" w:ascii="仿宋" w:hAnsi="仿宋" w:cs="仿宋"/>
          <w:szCs w:val="32"/>
          <w:lang w:val="zh-CN"/>
        </w:rPr>
        <w:t>20</w:t>
      </w:r>
      <w:r>
        <w:rPr>
          <w:rFonts w:hint="eastAsia" w:ascii="仿宋" w:hAnsi="仿宋" w:cs="仿宋"/>
          <w:szCs w:val="32"/>
        </w:rPr>
        <w:t>23</w:t>
      </w:r>
      <w:r>
        <w:rPr>
          <w:rFonts w:hint="eastAsia" w:ascii="仿宋" w:hAnsi="仿宋" w:cs="仿宋"/>
          <w:szCs w:val="32"/>
          <w:lang w:val="zh-CN"/>
        </w:rPr>
        <w:t>年</w:t>
      </w:r>
      <w:r>
        <w:rPr>
          <w:rFonts w:hint="eastAsia" w:ascii="仿宋" w:hAnsi="仿宋" w:cs="仿宋"/>
          <w:szCs w:val="32"/>
        </w:rPr>
        <w:t>年初</w:t>
      </w:r>
      <w:r>
        <w:rPr>
          <w:rFonts w:hint="eastAsia" w:ascii="仿宋" w:hAnsi="仿宋" w:cs="仿宋"/>
          <w:szCs w:val="32"/>
          <w:lang w:val="zh-CN"/>
        </w:rPr>
        <w:t>收入预算</w:t>
      </w:r>
      <w:r>
        <w:rPr>
          <w:rFonts w:hint="eastAsia" w:ascii="仿宋" w:hAnsi="仿宋" w:cs="仿宋"/>
          <w:kern w:val="0"/>
          <w:szCs w:val="32"/>
        </w:rPr>
        <w:t>348.60万</w:t>
      </w:r>
      <w:r>
        <w:rPr>
          <w:rFonts w:hint="eastAsia" w:ascii="仿宋" w:hAnsi="仿宋" w:cs="仿宋"/>
          <w:szCs w:val="32"/>
          <w:lang w:val="zh-CN"/>
        </w:rPr>
        <w:t>元，</w:t>
      </w:r>
      <w:r>
        <w:rPr>
          <w:rFonts w:hint="eastAsia" w:ascii="仿宋" w:hAnsi="仿宋" w:cs="仿宋"/>
          <w:szCs w:val="32"/>
        </w:rPr>
        <w:t>调整后预算为</w:t>
      </w:r>
      <w:r>
        <w:rPr>
          <w:rFonts w:hint="eastAsia" w:ascii="仿宋" w:hAnsi="仿宋" w:cs="仿宋"/>
          <w:kern w:val="0"/>
          <w:szCs w:val="32"/>
        </w:rPr>
        <w:t>226.06万</w:t>
      </w:r>
      <w:r>
        <w:rPr>
          <w:rFonts w:hint="eastAsia" w:ascii="仿宋" w:hAnsi="仿宋" w:cs="仿宋"/>
          <w:szCs w:val="32"/>
          <w:lang w:val="zh-CN"/>
        </w:rPr>
        <w:t>元。</w:t>
      </w:r>
      <w:r>
        <w:rPr>
          <w:rFonts w:hint="eastAsia" w:ascii="仿宋" w:hAnsi="仿宋" w:cs="仿宋"/>
          <w:szCs w:val="32"/>
        </w:rPr>
        <w:t>2023年度</w:t>
      </w:r>
      <w:r>
        <w:rPr>
          <w:rFonts w:hint="eastAsia" w:ascii="仿宋" w:hAnsi="仿宋" w:cs="仿宋"/>
          <w:color w:val="000000"/>
          <w:kern w:val="0"/>
          <w:szCs w:val="32"/>
          <w:shd w:val="clear" w:color="auto" w:fill="FFFFFF"/>
        </w:rPr>
        <w:t>实际支出</w:t>
      </w:r>
      <w:r>
        <w:rPr>
          <w:rFonts w:hint="eastAsia" w:ascii="仿宋" w:hAnsi="仿宋" w:cs="仿宋"/>
          <w:kern w:val="0"/>
          <w:szCs w:val="32"/>
        </w:rPr>
        <w:t>226.06万</w:t>
      </w:r>
      <w:r>
        <w:rPr>
          <w:rFonts w:hint="eastAsia" w:ascii="仿宋" w:hAnsi="仿宋" w:cs="仿宋"/>
          <w:color w:val="000000"/>
          <w:kern w:val="0"/>
          <w:szCs w:val="32"/>
          <w:shd w:val="clear" w:color="auto" w:fill="FFFFFF"/>
        </w:rPr>
        <w:t>元，无结余。</w:t>
      </w:r>
    </w:p>
    <w:p>
      <w:pPr>
        <w:pStyle w:val="3"/>
        <w:spacing w:before="120"/>
        <w:ind w:firstLine="643"/>
        <w:rPr>
          <w:rFonts w:hint="eastAsia"/>
        </w:rPr>
      </w:pPr>
      <w:r>
        <w:rPr>
          <w:rFonts w:hint="eastAsia"/>
        </w:rPr>
        <w:t>（四）部门（单位）资产情况</w:t>
      </w:r>
    </w:p>
    <w:p>
      <w:pPr>
        <w:pStyle w:val="4"/>
        <w:bidi w:val="0"/>
        <w:rPr>
          <w:rFonts w:hint="eastAsia"/>
        </w:rPr>
      </w:pPr>
      <w:r>
        <w:rPr>
          <w:rFonts w:hint="eastAsia"/>
        </w:rPr>
        <w:t>1.流动资产</w:t>
      </w:r>
    </w:p>
    <w:p>
      <w:pPr>
        <w:pStyle w:val="8"/>
        <w:keepNext w:val="0"/>
        <w:keepLines w:val="0"/>
        <w:pageBreakBefore w:val="0"/>
        <w:kinsoku/>
        <w:wordWrap/>
        <w:overflowPunct/>
        <w:topLinePunct w:val="0"/>
        <w:autoSpaceDE/>
        <w:autoSpaceDN/>
        <w:bidi w:val="0"/>
        <w:ind w:firstLine="640"/>
        <w:jc w:val="both"/>
        <w:textAlignment w:val="auto"/>
        <w:rPr>
          <w:rFonts w:hint="eastAsia" w:ascii="仿宋" w:hAnsi="仿宋" w:cs="仿宋"/>
        </w:rPr>
      </w:pPr>
      <w:r>
        <w:rPr>
          <w:rFonts w:hint="eastAsia" w:ascii="仿宋" w:hAnsi="仿宋" w:cs="仿宋"/>
          <w:szCs w:val="32"/>
        </w:rPr>
        <w:t>经查看市监局高新分局2023年度日记账、科目余额表、往来账和财务报表，截至2023年底，</w:t>
      </w:r>
      <w:r>
        <w:rPr>
          <w:rFonts w:hint="eastAsia" w:ascii="仿宋" w:hAnsi="仿宋" w:cs="仿宋"/>
        </w:rPr>
        <w:t>流动资产余额3.85元，均为银行存款。</w:t>
      </w:r>
      <w:r>
        <w:rPr>
          <w:rFonts w:hint="eastAsia" w:ascii="仿宋" w:hAnsi="仿宋" w:cs="仿宋"/>
          <w:szCs w:val="32"/>
        </w:rPr>
        <w:t>主要为银行账户利息未及时上缴国库。</w:t>
      </w:r>
    </w:p>
    <w:p>
      <w:pPr>
        <w:pStyle w:val="4"/>
        <w:bidi w:val="0"/>
        <w:rPr>
          <w:rFonts w:hint="eastAsia"/>
        </w:rPr>
      </w:pPr>
      <w:r>
        <w:rPr>
          <w:rFonts w:hint="eastAsia"/>
        </w:rPr>
        <w:t>2.固定资产</w:t>
      </w:r>
    </w:p>
    <w:p>
      <w:pPr>
        <w:keepNext w:val="0"/>
        <w:keepLines w:val="0"/>
        <w:pageBreakBefore w:val="0"/>
        <w:kinsoku/>
        <w:wordWrap/>
        <w:overflowPunct/>
        <w:topLinePunct w:val="0"/>
        <w:autoSpaceDE/>
        <w:autoSpaceDN/>
        <w:bidi w:val="0"/>
        <w:ind w:firstLine="640"/>
        <w:textAlignment w:val="auto"/>
        <w:rPr>
          <w:rFonts w:hint="eastAsia" w:ascii="仿宋" w:hAnsi="仿宋" w:cs="仿宋"/>
          <w:szCs w:val="32"/>
        </w:rPr>
      </w:pPr>
      <w:r>
        <w:rPr>
          <w:rFonts w:hint="eastAsia" w:ascii="仿宋" w:hAnsi="仿宋" w:cs="仿宋"/>
        </w:rPr>
        <w:t>市监局高新分局办公室财务人员对本单位的固定资产负有管理责任。截至2023年12月31日，市监局高新分局固定资产实有净值共计14.88万元，</w:t>
      </w:r>
      <w:r>
        <w:rPr>
          <w:rFonts w:hint="eastAsia" w:ascii="仿宋" w:hAnsi="仿宋" w:cs="仿宋"/>
          <w:szCs w:val="32"/>
        </w:rPr>
        <w:t>经实际盘点和查看，无闲置固定资产，资产利用率为100%。但发现该部门存在账外资产，且相关资产未落实使用人，未做到账实相符、存在账外资产、资产管理工作未认真贯彻执行。</w:t>
      </w:r>
    </w:p>
    <w:p>
      <w:pPr>
        <w:pStyle w:val="2"/>
        <w:bidi w:val="0"/>
        <w:rPr>
          <w:rFonts w:hint="eastAsia"/>
        </w:rPr>
      </w:pPr>
      <w:bookmarkStart w:id="1764" w:name="_Toc12069"/>
      <w:r>
        <w:rPr>
          <w:rFonts w:hint="eastAsia"/>
        </w:rPr>
        <w:t>二、部门（单位）绩效目标</w:t>
      </w:r>
      <w:bookmarkEnd w:id="1764"/>
    </w:p>
    <w:p>
      <w:pPr>
        <w:pStyle w:val="3"/>
        <w:spacing w:before="120"/>
        <w:ind w:firstLine="643"/>
        <w:rPr>
          <w:rFonts w:hint="eastAsia"/>
        </w:rPr>
      </w:pPr>
      <w:bookmarkStart w:id="1765" w:name="_Toc4970"/>
      <w:r>
        <w:rPr>
          <w:rFonts w:hint="eastAsia"/>
        </w:rPr>
        <w:t>（一）部门（单位）战略目标和中长期规划</w:t>
      </w:r>
      <w:bookmarkEnd w:id="1765"/>
    </w:p>
    <w:p>
      <w:pPr>
        <w:pStyle w:val="4"/>
        <w:bidi w:val="0"/>
      </w:pPr>
      <w:r>
        <w:rPr>
          <w:rFonts w:hint="eastAsia"/>
        </w:rPr>
        <w:t>1.部门战略目标</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rPr>
      </w:pPr>
      <w:r>
        <w:rPr>
          <w:rFonts w:hint="eastAsia" w:ascii="仿宋" w:hAnsi="仿宋" w:cs="仿宋"/>
        </w:rPr>
        <w:t>2023年是全面贯彻落实党的二十大精神的开局之年是实施“十四五”规划承上启下的关键一年。市场监管工作的总体要求是：以习近平新时代中国特色社会主义思想为指导，全面贯彻落实党的二十大精神，认真贯彻落实习近平总书记来川考察重要讲话重要指示。按照</w:t>
      </w:r>
      <w:r>
        <w:rPr>
          <w:rFonts w:hint="eastAsia" w:ascii="仿宋" w:hAnsi="仿宋" w:cs="仿宋"/>
          <w:szCs w:val="32"/>
        </w:rPr>
        <w:t>市局和园区党工委、管委会</w:t>
      </w:r>
      <w:r>
        <w:rPr>
          <w:rFonts w:hint="eastAsia" w:ascii="仿宋" w:hAnsi="仿宋" w:cs="仿宋"/>
        </w:rPr>
        <w:t>工作要求，围绕高质量项目推进年、营商环境突破年、干部作风能力提升年活动，聚焦推动经济社会高质量发展这一目标，服务好人民群众和市场主体两个对象，抓好“守好安全底线、保好市场秩序、拉好发展高线”三大任务，强化政治建设、为民服务、守正创新、纪律规矩，努力提高市场监管现代化水平，为建成黄河中游生态保护和高质量发展核心示范区贡献市场监管力量。</w:t>
      </w:r>
    </w:p>
    <w:p>
      <w:pPr>
        <w:pStyle w:val="4"/>
        <w:bidi w:val="0"/>
        <w:rPr>
          <w:rFonts w:hint="eastAsia"/>
        </w:rPr>
      </w:pPr>
      <w:r>
        <w:rPr>
          <w:rFonts w:hint="eastAsia"/>
        </w:rPr>
        <w:t>2.部门中长期规划</w:t>
      </w:r>
    </w:p>
    <w:p>
      <w:pPr>
        <w:ind w:firstLine="640"/>
        <w:rPr>
          <w:rFonts w:hint="eastAsia" w:ascii="仿宋" w:hAnsi="仿宋" w:cs="仿宋"/>
        </w:rPr>
      </w:pPr>
      <w:r>
        <w:rPr>
          <w:rFonts w:hint="eastAsia" w:ascii="仿宋" w:hAnsi="仿宋" w:cs="仿宋"/>
          <w:szCs w:val="32"/>
        </w:rPr>
        <w:t>高新分局将以习近平新时代中国特色社会主义思想为指导，深入贯彻落实党的二十大精神，按照市局和园区党工委、管委会工作部署，紧紧围绕“实干争先”的工作目标，聚力推动全局干部职工队伍能力素质提升，聚焦市场主体服务效能提质，探索创新市场监管新模式、新方法，坚决守牢市场监管重点领域安全底线，加快推进市场监管治理体系和治理能力现代化建设，推动辖区市场监管工作取得新突破。</w:t>
      </w:r>
    </w:p>
    <w:p>
      <w:pPr>
        <w:pStyle w:val="5"/>
        <w:bidi w:val="0"/>
        <w:rPr>
          <w:rFonts w:hint="eastAsia"/>
        </w:rPr>
      </w:pPr>
      <w:r>
        <w:rPr>
          <w:rFonts w:hint="eastAsia"/>
        </w:rPr>
        <w:t>（1）党建引领强队伍</w:t>
      </w:r>
    </w:p>
    <w:p>
      <w:pPr>
        <w:pStyle w:val="11"/>
        <w:ind w:firstLine="640"/>
        <w:rPr>
          <w:rFonts w:hint="eastAsia" w:ascii="仿宋" w:hAnsi="仿宋" w:cs="仿宋"/>
          <w:sz w:val="32"/>
          <w:szCs w:val="32"/>
        </w:rPr>
      </w:pPr>
      <w:r>
        <w:rPr>
          <w:rFonts w:hint="eastAsia" w:ascii="仿宋" w:hAnsi="仿宋" w:cs="仿宋"/>
          <w:sz w:val="32"/>
          <w:szCs w:val="32"/>
        </w:rPr>
        <w:t>一是深化拓展市场监管领域行风建设三年攻坚专项行动。加强内部监督，充分发挥政风行风监督员作用；加强外部监督，创新开展公开接访、体验日等活动，强化分局政风行风建设。二是加强市场监管所“两化”建设，打造基层星级市场监管所。三是以机构改革和综合执法改革为契机，充实人员力量，强化人员培训，提升能力素质。</w:t>
      </w:r>
    </w:p>
    <w:p>
      <w:pPr>
        <w:pStyle w:val="5"/>
        <w:bidi w:val="0"/>
        <w:rPr>
          <w:rFonts w:hint="eastAsia"/>
        </w:rPr>
      </w:pPr>
      <w:r>
        <w:rPr>
          <w:rFonts w:hint="eastAsia"/>
        </w:rPr>
        <w:t>（2）铁拳出击守底线</w:t>
      </w:r>
    </w:p>
    <w:p>
      <w:pPr>
        <w:ind w:firstLine="640"/>
        <w:rPr>
          <w:rFonts w:hint="eastAsia" w:ascii="仿宋" w:hAnsi="仿宋" w:cs="仿宋"/>
          <w:szCs w:val="32"/>
        </w:rPr>
      </w:pPr>
      <w:r>
        <w:rPr>
          <w:rFonts w:hint="eastAsia" w:ascii="仿宋" w:hAnsi="仿宋" w:cs="仿宋"/>
          <w:szCs w:val="32"/>
        </w:rPr>
        <w:t>一是深入贯彻《四川省食品安全条例》，全面落实企业主体责任和属地管理责任，2024年监管重点突出食品生产企业、集中供餐单位和农贸（批）市场，强化城乡结合部和农村食品安全监管工作。二是以医疗美容药品、医疗器械违法违规行为整治为重点，聚焦“一老一小”产品，加强药械化生产经营、储运使用、网络销售等环节监管。三是以电梯、CNG充装为重点开展特种设备安全监察，重点落实电梯到期检测、压力容器（管道）安装备案、叉车安全检测。四是扎实开展各类专项执法行动，全年查办案件不少于60件，确保全年不发生重特大安全事故，兜住兜牢“三品一特”安全底线。</w:t>
      </w:r>
    </w:p>
    <w:p>
      <w:pPr>
        <w:pStyle w:val="5"/>
        <w:bidi w:val="0"/>
        <w:rPr>
          <w:rFonts w:hint="eastAsia"/>
        </w:rPr>
      </w:pPr>
      <w:r>
        <w:rPr>
          <w:rFonts w:hint="eastAsia"/>
        </w:rPr>
        <w:t>（3）优化环境添活力</w:t>
      </w:r>
    </w:p>
    <w:p>
      <w:pPr>
        <w:ind w:firstLine="640"/>
        <w:rPr>
          <w:rFonts w:hint="eastAsia" w:ascii="仿宋" w:hAnsi="仿宋" w:cs="仿宋"/>
          <w:szCs w:val="32"/>
        </w:rPr>
      </w:pPr>
      <w:r>
        <w:rPr>
          <w:rFonts w:hint="eastAsia" w:ascii="仿宋" w:hAnsi="仿宋" w:cs="仿宋"/>
          <w:szCs w:val="32"/>
        </w:rPr>
        <w:t>一是持续深化商事制度改革，做好新《公司法》背景下市场主体服务，完成“个转企”目标任务30户。二是规范市场经营秩序，重点打击汽车销售行业虚假宣传、合同不规范等违法违规行为，查处典型案件</w:t>
      </w:r>
      <w:r>
        <w:rPr>
          <w:rFonts w:hint="eastAsia" w:ascii="仿宋" w:hAnsi="仿宋" w:cs="仿宋"/>
          <w:color w:val="000000"/>
          <w:kern w:val="0"/>
          <w:szCs w:val="32"/>
          <w:shd w:val="clear" w:color="auto" w:fill="FFFFFF"/>
          <w:lang w:bidi="ar"/>
        </w:rPr>
        <w:t>。</w:t>
      </w:r>
      <w:r>
        <w:rPr>
          <w:rFonts w:hint="eastAsia" w:ascii="仿宋" w:hAnsi="仿宋" w:cs="仿宋"/>
          <w:szCs w:val="32"/>
        </w:rPr>
        <w:t>三是在扎实做好企业年报工作的基础上开展涉企信息“数、质”提升行动，加大“僵尸”企业清退力度，推进重点领域信用监管、失信名单管理和信用修复工作。</w:t>
      </w:r>
    </w:p>
    <w:p>
      <w:pPr>
        <w:pStyle w:val="5"/>
        <w:bidi w:val="0"/>
        <w:rPr>
          <w:rFonts w:hint="eastAsia"/>
        </w:rPr>
      </w:pPr>
      <w:r>
        <w:rPr>
          <w:rFonts w:hint="eastAsia"/>
        </w:rPr>
        <w:t>（4）创新服务促发展</w:t>
      </w:r>
    </w:p>
    <w:p>
      <w:pPr>
        <w:ind w:firstLine="640"/>
        <w:rPr>
          <w:rFonts w:hint="eastAsia" w:ascii="仿宋" w:hAnsi="仿宋" w:cs="仿宋"/>
          <w:color w:val="000000"/>
          <w:szCs w:val="32"/>
          <w:shd w:val="clear" w:color="auto" w:fill="FFFFFF"/>
        </w:rPr>
      </w:pPr>
      <w:r>
        <w:rPr>
          <w:rFonts w:hint="eastAsia" w:ascii="仿宋" w:hAnsi="仿宋" w:cs="仿宋"/>
          <w:szCs w:val="32"/>
        </w:rPr>
        <w:t>一是不断深化“小个专”党建工作，充分发挥综合党委职能职责，培育华瓷科技争创省级党建示范点，促进“小个专”领域党建工作与生产经营深度融合，助推“小个专”市场主体高质量发展。持续开展“红骑手 跟党走”主题活动，引导外卖骑手参与食品安全监督，</w:t>
      </w:r>
      <w:r>
        <w:rPr>
          <w:rFonts w:hint="eastAsia" w:ascii="仿宋" w:hAnsi="仿宋" w:cs="仿宋"/>
          <w:color w:val="000000"/>
          <w:kern w:val="0"/>
          <w:szCs w:val="32"/>
          <w:shd w:val="clear" w:color="auto" w:fill="FFFFFF"/>
          <w:lang w:bidi="ar"/>
        </w:rPr>
        <w:t>加强社会监督与监管执法联动，构建严密高效的食品安全治理体系。</w:t>
      </w:r>
      <w:r>
        <w:rPr>
          <w:rFonts w:hint="eastAsia" w:ascii="仿宋" w:hAnsi="仿宋" w:cs="仿宋"/>
          <w:szCs w:val="32"/>
        </w:rPr>
        <w:t>二是</w:t>
      </w:r>
      <w:r>
        <w:rPr>
          <w:rFonts w:hint="eastAsia" w:ascii="仿宋" w:hAnsi="仿宋" w:cs="仿宋"/>
          <w:color w:val="000000"/>
          <w:szCs w:val="32"/>
          <w:shd w:val="clear" w:color="auto" w:fill="FFFFFF"/>
        </w:rPr>
        <w:t>依托个私协会，继续精准开展个体工商户、小微企业分型分类培育及精准帮扶工作，注重“名特优新”业务的选树宣传，针对性采取帮扶措施，科学施策，精准培育。</w:t>
      </w:r>
      <w:r>
        <w:rPr>
          <w:rFonts w:hint="eastAsia" w:ascii="仿宋" w:hAnsi="仿宋" w:cs="仿宋"/>
          <w:szCs w:val="32"/>
        </w:rPr>
        <w:t>三是</w:t>
      </w:r>
      <w:r>
        <w:rPr>
          <w:rFonts w:hint="eastAsia" w:ascii="仿宋" w:hAnsi="仿宋" w:cs="仿宋"/>
          <w:color w:val="000000"/>
          <w:szCs w:val="32"/>
          <w:shd w:val="clear" w:color="auto" w:fill="FFFFFF"/>
        </w:rPr>
        <w:t>提升标准化创新驱动活力，以先进制造业和消费品领域为重点，持续开展对标达标提升专项行动和企业标准“领跑者”工作，指导净平环保审评“静电式餐饮业油烟净化设备”企业标准“领跑者”。</w:t>
      </w:r>
      <w:r>
        <w:rPr>
          <w:rFonts w:hint="eastAsia" w:ascii="仿宋" w:hAnsi="仿宋" w:cs="仿宋"/>
          <w:szCs w:val="32"/>
        </w:rPr>
        <w:t>四是</w:t>
      </w:r>
      <w:r>
        <w:rPr>
          <w:rFonts w:hint="eastAsia" w:ascii="仿宋" w:hAnsi="仿宋" w:cs="仿宋"/>
          <w:color w:val="000000"/>
          <w:szCs w:val="32"/>
          <w:shd w:val="clear" w:color="auto" w:fill="FFFFFF"/>
        </w:rPr>
        <w:t>强化知识产权全链条保护，持续巩固商业秘密保护创新试点成果，深化高价值专利培育，强化企业知识产权保护意识。</w:t>
      </w:r>
    </w:p>
    <w:p>
      <w:pPr>
        <w:pStyle w:val="3"/>
        <w:spacing w:before="120"/>
        <w:ind w:firstLine="643"/>
        <w:rPr>
          <w:rFonts w:hint="eastAsia"/>
        </w:rPr>
      </w:pPr>
      <w:bookmarkStart w:id="1766" w:name="_Toc17055"/>
      <w:r>
        <w:rPr>
          <w:rFonts w:hint="eastAsia"/>
        </w:rPr>
        <w:t>（二）部门（单位）分年度工作计划及重点项目</w:t>
      </w:r>
      <w:bookmarkEnd w:id="1766"/>
    </w:p>
    <w:p>
      <w:pPr>
        <w:pStyle w:val="4"/>
        <w:bidi w:val="0"/>
        <w:rPr>
          <w:rFonts w:hint="eastAsia"/>
        </w:rPr>
      </w:pPr>
      <w:r>
        <w:rPr>
          <w:rFonts w:hint="eastAsia"/>
        </w:rPr>
        <w:t>1.持续强化政治理论学习，深入开展行风建设行动</w:t>
      </w:r>
    </w:p>
    <w:p>
      <w:pPr>
        <w:ind w:firstLine="640"/>
        <w:rPr>
          <w:rFonts w:hint="eastAsia" w:ascii="仿宋" w:hAnsi="仿宋" w:cs="仿宋"/>
          <w:szCs w:val="32"/>
        </w:rPr>
      </w:pPr>
      <w:r>
        <w:rPr>
          <w:rFonts w:hint="eastAsia" w:ascii="仿宋" w:hAnsi="仿宋" w:cs="仿宋"/>
          <w:szCs w:val="32"/>
        </w:rPr>
        <w:t>一是开展学习贯彻习近平新时代中国特色社会主义思想主题教育，深入贯彻习近平来川视察重要指示精神，加强党风廉政建设和意识形态管理；二是加强非公党组织思想引领，召开主题教育工作会议；三是组织园区外卖骑手通过上党课、座谈和参观红色基地等形式，学习党的二十大精神、省委十二届历次全会等理论知识。</w:t>
      </w:r>
    </w:p>
    <w:p>
      <w:pPr>
        <w:ind w:firstLine="640"/>
        <w:rPr>
          <w:rFonts w:hint="eastAsia" w:ascii="仿宋" w:hAnsi="仿宋" w:cs="仿宋"/>
          <w:szCs w:val="32"/>
        </w:rPr>
      </w:pPr>
      <w:r>
        <w:rPr>
          <w:rFonts w:hint="eastAsia" w:ascii="仿宋" w:hAnsi="仿宋" w:cs="仿宋"/>
          <w:szCs w:val="32"/>
        </w:rPr>
        <w:t>制定《行风建设行动实施方案》，以市场监管系统行风建设三年攻坚专项行动为契机，深入查找行政审批、日常监管、行政执法等领域存在的突出问题；通过聘请政风行风监督员、举办市场监管体验日、领导干部公开接访等措施，有力推进作风大转变。</w:t>
      </w:r>
    </w:p>
    <w:p>
      <w:pPr>
        <w:pStyle w:val="4"/>
        <w:bidi w:val="0"/>
        <w:rPr>
          <w:rFonts w:hint="eastAsia"/>
        </w:rPr>
      </w:pPr>
      <w:r>
        <w:rPr>
          <w:rFonts w:hint="eastAsia"/>
        </w:rPr>
        <w:t>2.抓好“小个专”非公党建工作</w:t>
      </w:r>
    </w:p>
    <w:p>
      <w:pPr>
        <w:ind w:firstLine="640"/>
        <w:rPr>
          <w:rFonts w:hint="eastAsia" w:ascii="仿宋" w:hAnsi="仿宋" w:cs="仿宋"/>
          <w:szCs w:val="32"/>
        </w:rPr>
      </w:pPr>
      <w:r>
        <w:rPr>
          <w:rFonts w:hint="eastAsia" w:ascii="仿宋" w:hAnsi="仿宋" w:cs="仿宋"/>
          <w:szCs w:val="32"/>
        </w:rPr>
        <w:t>一是成立遂宁高新区“小个专”综合党委，全覆盖建立“小个专”党建指导站，深入喜盈门、纵横市场等支部开展专题宣讲活动，指导喜盈门党支部创建全省“小个专”党建示范点。二是扎实开展“红骑手 跟党走”主题活动，打造“高新骑手驿站”，擦亮“高新骑手”外卖送餐群体党建品牌，组织外卖骑手开展“结对共建”“凝心聚力”等主题活动。三是结合“个体工商户服务月”“万人进万企 服务促发展”活动，深入市场主体走访调研，积极推进助企纾困政策落实落地，收集意见、建议和需求，妥善解决。</w:t>
      </w:r>
    </w:p>
    <w:p>
      <w:pPr>
        <w:pStyle w:val="4"/>
        <w:bidi w:val="0"/>
        <w:rPr>
          <w:rFonts w:hint="eastAsia"/>
        </w:rPr>
      </w:pPr>
      <w:r>
        <w:rPr>
          <w:rFonts w:hint="eastAsia"/>
        </w:rPr>
        <w:t>3.打造放心舒心消费环境，维护消费者合法权益</w:t>
      </w:r>
    </w:p>
    <w:p>
      <w:pPr>
        <w:ind w:firstLine="640"/>
        <w:rPr>
          <w:rFonts w:hint="eastAsia" w:ascii="仿宋" w:hAnsi="仿宋" w:cs="仿宋"/>
          <w:b/>
          <w:bCs/>
          <w:szCs w:val="32"/>
        </w:rPr>
      </w:pPr>
      <w:r>
        <w:rPr>
          <w:rFonts w:hint="eastAsia" w:ascii="仿宋" w:hAnsi="仿宋" w:cs="仿宋"/>
          <w:szCs w:val="32"/>
        </w:rPr>
        <w:t>提升消费维权服务站能力建设，线上线下多元化解消费纠纷。开展产品质量抽检工作，制定2023年重要工业产品监督抽检计划，深入开展专项执法行动，积极探索审慎包容柔性执法，坚持首违不罚、过罚相当及综合裁量等原则，引导违法当事人改正轻微违法行为，促进企业守法诚信经营。</w:t>
      </w:r>
    </w:p>
    <w:p>
      <w:pPr>
        <w:pStyle w:val="4"/>
        <w:bidi w:val="0"/>
        <w:rPr>
          <w:rFonts w:hint="eastAsia"/>
        </w:rPr>
      </w:pPr>
      <w:r>
        <w:rPr>
          <w:rFonts w:hint="eastAsia"/>
        </w:rPr>
        <w:t>4.强化监管执法效能，优化营商环境</w:t>
      </w:r>
    </w:p>
    <w:p>
      <w:pPr>
        <w:ind w:firstLine="640"/>
      </w:pPr>
      <w:r>
        <w:rPr>
          <w:rFonts w:hint="eastAsia" w:ascii="仿宋" w:hAnsi="仿宋" w:cs="仿宋"/>
          <w:szCs w:val="32"/>
        </w:rPr>
        <w:t>深入开展专项执法行动，积极探索审慎包容柔性执法，坚持首违不罚、过罚相当及综合裁量等原则，引导违法当事人改正轻微违法行为，促进企业守法诚信经营。全面深化商事制度改革，积极推进“证照分离”“网上办理”“一网通办”。</w:t>
      </w:r>
    </w:p>
    <w:p>
      <w:pPr>
        <w:pStyle w:val="3"/>
        <w:spacing w:before="120"/>
        <w:ind w:firstLine="643"/>
        <w:rPr>
          <w:rFonts w:hint="eastAsia"/>
        </w:rPr>
      </w:pPr>
      <w:bookmarkStart w:id="1767" w:name="_Toc2472"/>
      <w:r>
        <w:rPr>
          <w:rFonts w:hint="eastAsia"/>
        </w:rPr>
        <w:t>（三）部门（单位）整体支出绩效目标</w:t>
      </w:r>
      <w:bookmarkEnd w:id="1767"/>
    </w:p>
    <w:p>
      <w:pPr>
        <w:pStyle w:val="4"/>
        <w:ind w:firstLine="643"/>
        <w:rPr>
          <w:rFonts w:hint="eastAsia"/>
        </w:rPr>
      </w:pPr>
      <w:r>
        <w:rPr>
          <w:rFonts w:hint="eastAsia"/>
        </w:rPr>
        <w:t>1.总体目标</w:t>
      </w:r>
    </w:p>
    <w:p>
      <w:pPr>
        <w:ind w:firstLine="640"/>
        <w:rPr>
          <w:rFonts w:hint="eastAsia" w:ascii="仿宋" w:hAnsi="仿宋" w:cs="仿宋"/>
          <w:szCs w:val="32"/>
        </w:rPr>
      </w:pPr>
      <w:r>
        <w:rPr>
          <w:rFonts w:hint="eastAsia" w:ascii="仿宋" w:hAnsi="仿宋" w:cs="仿宋"/>
          <w:szCs w:val="32"/>
        </w:rPr>
        <w:t>2023年度，市监局高新分局绩效总体目标是根据市场监督职能职责对园区内工商、食品药品、质检、文化旅游、安全等进行监督抽查及检验检测、确保安全事故的“0”发生，以及改善和优化消费环境，确保商品和服务质量得到有效保障，消费者合法权益得到有效保障，提高消费环境安全度，提高经营者诚信度，提高消费者满意度等。</w:t>
      </w:r>
    </w:p>
    <w:p>
      <w:pPr>
        <w:pStyle w:val="4"/>
        <w:ind w:firstLine="643"/>
        <w:rPr>
          <w:rFonts w:hint="eastAsia"/>
        </w:rPr>
      </w:pPr>
      <w:r>
        <w:rPr>
          <w:rFonts w:hint="eastAsia"/>
        </w:rPr>
        <w:t>2.具体目标</w:t>
      </w:r>
    </w:p>
    <w:p>
      <w:pPr>
        <w:pStyle w:val="5"/>
        <w:bidi w:val="0"/>
        <w:rPr>
          <w:rFonts w:hint="eastAsia"/>
        </w:rPr>
      </w:pPr>
      <w:r>
        <w:rPr>
          <w:rFonts w:hint="eastAsia"/>
        </w:rPr>
        <w:t>（1）开展春雷行动2023</w:t>
      </w:r>
    </w:p>
    <w:p>
      <w:pPr>
        <w:ind w:firstLine="640"/>
        <w:rPr>
          <w:rFonts w:hint="eastAsia" w:ascii="仿宋" w:hAnsi="仿宋" w:cs="仿宋"/>
        </w:rPr>
      </w:pPr>
      <w:r>
        <w:rPr>
          <w:rFonts w:hint="eastAsia" w:ascii="仿宋" w:hAnsi="仿宋" w:cs="仿宋"/>
        </w:rPr>
        <w:t>一是深入贯彻全国食安委食品安全分层分级精准防控末端发力终端见效工作机制，全面落实企业主体责任和属地管理责任。二是以医疗美容药品和医疗器械违法违规行为整治为重点，聚焦“一老一小”产品，加强药械化生产经营、储运使用、网络销售等环节监管。三是以电梯、CNG充装为重点开展特种设备安全监察，重点落实电梯到期检测、压力容器（管道）安装备案、叉车安全检测。四是针对农资、电动自行车、燃气灶具、家居建材等民生领域事故频发产品重点开展监督抽检和执法检查。牢牢守住安全底线，确保全年不发生重特大安全事故。</w:t>
      </w:r>
    </w:p>
    <w:p>
      <w:pPr>
        <w:pStyle w:val="5"/>
        <w:bidi w:val="0"/>
        <w:rPr>
          <w:rFonts w:hint="eastAsia"/>
        </w:rPr>
      </w:pPr>
      <w:r>
        <w:rPr>
          <w:rFonts w:hint="eastAsia"/>
        </w:rPr>
        <w:t>（2）创新发展服务</w:t>
      </w:r>
    </w:p>
    <w:p>
      <w:pPr>
        <w:ind w:firstLine="640"/>
        <w:rPr>
          <w:rFonts w:hint="eastAsia" w:ascii="仿宋" w:hAnsi="仿宋" w:cs="仿宋"/>
        </w:rPr>
      </w:pPr>
      <w:r>
        <w:rPr>
          <w:rFonts w:hint="eastAsia" w:ascii="仿宋" w:hAnsi="仿宋" w:cs="仿宋"/>
        </w:rPr>
        <w:t>一是持续深化商事制度改革，全年力争新增市场主体800户，超额完成“个转企”目标任务，高效完成“双随机</w:t>
      </w:r>
      <w:r>
        <w:rPr>
          <w:rFonts w:hint="eastAsia" w:ascii="仿宋" w:hAnsi="仿宋" w:cs="仿宋"/>
          <w:lang w:eastAsia="zh-CN"/>
        </w:rPr>
        <w:t>、</w:t>
      </w:r>
      <w:r>
        <w:rPr>
          <w:rFonts w:hint="eastAsia" w:ascii="仿宋" w:hAnsi="仿宋" w:cs="仿宋"/>
        </w:rPr>
        <w:t>一公开”和市场主体年报公示工作。二是加强质量强区建设，借助知识产权大市场开展知识产权创造保护运用，积极争取省级奖补项目，知识产权质押融资力争实现1</w:t>
      </w:r>
      <w:r>
        <w:rPr>
          <w:rFonts w:hint="eastAsia" w:ascii="仿宋" w:hAnsi="仿宋" w:cs="仿宋"/>
          <w:color w:val="000000"/>
          <w:kern w:val="0"/>
          <w:szCs w:val="32"/>
        </w:rPr>
        <w:t>,</w:t>
      </w:r>
      <w:r>
        <w:rPr>
          <w:rFonts w:hint="eastAsia" w:ascii="仿宋" w:hAnsi="仿宋" w:cs="仿宋"/>
        </w:rPr>
        <w:t>500.00万元。三是靠前服务项目建设，确保项目顺利推进。主动服务纵横市场、桃花山小区市场（配建）等农贸市场建设和管理运营，协助企业解决实际困难。</w:t>
      </w:r>
    </w:p>
    <w:p>
      <w:pPr>
        <w:pStyle w:val="5"/>
        <w:bidi w:val="0"/>
        <w:rPr>
          <w:rFonts w:hint="eastAsia"/>
        </w:rPr>
      </w:pPr>
      <w:r>
        <w:rPr>
          <w:rFonts w:hint="eastAsia"/>
        </w:rPr>
        <w:t>（3）优化营商环境</w:t>
      </w:r>
    </w:p>
    <w:p>
      <w:pPr>
        <w:ind w:firstLine="640"/>
        <w:rPr>
          <w:rFonts w:hint="eastAsia" w:ascii="仿宋" w:hAnsi="仿宋" w:cs="仿宋"/>
        </w:rPr>
      </w:pPr>
      <w:r>
        <w:rPr>
          <w:rFonts w:hint="eastAsia" w:ascii="仿宋" w:hAnsi="仿宋" w:cs="仿宋"/>
        </w:rPr>
        <w:t>一是积极探索开展商业秘密保护工作，争创全省商业秘密保护试点园区和企业。二是加强涉企收费监管执法，持续巩固转供电专项整治成果，切实减轻中小企业生产经营负担。三是深化放心舒心消费环境建设，健全消费维权机制，强化案件查办、行政调解和行业自律，有效降低投诉举报量和重访率，提高满意率，提升“诉转案”比例。</w:t>
      </w:r>
    </w:p>
    <w:p>
      <w:pPr>
        <w:pStyle w:val="5"/>
        <w:bidi w:val="0"/>
        <w:rPr>
          <w:rFonts w:hint="eastAsia"/>
        </w:rPr>
      </w:pPr>
      <w:r>
        <w:rPr>
          <w:rFonts w:hint="eastAsia"/>
        </w:rPr>
        <w:t>（4）坚持党建引领</w:t>
      </w:r>
    </w:p>
    <w:p>
      <w:pPr>
        <w:ind w:firstLine="640"/>
        <w:rPr>
          <w:rFonts w:hint="eastAsia" w:ascii="仿宋" w:hAnsi="仿宋" w:cs="仿宋"/>
          <w:szCs w:val="32"/>
        </w:rPr>
      </w:pPr>
      <w:r>
        <w:rPr>
          <w:rFonts w:hint="eastAsia" w:ascii="仿宋" w:hAnsi="仿宋" w:cs="仿宋"/>
        </w:rPr>
        <w:t>一是深入学习贯彻党的二十大精神，按照要求开展多种形式的学习活动，做到先学一步、深学一层。二是持续开展“万人进万企 党建促发展”活动，积极入企纾困，创建“小个专”党建示范活动阵地。三是持续强化支部建设，加强党风廉政建设，全覆盖参加业务培训，全面提升能力素质，打造廉洁自律、担当作为市场监管铁军。</w:t>
      </w:r>
    </w:p>
    <w:p>
      <w:pPr>
        <w:pStyle w:val="2"/>
        <w:ind w:firstLine="640"/>
        <w:rPr>
          <w:rFonts w:hint="eastAsia"/>
        </w:rPr>
      </w:pPr>
      <w:r>
        <w:rPr>
          <w:rFonts w:hint="eastAsia"/>
        </w:rPr>
        <w:t>三、评价思路</w:t>
      </w:r>
    </w:p>
    <w:p>
      <w:pPr>
        <w:pStyle w:val="3"/>
        <w:spacing w:before="120"/>
        <w:ind w:firstLine="643"/>
        <w:rPr>
          <w:rFonts w:hint="eastAsia"/>
        </w:rPr>
      </w:pPr>
      <w:bookmarkStart w:id="1768" w:name="_Toc14913"/>
      <w:r>
        <w:rPr>
          <w:rFonts w:hint="eastAsia"/>
        </w:rPr>
        <w:t>（一）评价思路及关注点</w:t>
      </w:r>
      <w:bookmarkEnd w:id="1768"/>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从部门整体出发，按照“职责－规划计划－重点任务－项目－资金资源配置－管理效率－履职效能”的闭环逻辑，围绕市监局高新分局部门整体绩效目标设置、资金资源统筹配置、管理效率、运行成本、履职效能、可持续发展能力及满意度等，聚焦于部门履职及管理过程的重点环节。评价要素及评价重点如下：</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战略及职责目标：部门绩效目标与部门职能职责、事业发展规划、年度工作任务和正常业绩水平是否相符；部门绩效目标能否有效反映部门履职效果。</w:t>
      </w:r>
    </w:p>
    <w:p>
      <w:pPr>
        <w:widowControl/>
        <w:ind w:firstLine="640"/>
        <w:rPr>
          <w:rFonts w:hint="eastAsia" w:ascii="仿宋" w:hAnsi="仿宋" w:cs="仿宋"/>
          <w:szCs w:val="32"/>
        </w:rPr>
      </w:pPr>
      <w:r>
        <w:rPr>
          <w:rFonts w:hint="eastAsia" w:ascii="仿宋" w:hAnsi="仿宋" w:cs="仿宋"/>
          <w:color w:val="000000"/>
          <w:kern w:val="0"/>
          <w:szCs w:val="32"/>
          <w:lang w:bidi="ar"/>
        </w:rPr>
        <w:t>资金资源统筹配置：预算支出结构与部门职能是否匹配，项目支出结构与履职需求是否相符，项目资金安排是否合理；收入预算编制是否完整。</w:t>
      </w:r>
    </w:p>
    <w:p>
      <w:pPr>
        <w:widowControl/>
        <w:ind w:firstLine="640"/>
        <w:rPr>
          <w:rFonts w:hint="eastAsia" w:ascii="仿宋" w:hAnsi="仿宋" w:cs="仿宋"/>
          <w:szCs w:val="32"/>
        </w:rPr>
      </w:pPr>
      <w:r>
        <w:rPr>
          <w:rFonts w:hint="eastAsia" w:ascii="仿宋" w:hAnsi="仿宋" w:cs="仿宋"/>
          <w:color w:val="000000"/>
          <w:kern w:val="0"/>
          <w:szCs w:val="32"/>
          <w:lang w:bidi="ar"/>
        </w:rPr>
        <w:t>管理效率：部门支出预算编制是否细化、完整，预算管理执行是否规范；部门资产管理是否规范及固定资产使用情况。</w:t>
      </w:r>
    </w:p>
    <w:p>
      <w:pPr>
        <w:widowControl/>
        <w:ind w:firstLine="640"/>
        <w:rPr>
          <w:rFonts w:hint="eastAsia" w:ascii="仿宋" w:hAnsi="仿宋" w:cs="仿宋"/>
          <w:szCs w:val="32"/>
        </w:rPr>
      </w:pPr>
      <w:r>
        <w:rPr>
          <w:rFonts w:hint="eastAsia" w:ascii="仿宋" w:hAnsi="仿宋" w:cs="仿宋"/>
          <w:color w:val="000000"/>
          <w:kern w:val="0"/>
          <w:szCs w:val="32"/>
          <w:lang w:bidi="ar"/>
        </w:rPr>
        <w:t>运行成本：公用经费、“三公”经费、培训费、会议费、机关运行经费控制情况。</w:t>
      </w:r>
    </w:p>
    <w:p>
      <w:pPr>
        <w:widowControl/>
        <w:ind w:firstLine="640"/>
        <w:rPr>
          <w:rFonts w:hint="eastAsia" w:ascii="仿宋" w:hAnsi="仿宋" w:cs="仿宋"/>
          <w:szCs w:val="32"/>
        </w:rPr>
      </w:pPr>
      <w:r>
        <w:rPr>
          <w:rFonts w:hint="eastAsia" w:ascii="仿宋" w:hAnsi="仿宋" w:cs="仿宋"/>
          <w:color w:val="000000"/>
          <w:kern w:val="0"/>
          <w:szCs w:val="32"/>
          <w:lang w:bidi="ar"/>
        </w:rPr>
        <w:t>履职工作效能：部门整体绩效目标及年度工作任务完成情况及效果，部门工作及社会服务能力。</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可持续发展：信息化建设、服务中心人才队伍建设等方面可持续发展能力；部门中长期规划是否建立；满意度评价。</w:t>
      </w:r>
    </w:p>
    <w:p>
      <w:pPr>
        <w:pStyle w:val="3"/>
        <w:spacing w:before="120"/>
        <w:ind w:firstLine="643"/>
        <w:rPr>
          <w:rFonts w:hint="eastAsia"/>
        </w:rPr>
      </w:pPr>
      <w:r>
        <w:rPr>
          <w:rFonts w:hint="eastAsia"/>
        </w:rPr>
        <w:t>（二）评价方法</w:t>
      </w:r>
    </w:p>
    <w:p>
      <w:pPr>
        <w:pStyle w:val="4"/>
        <w:ind w:firstLine="643"/>
        <w:rPr>
          <w:rFonts w:hint="eastAsia"/>
        </w:rPr>
      </w:pPr>
      <w:r>
        <w:rPr>
          <w:rFonts w:hint="eastAsia"/>
        </w:rPr>
        <w:t>1.案卷研究法</w:t>
      </w:r>
    </w:p>
    <w:p>
      <w:pPr>
        <w:widowControl/>
        <w:shd w:val="clear" w:color="auto" w:fill="FFFFFF"/>
        <w:ind w:firstLine="640"/>
        <w:rPr>
          <w:rFonts w:hint="eastAsia" w:ascii="仿宋" w:hAnsi="仿宋" w:cs="仿宋"/>
          <w:color w:val="000000"/>
          <w:kern w:val="0"/>
          <w:szCs w:val="32"/>
        </w:rPr>
      </w:pPr>
      <w:r>
        <w:rPr>
          <w:rFonts w:hint="eastAsia" w:ascii="仿宋" w:hAnsi="仿宋" w:cs="仿宋"/>
          <w:color w:val="000000"/>
          <w:kern w:val="0"/>
          <w:szCs w:val="32"/>
        </w:rPr>
        <w:t>对部门职能、中长期规划、部门年度工作计划及工作总结、部门资金使用管理情况等相关资料进行研究、比较、分析，提取重要信息。同时，查找财政管理方面政策文件及相关资料，了解</w:t>
      </w:r>
      <w:r>
        <w:rPr>
          <w:rFonts w:hint="eastAsia" w:ascii="仿宋" w:hAnsi="仿宋" w:cs="仿宋"/>
          <w:szCs w:val="32"/>
        </w:rPr>
        <w:t>市监局高新分局</w:t>
      </w:r>
      <w:r>
        <w:rPr>
          <w:rFonts w:hint="eastAsia" w:ascii="仿宋" w:hAnsi="仿宋" w:cs="仿宋"/>
          <w:color w:val="000000"/>
          <w:kern w:val="0"/>
          <w:szCs w:val="32"/>
        </w:rPr>
        <w:t>在履行部门职能、实现职责目标方面的发展现状、面临的主要问题及未来发展趋势，支撑评价工作的开展和评价结论的得出。</w:t>
      </w:r>
    </w:p>
    <w:p>
      <w:pPr>
        <w:pStyle w:val="4"/>
        <w:ind w:firstLine="643"/>
        <w:rPr>
          <w:rFonts w:hint="eastAsia"/>
        </w:rPr>
      </w:pPr>
      <w:r>
        <w:rPr>
          <w:rFonts w:hint="eastAsia"/>
        </w:rPr>
        <w:t>2.比较分析法</w:t>
      </w:r>
    </w:p>
    <w:p>
      <w:pPr>
        <w:widowControl/>
        <w:shd w:val="clear" w:color="auto" w:fill="FFFFFF"/>
        <w:ind w:firstLine="640"/>
        <w:rPr>
          <w:rFonts w:hint="eastAsia" w:ascii="仿宋" w:hAnsi="仿宋" w:cs="仿宋"/>
          <w:color w:val="000000"/>
          <w:kern w:val="0"/>
          <w:szCs w:val="32"/>
        </w:rPr>
      </w:pPr>
      <w:r>
        <w:rPr>
          <w:rFonts w:hint="eastAsia" w:ascii="仿宋" w:hAnsi="仿宋" w:cs="仿宋"/>
          <w:color w:val="000000"/>
          <w:kern w:val="0"/>
          <w:szCs w:val="32"/>
        </w:rPr>
        <w:t>通过对年度目标与实际完成情况、预算安排与执行结果进行比较，综合分析部门整体开展的效率和效果。</w:t>
      </w:r>
    </w:p>
    <w:p>
      <w:pPr>
        <w:pStyle w:val="4"/>
        <w:ind w:firstLine="643"/>
        <w:rPr>
          <w:rFonts w:hint="eastAsia"/>
        </w:rPr>
      </w:pPr>
      <w:r>
        <w:rPr>
          <w:rFonts w:hint="eastAsia"/>
        </w:rPr>
        <w:t>3.因素分析法</w:t>
      </w:r>
    </w:p>
    <w:p>
      <w:pPr>
        <w:widowControl/>
        <w:ind w:firstLine="640"/>
        <w:rPr>
          <w:rFonts w:hint="eastAsia" w:ascii="仿宋" w:hAnsi="仿宋" w:cs="仿宋"/>
          <w:szCs w:val="32"/>
        </w:rPr>
      </w:pPr>
      <w:r>
        <w:rPr>
          <w:rFonts w:hint="eastAsia" w:ascii="仿宋" w:hAnsi="仿宋" w:cs="仿宋"/>
          <w:color w:val="000000"/>
          <w:kern w:val="0"/>
          <w:szCs w:val="32"/>
          <w:lang w:bidi="ar"/>
        </w:rPr>
        <w:t>通过对收集的市监局高新分局2023年部门整体支出有关资料进行分析，了解资金的使用范围和用途，查看预算绩效目标的设置情况，综合分析影响绩效目标实现、实施效果的内外因素，评价绩效目标实现程度。</w:t>
      </w:r>
    </w:p>
    <w:p>
      <w:pPr>
        <w:pStyle w:val="4"/>
        <w:ind w:firstLine="643"/>
      </w:pPr>
      <w:r>
        <w:rPr>
          <w:rFonts w:hint="eastAsia"/>
        </w:rPr>
        <w:t>4.</w:t>
      </w:r>
      <w:r>
        <w:t>成本效益分析法</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将一定时期内的支出与效益进行对比分析，以评价绩效目标实现程度。</w:t>
      </w:r>
    </w:p>
    <w:p>
      <w:pPr>
        <w:pStyle w:val="4"/>
        <w:ind w:firstLine="643"/>
        <w:rPr>
          <w:rFonts w:hint="eastAsia"/>
        </w:rPr>
      </w:pPr>
      <w:r>
        <w:rPr>
          <w:rFonts w:hint="eastAsia"/>
        </w:rPr>
        <w:t>5.</w:t>
      </w:r>
      <w:r>
        <w:t>公众评判法</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评价组根据单位职能、职责和2023年度绩效目标完成情况，制定对应的满意度调查问卷。通过对服务对象发放满意度调查问卷作答情况，对市监局高新分局履职情况进行评判；对工作完成效果进行摸底调查，评价绩效目标实现程度。</w:t>
      </w:r>
    </w:p>
    <w:p>
      <w:pPr>
        <w:pStyle w:val="3"/>
        <w:spacing w:before="120"/>
        <w:ind w:firstLine="643"/>
        <w:rPr>
          <w:rFonts w:hint="eastAsia"/>
        </w:rPr>
      </w:pPr>
      <w:r>
        <w:rPr>
          <w:rFonts w:hint="eastAsia"/>
        </w:rPr>
        <w:t>（三）评价过程</w:t>
      </w:r>
    </w:p>
    <w:p>
      <w:pPr>
        <w:pStyle w:val="4"/>
        <w:ind w:firstLine="643"/>
        <w:rPr>
          <w:rFonts w:hint="eastAsia"/>
        </w:rPr>
      </w:pPr>
      <w:r>
        <w:rPr>
          <w:rFonts w:hint="eastAsia"/>
        </w:rPr>
        <w:t>1.前期准备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为保障此次绩效评价工作的顺利开展，我们成立了绩效评价小组并召开评价工作启动会。对市监局高新分局进行预调研，制定评价工作方案，设置评价指标体系及评分表。</w:t>
      </w:r>
    </w:p>
    <w:p>
      <w:pPr>
        <w:pStyle w:val="4"/>
        <w:ind w:firstLine="643"/>
        <w:rPr>
          <w:rFonts w:hint="eastAsia"/>
        </w:rPr>
      </w:pPr>
      <w:r>
        <w:rPr>
          <w:rFonts w:hint="eastAsia"/>
        </w:rPr>
        <w:t>2.组织实施</w:t>
      </w:r>
    </w:p>
    <w:p>
      <w:pPr>
        <w:widowControl/>
        <w:ind w:firstLine="640"/>
        <w:rPr>
          <w:rFonts w:hint="eastAsia" w:ascii="仿宋" w:hAnsi="仿宋" w:cs="仿宋"/>
          <w:szCs w:val="32"/>
        </w:rPr>
      </w:pPr>
      <w:r>
        <w:rPr>
          <w:rFonts w:hint="eastAsia" w:ascii="仿宋" w:hAnsi="仿宋" w:cs="仿宋"/>
          <w:color w:val="000000"/>
          <w:kern w:val="0"/>
          <w:szCs w:val="32"/>
          <w:lang w:bidi="ar"/>
        </w:rPr>
        <w:t>绩效评价小组按绩效工作安排在遂宁高新区财政金融局领导带领下进驻被评价单位，开展进场评价工作会议，听取了市监局高新分局对本单位绩效目标设定及完成程度，组织管理制度建立健全及落实情况，预算支出执行情况，财务管理状况，资产管理情况和预算支出执行产生的效益效果等情况介绍。遂宁高新区财政金融局领导提出本次工作目的和工作要求，指示实地评价的科学性、规范性、客观性、公正性、独立性原则。</w:t>
      </w:r>
    </w:p>
    <w:p>
      <w:pPr>
        <w:widowControl/>
        <w:ind w:firstLine="640"/>
        <w:rPr>
          <w:rFonts w:hint="eastAsia" w:ascii="仿宋" w:hAnsi="仿宋" w:cs="仿宋"/>
          <w:szCs w:val="32"/>
        </w:rPr>
      </w:pPr>
      <w:r>
        <w:rPr>
          <w:rFonts w:hint="eastAsia" w:ascii="仿宋" w:hAnsi="仿宋" w:cs="仿宋"/>
          <w:color w:val="000000"/>
          <w:kern w:val="0"/>
          <w:szCs w:val="32"/>
          <w:lang w:bidi="ar"/>
        </w:rPr>
        <w:t>入场后，我方收取现场评价资料，进行现场资料分析，复核预算收支情况，查看部门工作现场，核实单位资产规模和管理情况，结合资料实地查看部门工作实际完成状态和规模，核实各项资产保存管理状况，评价部门管理状态，查验单位工作实施的真实性和规范性，检验已完成工作的运行效果。对各部门履行职责情况的公众满意度进行调查，对具有明确受益对象的评价项目，根据需要收集的评价数据设置调查表并认真做好调查表的发放与回收工作。</w:t>
      </w:r>
    </w:p>
    <w:p>
      <w:pPr>
        <w:pStyle w:val="4"/>
        <w:ind w:firstLine="643"/>
        <w:rPr>
          <w:rFonts w:hint="eastAsia"/>
        </w:rPr>
      </w:pPr>
      <w:r>
        <w:rPr>
          <w:rFonts w:hint="eastAsia"/>
        </w:rPr>
        <w:t>3.分析评价</w:t>
      </w:r>
    </w:p>
    <w:p>
      <w:pPr>
        <w:pStyle w:val="9"/>
        <w:ind w:firstLine="640"/>
        <w:rPr>
          <w:rFonts w:hint="default" w:ascii="仿宋" w:hAnsi="仿宋" w:eastAsia="仿宋" w:cs="仿宋"/>
          <w:sz w:val="32"/>
          <w:szCs w:val="32"/>
          <w:lang w:val="en-US" w:eastAsia="zh-CN"/>
        </w:rPr>
      </w:pPr>
      <w:r>
        <w:rPr>
          <w:rFonts w:hint="eastAsia" w:ascii="仿宋" w:hAnsi="仿宋" w:eastAsia="仿宋" w:cs="仿宋"/>
          <w:sz w:val="32"/>
          <w:szCs w:val="32"/>
        </w:rPr>
        <w:t>一是合理设置评价指标体系。从决策、过程、产出、效益四个方面对项目支出总体实施成效情况进行评价。二是采取定性描述和定量分析的方法，对各项规划编制进行单一评价，评价组对自评表相关数据进行分析，对资金的投入与产出的效果进行对比，</w:t>
      </w:r>
      <w:r>
        <w:rPr>
          <w:rFonts w:hint="eastAsia" w:ascii="仿宋" w:hAnsi="仿宋" w:eastAsia="仿宋" w:cs="仿宋"/>
          <w:sz w:val="32"/>
          <w:szCs w:val="32"/>
          <w:lang w:val="en-US" w:eastAsia="zh-CN"/>
        </w:rPr>
        <w:t>初步形成绩效评价综合结论。</w:t>
      </w:r>
    </w:p>
    <w:p>
      <w:pPr>
        <w:pStyle w:val="4"/>
        <w:ind w:firstLine="643"/>
        <w:rPr>
          <w:rFonts w:hint="eastAsia"/>
        </w:rPr>
      </w:pPr>
      <w:r>
        <w:rPr>
          <w:rFonts w:hint="eastAsia"/>
        </w:rPr>
        <w:t>4.绩效评价报告</w:t>
      </w:r>
    </w:p>
    <w:p>
      <w:pPr>
        <w:pStyle w:val="5"/>
        <w:bidi w:val="0"/>
        <w:rPr>
          <w:rFonts w:hint="eastAsia"/>
        </w:rPr>
      </w:pPr>
      <w:r>
        <w:rPr>
          <w:rFonts w:hint="eastAsia"/>
        </w:rPr>
        <w:t>（1）撰写绩效评价报告</w:t>
      </w:r>
    </w:p>
    <w:p>
      <w:pPr>
        <w:widowControl/>
        <w:ind w:firstLine="640"/>
        <w:rPr>
          <w:rFonts w:hint="eastAsia" w:ascii="仿宋" w:hAnsi="仿宋" w:eastAsia="仿宋" w:cs="仿宋"/>
          <w:szCs w:val="32"/>
        </w:rPr>
      </w:pPr>
      <w:r>
        <w:rPr>
          <w:rFonts w:hint="eastAsia" w:ascii="仿宋" w:hAnsi="仿宋" w:eastAsia="仿宋" w:cs="仿宋"/>
          <w:color w:val="000000"/>
          <w:kern w:val="0"/>
          <w:szCs w:val="32"/>
          <w:lang w:bidi="ar"/>
        </w:rPr>
        <w:t>绩效评价报告的具体格式由财政部门统一制定，绩效评价人员按照规定的文本格式和协议要求撰写绩效评价报告，做到依据充分、数据真实、内容完整、客观公正、结论明确、建议可行。</w:t>
      </w:r>
    </w:p>
    <w:p>
      <w:pPr>
        <w:pStyle w:val="5"/>
        <w:bidi w:val="0"/>
        <w:rPr>
          <w:rFonts w:hint="eastAsia"/>
        </w:rPr>
      </w:pPr>
      <w:r>
        <w:rPr>
          <w:rFonts w:hint="eastAsia"/>
        </w:rPr>
        <w:t xml:space="preserve">（2）绩效评价报告交换意见 </w:t>
      </w:r>
    </w:p>
    <w:p>
      <w:pPr>
        <w:widowControl/>
        <w:ind w:firstLine="640"/>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绩效评价报告初稿完成后，根据反馈的有效意见对评价报告进行修改。如对评价报告存在意见分歧，经协商仍不能取得一致的，评价组在出具正式绩效评价报告时须同时提交被评价单位的不同意见。</w:t>
      </w:r>
    </w:p>
    <w:p>
      <w:pPr>
        <w:pStyle w:val="5"/>
        <w:bidi w:val="0"/>
        <w:rPr>
          <w:rFonts w:hint="eastAsia"/>
        </w:rPr>
      </w:pPr>
      <w:r>
        <w:rPr>
          <w:rFonts w:hint="eastAsia"/>
        </w:rPr>
        <w:t>（3）提交绩效评价报告</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eastAsia="仿宋" w:cs="仿宋"/>
          <w:color w:val="000000"/>
          <w:kern w:val="0"/>
          <w:szCs w:val="32"/>
          <w:lang w:eastAsia="zh-CN" w:bidi="ar"/>
        </w:rPr>
      </w:pPr>
      <w:r>
        <w:rPr>
          <w:rFonts w:hint="eastAsia" w:ascii="仿宋" w:hAnsi="仿宋" w:eastAsia="仿宋" w:cs="仿宋"/>
          <w:b w:val="0"/>
          <w:bCs w:val="0"/>
        </w:rPr>
        <w:t>出具遂宁市市场监督管理局高新区分局2023年度部门整体支出绩效评价报告</w:t>
      </w:r>
      <w:r>
        <w:rPr>
          <w:rFonts w:hint="eastAsia" w:ascii="仿宋" w:hAnsi="仿宋" w:eastAsia="仿宋" w:cs="仿宋"/>
          <w:b w:val="0"/>
          <w:bCs w:val="0"/>
          <w:lang w:eastAsia="zh-CN"/>
        </w:rPr>
        <w:t>。</w:t>
      </w:r>
    </w:p>
    <w:p>
      <w:pPr>
        <w:pStyle w:val="2"/>
        <w:ind w:firstLine="640"/>
        <w:rPr>
          <w:rFonts w:hint="eastAsia"/>
        </w:rPr>
      </w:pPr>
      <w:bookmarkStart w:id="1769" w:name="_Toc890"/>
      <w:r>
        <w:rPr>
          <w:rFonts w:hint="eastAsia"/>
        </w:rPr>
        <w:t>四、指标体系</w:t>
      </w:r>
      <w:bookmarkEnd w:id="1769"/>
      <w:r>
        <w:rPr>
          <w:rFonts w:hint="eastAsia"/>
        </w:rPr>
        <w:t xml:space="preserve"> </w:t>
      </w:r>
    </w:p>
    <w:p>
      <w:pPr>
        <w:pStyle w:val="3"/>
        <w:spacing w:before="120"/>
        <w:ind w:firstLine="643"/>
        <w:rPr>
          <w:rFonts w:hint="eastAsia"/>
        </w:rPr>
      </w:pPr>
      <w:bookmarkStart w:id="1770" w:name="_Toc11303"/>
      <w:r>
        <w:rPr>
          <w:rFonts w:hint="eastAsia"/>
        </w:rPr>
        <w:t>（一）评价指标的构建思路及分值分布</w:t>
      </w:r>
      <w:bookmarkEnd w:id="1770"/>
    </w:p>
    <w:p>
      <w:pPr>
        <w:widowControl/>
        <w:ind w:firstLine="640"/>
        <w:rPr>
          <w:rFonts w:hint="eastAsia" w:ascii="仿宋" w:hAnsi="仿宋" w:cs="仿宋"/>
          <w:szCs w:val="32"/>
        </w:rPr>
      </w:pPr>
      <w:r>
        <w:rPr>
          <w:rFonts w:hint="eastAsia" w:ascii="仿宋" w:hAnsi="仿宋" w:cs="仿宋"/>
          <w:color w:val="000000"/>
          <w:kern w:val="0"/>
          <w:szCs w:val="32"/>
          <w:lang w:bidi="ar"/>
        </w:rPr>
        <w:t>绩效评价指标是衡量绩效目标实现程度的考核工具。通过将绩效业绩指标化，获取具有针对性的业绩值，为开展绩效评价工作提供基础。绩效评价指标应当充分体现和真实反映项目的绩效、绩效目标的完成情况及评价的政策需要。绩效评价指标体系通常包括具体指标、指标权重、指标解释、数据来源、评价标准及评分方法等。</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对象为市监局高新分局整体支出，针对市监局高新分局的绩效指标体系建立是本次部门整体绩效综合评价的一个关键模块，在确定市监局高新分局整体支出绩效评价指标方面，我们主要考虑到三个重点：一是设置合理的绩效指标，绩效指标要能够准确清晰地反映市监局高新分局履职效果，需尽量设置为可衡量、可考核的清晰明确的指标，指标值需具有约束力；二是确定特性指标恰当的指标权重，依据相关原则，结合专家经验对各项指标重要程度进行研判，并匹配相应权重；三是针对市监局高新分局业务特点、制度改革事业发展实际建立适当评价标准，组合使用定性标准与定量标准。</w:t>
      </w:r>
    </w:p>
    <w:p>
      <w:pPr>
        <w:widowControl/>
        <w:ind w:firstLine="640"/>
        <w:jc w:val="left"/>
        <w:rPr>
          <w:rFonts w:hint="eastAsia" w:ascii="仿宋" w:hAnsi="仿宋" w:cs="仿宋"/>
          <w:color w:val="000000"/>
          <w:kern w:val="0"/>
          <w:szCs w:val="32"/>
          <w:lang w:bidi="ar"/>
        </w:rPr>
      </w:pPr>
      <w:r>
        <w:rPr>
          <w:rFonts w:hint="eastAsia" w:ascii="仿宋" w:hAnsi="仿宋" w:cs="仿宋"/>
          <w:color w:val="000000"/>
          <w:kern w:val="0"/>
          <w:szCs w:val="32"/>
          <w:lang w:bidi="ar"/>
        </w:rPr>
        <w:t>结合市监局高新分局实际情况，我方在符合国家规定的部门整体支出绩效评价指标框架要求的前提下，细化了资金使用配置、目标规划、管理效率、运行成本、履职效能和可持续等方面指标权重，根据市监局高新分局的特点针对性强化了指标考核权重。</w:t>
      </w:r>
    </w:p>
    <w:p>
      <w:pPr>
        <w:pStyle w:val="3"/>
        <w:spacing w:before="120"/>
        <w:ind w:firstLine="643"/>
        <w:rPr>
          <w:rFonts w:hint="eastAsia"/>
        </w:rPr>
      </w:pPr>
      <w:bookmarkStart w:id="1771" w:name="_Toc4019"/>
      <w:r>
        <w:rPr>
          <w:rFonts w:hint="eastAsia"/>
        </w:rPr>
        <w:t>（二）评价等级</w:t>
      </w:r>
      <w:bookmarkEnd w:id="1771"/>
    </w:p>
    <w:p>
      <w:pPr>
        <w:widowControl/>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根据《中共四川省委办公厅 四川省人民政府办公厅关于深入实施预算绩效管理的通知》（川委厅〔2022〕5号）文</w:t>
      </w:r>
      <w:r>
        <w:rPr>
          <w:rFonts w:hint="eastAsia" w:ascii="仿宋" w:hAnsi="仿宋" w:eastAsia="仿宋" w:cs="仿宋"/>
          <w:color w:val="333333"/>
          <w:sz w:val="32"/>
          <w:szCs w:val="32"/>
          <w:shd w:val="clear" w:color="auto" w:fill="FFFFFF"/>
        </w:rPr>
        <w:t>件</w:t>
      </w:r>
      <w:r>
        <w:rPr>
          <w:rFonts w:hint="eastAsia" w:ascii="仿宋" w:hAnsi="仿宋" w:eastAsia="仿宋" w:cs="仿宋"/>
          <w:color w:val="000000"/>
          <w:kern w:val="0"/>
          <w:sz w:val="32"/>
          <w:szCs w:val="32"/>
          <w:lang w:bidi="ar"/>
        </w:rPr>
        <w:t>要求，结合部门主要职能、部门工作内容以及部门项目特点，绩效评价小组在与专家组充分沟通的基础上，拟定本次遂宁市监局高新分局部门整体支出绩效评价指标体系。本部门整体支出绩效评价指标体系下设投入、过程、产出和效果4个一级指标、12个二级指标、37个三级指标。</w:t>
      </w:r>
    </w:p>
    <w:p>
      <w:pPr>
        <w:widowControl/>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绩效评价结果分为4个等级：</w:t>
      </w:r>
    </w:p>
    <w:p>
      <w:pPr>
        <w:widowControl/>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综合得分在90（含90）-100分为</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优</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bidi="ar"/>
        </w:rPr>
        <w:t>；</w:t>
      </w:r>
    </w:p>
    <w:p>
      <w:pPr>
        <w:widowControl/>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综合得分在80（含80）-90分为</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良</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bidi="ar"/>
        </w:rPr>
        <w:t>；</w:t>
      </w:r>
    </w:p>
    <w:p>
      <w:pPr>
        <w:widowControl/>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综合得分在60（含60）-80分为</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中</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bidi="ar"/>
        </w:rPr>
        <w:t>；</w:t>
      </w:r>
    </w:p>
    <w:p>
      <w:pPr>
        <w:widowControl/>
        <w:ind w:firstLine="640"/>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综合得分在60分以下为</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val="en-US" w:eastAsia="zh-CN" w:bidi="ar"/>
        </w:rPr>
        <w:t>差</w:t>
      </w:r>
      <w:r>
        <w:rPr>
          <w:rFonts w:hint="eastAsia" w:ascii="仿宋" w:hAnsi="仿宋" w:eastAsia="仿宋" w:cs="仿宋"/>
          <w:color w:val="000000"/>
          <w:kern w:val="0"/>
          <w:sz w:val="32"/>
          <w:szCs w:val="32"/>
          <w:lang w:eastAsia="zh-CN" w:bidi="ar"/>
        </w:rPr>
        <w:t>”</w:t>
      </w:r>
      <w:r>
        <w:rPr>
          <w:rFonts w:hint="eastAsia" w:ascii="仿宋" w:hAnsi="仿宋" w:eastAsia="仿宋" w:cs="仿宋"/>
          <w:color w:val="000000"/>
          <w:kern w:val="0"/>
          <w:sz w:val="32"/>
          <w:szCs w:val="32"/>
          <w:lang w:bidi="ar"/>
        </w:rPr>
        <w:t>。</w:t>
      </w:r>
    </w:p>
    <w:p>
      <w:pPr>
        <w:pStyle w:val="2"/>
        <w:ind w:firstLine="640"/>
        <w:rPr>
          <w:rFonts w:hint="eastAsia"/>
        </w:rPr>
      </w:pPr>
      <w:bookmarkStart w:id="1772" w:name="_Toc21256"/>
      <w:r>
        <w:rPr>
          <w:rFonts w:hint="eastAsia"/>
        </w:rPr>
        <w:t>五、评价结论及绩效分析</w:t>
      </w:r>
      <w:bookmarkEnd w:id="1772"/>
    </w:p>
    <w:p>
      <w:pPr>
        <w:pStyle w:val="3"/>
        <w:spacing w:before="120"/>
        <w:ind w:firstLine="643"/>
        <w:rPr>
          <w:rFonts w:hint="eastAsia"/>
        </w:rPr>
      </w:pPr>
      <w:bookmarkStart w:id="1773" w:name="_Toc27402"/>
      <w:r>
        <w:rPr>
          <w:rFonts w:hint="eastAsia"/>
        </w:rPr>
        <w:t>（一）评价结论</w:t>
      </w:r>
      <w:bookmarkEnd w:id="1773"/>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2023年，</w:t>
      </w:r>
      <w:r>
        <w:rPr>
          <w:rFonts w:hint="eastAsia" w:ascii="仿宋" w:hAnsi="仿宋" w:eastAsia="仿宋" w:cs="仿宋"/>
          <w:color w:val="000000"/>
          <w:kern w:val="0"/>
          <w:sz w:val="32"/>
          <w:szCs w:val="32"/>
          <w:lang w:bidi="ar"/>
        </w:rPr>
        <w:t>市监局高新分局</w:t>
      </w:r>
      <w:r>
        <w:rPr>
          <w:rFonts w:hint="eastAsia" w:ascii="仿宋" w:hAnsi="仿宋" w:eastAsia="仿宋" w:cs="仿宋"/>
          <w:color w:val="000000"/>
          <w:kern w:val="0"/>
          <w:sz w:val="32"/>
          <w:szCs w:val="32"/>
          <w:lang w:val="en-US" w:eastAsia="zh-CN" w:bidi="ar"/>
        </w:rPr>
        <w:t>预算资金已在当年全部到位，资金到位率100%。并根据资金的预算安排及财政资金使用相关要求在当年全部支付，当年支付率达到100%。市监局高新分局开展食品监督抽查、食用农产品快检、重工业产品抽检、特种设备安全监管、组织商业秘密培训会，申报商业秘密保护</w:t>
      </w:r>
      <w:r>
        <w:rPr>
          <w:rFonts w:hint="eastAsia" w:ascii="仿宋" w:hAnsi="仿宋" w:cs="仿宋"/>
          <w:color w:val="000000"/>
          <w:kern w:val="0"/>
          <w:sz w:val="32"/>
          <w:szCs w:val="32"/>
          <w:lang w:val="en-US" w:eastAsia="zh-CN" w:bidi="ar"/>
        </w:rPr>
        <w:t>试点</w:t>
      </w:r>
      <w:r>
        <w:rPr>
          <w:rFonts w:hint="eastAsia" w:ascii="仿宋" w:hAnsi="仿宋" w:eastAsia="仿宋" w:cs="仿宋"/>
          <w:color w:val="000000"/>
          <w:kern w:val="0"/>
          <w:sz w:val="32"/>
          <w:szCs w:val="32"/>
          <w:lang w:val="en-US" w:eastAsia="zh-CN" w:bidi="ar"/>
        </w:rPr>
        <w:t>专项服务，疫情防控物资的采购等业务活动，改善和优化了营商环境，提高了经营者诚信度，提高了消费者满意度。总体来看，</w:t>
      </w:r>
      <w:r>
        <w:rPr>
          <w:rFonts w:hint="eastAsia" w:ascii="仿宋" w:hAnsi="仿宋" w:eastAsia="仿宋" w:cs="仿宋"/>
          <w:color w:val="000000"/>
          <w:kern w:val="0"/>
          <w:sz w:val="32"/>
          <w:szCs w:val="32"/>
          <w:lang w:bidi="ar"/>
        </w:rPr>
        <w:t>市监局高新分局</w:t>
      </w:r>
      <w:r>
        <w:rPr>
          <w:rFonts w:hint="eastAsia" w:ascii="仿宋" w:hAnsi="仿宋" w:eastAsia="仿宋" w:cs="仿宋"/>
          <w:color w:val="000000"/>
          <w:kern w:val="0"/>
          <w:sz w:val="32"/>
          <w:szCs w:val="32"/>
          <w:lang w:val="en-US" w:eastAsia="zh-CN" w:bidi="ar"/>
        </w:rPr>
        <w:t>完成了部门2023年度工作任务并达到相应的绩效目标，充分发挥了</w:t>
      </w:r>
      <w:r>
        <w:rPr>
          <w:rFonts w:hint="eastAsia" w:ascii="仿宋" w:hAnsi="仿宋" w:eastAsia="仿宋" w:cs="仿宋"/>
          <w:color w:val="000000"/>
          <w:kern w:val="0"/>
          <w:sz w:val="32"/>
          <w:szCs w:val="32"/>
          <w:lang w:bidi="ar"/>
        </w:rPr>
        <w:t>市监局高新分局</w:t>
      </w:r>
      <w:r>
        <w:rPr>
          <w:rFonts w:hint="eastAsia" w:ascii="仿宋" w:hAnsi="仿宋" w:eastAsia="仿宋" w:cs="仿宋"/>
          <w:color w:val="000000"/>
          <w:kern w:val="0"/>
          <w:sz w:val="32"/>
          <w:szCs w:val="32"/>
          <w:lang w:val="en-US" w:eastAsia="zh-CN" w:bidi="ar"/>
        </w:rPr>
        <w:t>的职能。但是评价中也发现了</w:t>
      </w:r>
      <w:r>
        <w:rPr>
          <w:rFonts w:hint="eastAsia" w:ascii="仿宋" w:hAnsi="仿宋" w:eastAsia="仿宋" w:cs="仿宋"/>
          <w:color w:val="000000"/>
          <w:kern w:val="0"/>
          <w:sz w:val="32"/>
          <w:szCs w:val="32"/>
          <w:lang w:bidi="ar"/>
        </w:rPr>
        <w:t>市监局高新分局</w:t>
      </w:r>
      <w:r>
        <w:rPr>
          <w:rFonts w:hint="eastAsia" w:ascii="仿宋" w:hAnsi="仿宋" w:eastAsia="仿宋" w:cs="仿宋"/>
          <w:color w:val="000000"/>
          <w:kern w:val="0"/>
          <w:sz w:val="32"/>
          <w:szCs w:val="32"/>
          <w:lang w:val="en-US" w:eastAsia="zh-CN" w:bidi="ar"/>
        </w:rPr>
        <w:t>在预算编制、资产管理、制度执行上存在的一些问题。</w:t>
      </w:r>
    </w:p>
    <w:p>
      <w:pPr>
        <w:keepNext w:val="0"/>
        <w:keepLines w:val="0"/>
        <w:pageBreakBefore w:val="0"/>
        <w:widowControl/>
        <w:kinsoku/>
        <w:wordWrap/>
        <w:overflowPunct/>
        <w:topLinePunct w:val="0"/>
        <w:autoSpaceDE/>
        <w:autoSpaceDN/>
        <w:bidi w:val="0"/>
        <w:adjustRightInd/>
        <w:snapToGrid/>
        <w:ind w:left="0" w:leftChars="0" w:firstLine="640" w:firstLineChars="200"/>
        <w:jc w:val="both"/>
        <w:textAlignment w:val="auto"/>
        <w:rPr>
          <w:rFonts w:hint="eastAsia" w:ascii="仿宋" w:hAnsi="仿宋" w:eastAsia="仿宋" w:cs="仿宋"/>
          <w:color w:val="000000"/>
          <w:kern w:val="0"/>
          <w:sz w:val="32"/>
          <w:szCs w:val="32"/>
          <w:lang w:eastAsia="zh-CN" w:bidi="ar"/>
        </w:rPr>
      </w:pPr>
      <w:r>
        <w:rPr>
          <w:rFonts w:hint="eastAsia" w:ascii="仿宋" w:hAnsi="仿宋" w:eastAsia="仿宋" w:cs="仿宋"/>
          <w:color w:val="000000"/>
          <w:kern w:val="0"/>
          <w:sz w:val="32"/>
          <w:szCs w:val="32"/>
          <w:lang w:bidi="ar"/>
        </w:rPr>
        <w:t>经综合评议，2023年度</w:t>
      </w:r>
      <w:r>
        <w:rPr>
          <w:rFonts w:hint="eastAsia" w:ascii="仿宋" w:hAnsi="仿宋" w:eastAsia="仿宋" w:cs="仿宋"/>
          <w:sz w:val="32"/>
          <w:szCs w:val="32"/>
          <w:lang w:val="en-US" w:eastAsia="zh-CN"/>
        </w:rPr>
        <w:t>市监局高新分局</w:t>
      </w:r>
      <w:r>
        <w:rPr>
          <w:rFonts w:hint="eastAsia" w:ascii="仿宋" w:hAnsi="仿宋" w:eastAsia="仿宋" w:cs="仿宋"/>
          <w:color w:val="000000"/>
          <w:kern w:val="0"/>
          <w:sz w:val="32"/>
          <w:szCs w:val="32"/>
          <w:lang w:bidi="ar"/>
        </w:rPr>
        <w:t>部门整体支出绩效评价综合得分</w:t>
      </w:r>
      <w:r>
        <w:rPr>
          <w:rFonts w:hint="eastAsia" w:ascii="仿宋" w:hAnsi="仿宋" w:eastAsia="仿宋" w:cs="仿宋"/>
          <w:color w:val="000000"/>
          <w:kern w:val="0"/>
          <w:sz w:val="32"/>
          <w:szCs w:val="32"/>
          <w:lang w:val="en-US" w:eastAsia="zh-CN" w:bidi="ar"/>
        </w:rPr>
        <w:t>8</w:t>
      </w:r>
      <w:r>
        <w:rPr>
          <w:rFonts w:hint="eastAsia" w:ascii="仿宋" w:hAnsi="仿宋" w:cs="仿宋"/>
          <w:color w:val="000000"/>
          <w:kern w:val="0"/>
          <w:sz w:val="32"/>
          <w:szCs w:val="32"/>
          <w:lang w:val="en-US" w:eastAsia="zh-CN" w:bidi="ar"/>
        </w:rPr>
        <w:t>6</w:t>
      </w:r>
      <w:r>
        <w:rPr>
          <w:rFonts w:hint="eastAsia" w:ascii="仿宋" w:hAnsi="仿宋" w:eastAsia="仿宋" w:cs="仿宋"/>
          <w:color w:val="000000"/>
          <w:kern w:val="0"/>
          <w:sz w:val="32"/>
          <w:szCs w:val="32"/>
          <w:lang w:val="en-US" w:eastAsia="zh-CN" w:bidi="ar"/>
        </w:rPr>
        <w:t>.17</w:t>
      </w:r>
      <w:r>
        <w:rPr>
          <w:rFonts w:hint="eastAsia" w:ascii="仿宋" w:hAnsi="仿宋" w:eastAsia="仿宋" w:cs="仿宋"/>
          <w:color w:val="000000"/>
          <w:kern w:val="0"/>
          <w:sz w:val="32"/>
          <w:szCs w:val="32"/>
          <w:lang w:bidi="ar"/>
        </w:rPr>
        <w:t>分，综合绩效评定结论为“良”。综合评价得分情况如下</w:t>
      </w:r>
      <w:r>
        <w:rPr>
          <w:rFonts w:hint="eastAsia" w:ascii="仿宋" w:hAnsi="仿宋" w:eastAsia="仿宋" w:cs="仿宋"/>
          <w:color w:val="000000"/>
          <w:kern w:val="0"/>
          <w:sz w:val="32"/>
          <w:szCs w:val="32"/>
          <w:lang w:eastAsia="zh-CN" w:bidi="ar"/>
        </w:rPr>
        <w:t>：</w:t>
      </w:r>
    </w:p>
    <w:p>
      <w:pPr>
        <w:pStyle w:val="7"/>
        <w:ind w:left="0" w:leftChars="0" w:firstLine="0" w:firstLineChars="0"/>
        <w:rPr>
          <w:rFonts w:hint="eastAsia"/>
        </w:rPr>
      </w:pPr>
    </w:p>
    <w:p>
      <w:pPr>
        <w:keepNext w:val="0"/>
        <w:keepLines w:val="0"/>
        <w:pageBreakBefore w:val="0"/>
        <w:widowControl/>
        <w:kinsoku/>
        <w:wordWrap/>
        <w:overflowPunct/>
        <w:topLinePunct w:val="0"/>
        <w:autoSpaceDE/>
        <w:autoSpaceDN/>
        <w:bidi w:val="0"/>
        <w:adjustRightInd/>
        <w:snapToGrid/>
        <w:spacing w:before="120" w:beforeLines="50" w:after="120" w:afterLines="50" w:line="240" w:lineRule="auto"/>
        <w:ind w:firstLine="0" w:firstLineChars="0"/>
        <w:jc w:val="center"/>
        <w:textAlignment w:val="auto"/>
        <w:rPr>
          <w:rFonts w:hint="eastAsia" w:ascii="宋体" w:hAnsi="宋体" w:eastAsia="宋体" w:cs="宋体"/>
          <w:b/>
          <w:bCs/>
          <w:sz w:val="28"/>
          <w:szCs w:val="28"/>
        </w:rPr>
      </w:pPr>
      <w:r>
        <w:rPr>
          <w:rFonts w:hint="eastAsia" w:ascii="宋体" w:hAnsi="宋体" w:eastAsia="宋体" w:cs="宋体"/>
          <w:b/>
          <w:bCs/>
          <w:color w:val="000000"/>
          <w:kern w:val="0"/>
          <w:sz w:val="28"/>
          <w:szCs w:val="28"/>
          <w:lang w:bidi="ar"/>
        </w:rPr>
        <w:t>综合评价得分情况表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4"/>
        <w:gridCol w:w="2095"/>
        <w:gridCol w:w="2095"/>
        <w:gridCol w:w="2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09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一级指标</w:t>
            </w:r>
          </w:p>
        </w:tc>
        <w:tc>
          <w:tcPr>
            <w:tcW w:w="209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分值</w:t>
            </w:r>
          </w:p>
        </w:tc>
        <w:tc>
          <w:tcPr>
            <w:tcW w:w="209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w:t>
            </w:r>
          </w:p>
        </w:tc>
        <w:tc>
          <w:tcPr>
            <w:tcW w:w="209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09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投入</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.00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lang w:val="en-US" w:eastAsia="zh-CN"/>
              </w:rPr>
              <w:t>80</w:t>
            </w:r>
            <w:r>
              <w:rPr>
                <w:rFonts w:hint="eastAsia" w:ascii="宋体" w:hAnsi="宋体" w:eastAsia="宋体" w:cs="宋体"/>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09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过程</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21.50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71.67%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09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产出</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30.00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094"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效益</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20.00</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18.67</w:t>
            </w:r>
          </w:p>
        </w:tc>
        <w:tc>
          <w:tcPr>
            <w:tcW w:w="2095" w:type="dxa"/>
            <w:noWrap w:val="0"/>
            <w:vAlign w:val="center"/>
          </w:tcPr>
          <w:p>
            <w:pPr>
              <w:pStyle w:val="29"/>
              <w:spacing w:line="240" w:lineRule="auto"/>
              <w:ind w:firstLine="0" w:firstLineChars="0"/>
              <w:jc w:val="center"/>
              <w:rPr>
                <w:rFonts w:hint="eastAsia" w:ascii="宋体" w:hAnsi="宋体" w:eastAsia="宋体" w:cs="宋体"/>
                <w:sz w:val="24"/>
                <w:szCs w:val="24"/>
              </w:rPr>
            </w:pPr>
            <w:r>
              <w:rPr>
                <w:rFonts w:hint="eastAsia" w:ascii="宋体" w:hAnsi="宋体" w:eastAsia="宋体" w:cs="宋体"/>
                <w:sz w:val="24"/>
                <w:szCs w:val="24"/>
              </w:rPr>
              <w:t>93.35%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trPr>
        <w:tc>
          <w:tcPr>
            <w:tcW w:w="2094"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合 计</w:t>
            </w:r>
          </w:p>
        </w:tc>
        <w:tc>
          <w:tcPr>
            <w:tcW w:w="209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100.00</w:t>
            </w:r>
          </w:p>
        </w:tc>
        <w:tc>
          <w:tcPr>
            <w:tcW w:w="209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8</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.17</w:t>
            </w:r>
          </w:p>
        </w:tc>
        <w:tc>
          <w:tcPr>
            <w:tcW w:w="2095" w:type="dxa"/>
            <w:noWrap w:val="0"/>
            <w:vAlign w:val="center"/>
          </w:tcPr>
          <w:p>
            <w:pPr>
              <w:pStyle w:val="29"/>
              <w:spacing w:line="240" w:lineRule="auto"/>
              <w:ind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8</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.17%</w:t>
            </w:r>
          </w:p>
        </w:tc>
      </w:tr>
    </w:tbl>
    <w:p>
      <w:pPr>
        <w:pStyle w:val="3"/>
        <w:spacing w:before="120"/>
        <w:ind w:firstLine="643"/>
        <w:rPr>
          <w:rFonts w:hint="eastAsia"/>
        </w:rPr>
      </w:pPr>
      <w:bookmarkStart w:id="1774" w:name="_Toc14640"/>
      <w:r>
        <w:rPr>
          <w:rFonts w:hint="eastAsia"/>
        </w:rPr>
        <w:t>（二）指标分析</w:t>
      </w:r>
      <w:bookmarkEnd w:id="1774"/>
    </w:p>
    <w:p>
      <w:pPr>
        <w:pStyle w:val="4"/>
        <w:ind w:firstLine="643"/>
        <w:rPr>
          <w:rFonts w:hint="eastAsia"/>
        </w:rPr>
      </w:pPr>
      <w:r>
        <w:rPr>
          <w:rFonts w:hint="eastAsia" w:ascii="楷体" w:hAnsi="楷体" w:eastAsia="楷体" w:cs="楷体"/>
        </w:rPr>
        <w:t>1.</w:t>
      </w:r>
      <w:r>
        <w:rPr>
          <w:rFonts w:hint="eastAsia"/>
        </w:rPr>
        <w:t>投入指标</w:t>
      </w:r>
    </w:p>
    <w:p>
      <w:pPr>
        <w:rPr>
          <w:rFonts w:hint="eastAsia"/>
        </w:rPr>
      </w:pPr>
      <w:r>
        <w:rPr>
          <w:rFonts w:hint="eastAsia" w:ascii="仿宋" w:hAnsi="仿宋" w:eastAsia="仿宋" w:cs="仿宋"/>
          <w:color w:val="000000"/>
          <w:kern w:val="0"/>
          <w:szCs w:val="32"/>
          <w:lang w:bidi="ar"/>
        </w:rPr>
        <w:t>市监局高新分局</w:t>
      </w:r>
      <w:r>
        <w:rPr>
          <w:rFonts w:hint="eastAsia" w:ascii="仿宋" w:hAnsi="仿宋" w:cs="仿宋"/>
          <w:color w:val="000000"/>
          <w:kern w:val="0"/>
          <w:szCs w:val="32"/>
          <w:lang w:bidi="ar"/>
        </w:rPr>
        <w:t>预算基础信息符合相关规定，基础信息的真实、完整、准确是本单位预算编制数据重要基础，本部门预算编制基础是真实、完整、准确的；绩效目标设定基本符合预算管理的要求，设定的绩效目标与</w:t>
      </w:r>
      <w:r>
        <w:rPr>
          <w:rFonts w:hint="eastAsia" w:ascii="仿宋" w:hAnsi="仿宋" w:eastAsia="仿宋" w:cs="仿宋"/>
          <w:color w:val="000000"/>
          <w:kern w:val="0"/>
          <w:szCs w:val="32"/>
          <w:lang w:bidi="ar"/>
        </w:rPr>
        <w:t>市监局高新分局</w:t>
      </w:r>
      <w:r>
        <w:rPr>
          <w:rFonts w:hint="eastAsia" w:ascii="仿宋" w:hAnsi="仿宋" w:cs="仿宋"/>
          <w:color w:val="000000"/>
          <w:kern w:val="0"/>
          <w:szCs w:val="32"/>
          <w:lang w:bidi="ar"/>
        </w:rPr>
        <w:t>职责相匹配；绩效目标设置绩效指标清晰、明确，但是评价中发现预算绩效目标指标数值设置和考核存在</w:t>
      </w:r>
      <w:r>
        <w:rPr>
          <w:rFonts w:hint="eastAsia" w:ascii="仿宋" w:hAnsi="仿宋" w:cs="仿宋"/>
          <w:color w:val="000000"/>
          <w:kern w:val="0"/>
          <w:szCs w:val="32"/>
          <w:lang w:val="en-US" w:eastAsia="zh-CN" w:bidi="ar"/>
        </w:rPr>
        <w:t>不可衡量、</w:t>
      </w:r>
      <w:r>
        <w:rPr>
          <w:rFonts w:hint="eastAsia" w:ascii="仿宋" w:hAnsi="仿宋" w:cs="仿宋"/>
          <w:color w:val="000000"/>
          <w:kern w:val="0"/>
          <w:szCs w:val="32"/>
          <w:lang w:bidi="ar"/>
        </w:rPr>
        <w:t>不够科学合理之处。本项投入指标分值20.00分，得分为1</w:t>
      </w:r>
      <w:r>
        <w:rPr>
          <w:rFonts w:hint="eastAsia" w:ascii="仿宋" w:hAnsi="仿宋" w:cs="仿宋"/>
          <w:color w:val="000000"/>
          <w:kern w:val="0"/>
          <w:szCs w:val="32"/>
          <w:lang w:val="en-US" w:eastAsia="zh-CN" w:bidi="ar"/>
        </w:rPr>
        <w:t>6</w:t>
      </w:r>
      <w:r>
        <w:rPr>
          <w:rFonts w:hint="eastAsia" w:ascii="仿宋" w:hAnsi="仿宋" w:cs="仿宋"/>
          <w:color w:val="000000"/>
          <w:kern w:val="0"/>
          <w:szCs w:val="32"/>
          <w:lang w:bidi="ar"/>
        </w:rPr>
        <w:t>.00分，得分率</w:t>
      </w:r>
      <w:r>
        <w:rPr>
          <w:rFonts w:hint="eastAsia" w:ascii="仿宋" w:hAnsi="仿宋" w:cs="仿宋"/>
          <w:color w:val="000000"/>
          <w:kern w:val="0"/>
          <w:szCs w:val="32"/>
          <w:lang w:val="en-US" w:eastAsia="zh-CN" w:bidi="ar"/>
        </w:rPr>
        <w:t>80</w:t>
      </w:r>
      <w:r>
        <w:rPr>
          <w:rFonts w:hint="eastAsia" w:ascii="仿宋" w:hAnsi="仿宋" w:cs="仿宋"/>
          <w:color w:val="000000"/>
          <w:kern w:val="0"/>
          <w:szCs w:val="32"/>
          <w:lang w:bidi="ar"/>
        </w:rPr>
        <w:t>.00%。</w:t>
      </w:r>
    </w:p>
    <w:p>
      <w:pPr>
        <w:pStyle w:val="5"/>
        <w:bidi w:val="0"/>
        <w:rPr>
          <w:rFonts w:hint="eastAsia"/>
        </w:rPr>
      </w:pPr>
      <w:r>
        <w:rPr>
          <w:rFonts w:hint="eastAsia"/>
        </w:rPr>
        <w:t>（1）预算编制</w:t>
      </w:r>
    </w:p>
    <w:p>
      <w:pPr>
        <w:widowControl/>
        <w:ind w:firstLine="640"/>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市监局高新分局预算基础信息符合相关规定，基础信息的真实、完整、准确是本单位预算编制数据重要基础，本部门预算编制基础是真实、完整、准确的；绩效目标设定基本符合预算管理的要求。绩效目标设置绩效指标清晰、明确，大部分绩效指标设置能够做到细化量化可衡量，能够基本满足对本部门工作绩效的考核要求。绩效指标总体上科学、合理。同时，评价中也发现个别绩效目标设置不够完善，预算绩效目标指标数值设置和考核存在不够科学合理之处。</w:t>
      </w:r>
    </w:p>
    <w:p>
      <w:pPr>
        <w:ind w:firstLine="640"/>
        <w:rPr>
          <w:rFonts w:hint="eastAsia" w:ascii="仿宋" w:hAnsi="仿宋" w:eastAsia="仿宋" w:cs="仿宋"/>
        </w:rPr>
      </w:pPr>
      <w:r>
        <w:rPr>
          <w:rFonts w:hint="eastAsia" w:ascii="仿宋" w:hAnsi="仿宋" w:eastAsia="仿宋" w:cs="仿宋"/>
        </w:rPr>
        <w:t>1）基础信息完整性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单位提供了单位基本信息状况，机构设置状况，单位人员状况，部门职能和工作任务情况，提供的单位相关信息资料能够真实、完整，反映单位基本状况和职能所在，能够对预算编制数据的提供支撑和依据。2023年度预算基本支出基本参照单位人员和定额的公用支出来确定本年基本支出预算数额，能够按照单位职能承担本单位所属的专项项目支出的工作内容。结合相关资料分析来看，市监局高新分局预算基础信息符合相关规定，信息资料真实、完整、准确，这些基础信息是本单位预算编制数据重要基础。总体而言，预算编制基础是真实、完整、准确的。</w:t>
      </w:r>
    </w:p>
    <w:p>
      <w:pPr>
        <w:pStyle w:val="9"/>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2）绩效目标符合性</w:t>
      </w:r>
    </w:p>
    <w:p>
      <w:pPr>
        <w:widowControl/>
        <w:ind w:firstLine="640"/>
        <w:rPr>
          <w:rFonts w:hint="eastAsia"/>
        </w:rPr>
      </w:pPr>
      <w:r>
        <w:rPr>
          <w:rFonts w:hint="eastAsia" w:ascii="仿宋" w:hAnsi="仿宋" w:cs="仿宋"/>
          <w:color w:val="000000"/>
          <w:kern w:val="0"/>
          <w:szCs w:val="32"/>
          <w:lang w:bidi="ar"/>
        </w:rPr>
        <w:t>根据《遂宁市市场监督管理局高新分局绩效目标申报表》，市监局高新分局制定了年度预算总体绩效目标和具体绩效目标。其中总体目标为：</w:t>
      </w:r>
      <w:r>
        <w:rPr>
          <w:rFonts w:hint="eastAsia" w:ascii="仿宋" w:hAnsi="仿宋" w:cs="仿宋"/>
          <w:szCs w:val="32"/>
        </w:rPr>
        <w:t>打造放心舒心消费环境，维护消费者合法权益；聚焦重点领域风险管控，筑牢市场安全底线</w:t>
      </w:r>
      <w:r>
        <w:rPr>
          <w:rFonts w:hint="eastAsia" w:ascii="仿宋" w:hAnsi="仿宋" w:cs="仿宋"/>
          <w:color w:val="000000"/>
          <w:kern w:val="0"/>
          <w:szCs w:val="32"/>
          <w:lang w:bidi="ar"/>
        </w:rPr>
        <w:t>；</w:t>
      </w:r>
      <w:r>
        <w:rPr>
          <w:rFonts w:hint="eastAsia" w:ascii="仿宋" w:hAnsi="仿宋" w:cs="仿宋"/>
          <w:szCs w:val="32"/>
        </w:rPr>
        <w:t>坚持强化监管执法效能，维护公平竞争市场秩序；持续优化营商环境，激发市场活力；加强知识产权保护，激发创新动力；提升质量管理水平，推动产业发展。</w:t>
      </w:r>
      <w:r>
        <w:rPr>
          <w:rFonts w:hint="eastAsia" w:ascii="仿宋" w:hAnsi="仿宋" w:cs="仿宋"/>
          <w:color w:val="000000"/>
          <w:kern w:val="0"/>
          <w:szCs w:val="32"/>
          <w:lang w:bidi="ar"/>
        </w:rPr>
        <w:t>绩效</w:t>
      </w:r>
      <w:r>
        <w:rPr>
          <w:rFonts w:hint="eastAsia"/>
        </w:rPr>
        <w:t>目标设定符合国家法律法规、国民经济和社会发展总体规划，</w:t>
      </w:r>
      <w:r>
        <w:rPr>
          <w:rFonts w:hint="eastAsia" w:ascii="仿宋" w:hAnsi="仿宋" w:cs="仿宋"/>
          <w:color w:val="000000"/>
          <w:kern w:val="0"/>
          <w:szCs w:val="32"/>
          <w:lang w:bidi="ar"/>
        </w:rPr>
        <w:t>与部门三定方案确定的职责相匹配。绩效目标设定基本符合预算管理的要求。</w:t>
      </w:r>
    </w:p>
    <w:p>
      <w:pPr>
        <w:widowControl/>
        <w:ind w:firstLine="640"/>
        <w:rPr>
          <w:rFonts w:hint="eastAsia" w:ascii="仿宋" w:hAnsi="仿宋" w:cs="仿宋"/>
          <w:szCs w:val="32"/>
        </w:rPr>
      </w:pPr>
      <w:r>
        <w:rPr>
          <w:rFonts w:hint="eastAsia" w:ascii="仿宋" w:hAnsi="仿宋" w:cs="仿宋"/>
          <w:color w:val="000000"/>
          <w:kern w:val="0"/>
          <w:szCs w:val="32"/>
          <w:lang w:bidi="ar"/>
        </w:rPr>
        <w:t>3）绩效指标明确性</w:t>
      </w:r>
    </w:p>
    <w:p>
      <w:pPr>
        <w:widowControl/>
        <w:ind w:firstLine="640"/>
        <w:rPr>
          <w:rFonts w:hint="eastAsia" w:ascii="仿宋" w:hAnsi="仿宋" w:cs="仿宋"/>
          <w:szCs w:val="32"/>
        </w:rPr>
      </w:pPr>
      <w:r>
        <w:rPr>
          <w:rFonts w:hint="eastAsia" w:ascii="仿宋" w:hAnsi="仿宋" w:cs="仿宋"/>
          <w:color w:val="000000"/>
          <w:kern w:val="0"/>
          <w:szCs w:val="32"/>
          <w:lang w:bidi="ar"/>
        </w:rPr>
        <w:t>市监局高新分局制定了年度预算具体绩效目标并设置了各项指标。根据《市监局高新分局部门（单位）整体支出绩效目标申报表》，市监局高新分局在年度绩效总体目标的基础上，从产出数量、质量、社会效益和服务对象满意度等角度细化了各项绩效指标。本部门一级指标分为完成目标、效果指标和满意度指标三大指标，其中，完成目标下设四个二级指标，分别为数量指标、质量指标、时效指标和成本指标；效果指标下设两个二级指标，分别为：社会效益指标和可持续影响指标；满意度指标下设一个二级指标，为满意度指标。三级指标的设置基本做到明确、细致、细化、量化、可衡量。比如产出数量指标中分别明确了“公用经费控制数为26.93万元”“三公经费控制数为8.50万元”“长聘人员数8人”和“重点工作任务数6项”的数量目标；产出质量指标中“公用经费控制率”“三公经费控制率”“长聘人员资质达标率”等都设置了具体可量化的质量指标值，但个别指标设置时未充分考虑相应指标的考核依据和方法。如“项目完成及时性”对应的考核指标评判方式未明确，导致考核指标达标情况时，缺少相应的数据采集评判标准；“预防和及时妥善处置突发事件”表述不明确，不能确认是考核预防突发事件还是及时妥善处置突发事件。评价认为，总体上绩效目标设置绩效指标清晰、细化，大部分绩效指标设置清晰、目标明确。能够基本满足对本部门工作绩效的考核要求。</w:t>
      </w:r>
    </w:p>
    <w:p>
      <w:pPr>
        <w:widowControl/>
        <w:ind w:firstLine="640"/>
        <w:rPr>
          <w:rFonts w:hint="eastAsia" w:ascii="仿宋" w:hAnsi="仿宋" w:cs="仿宋"/>
          <w:szCs w:val="32"/>
        </w:rPr>
      </w:pPr>
      <w:r>
        <w:rPr>
          <w:rFonts w:hint="eastAsia" w:ascii="仿宋" w:hAnsi="仿宋" w:cs="仿宋"/>
          <w:color w:val="000000"/>
          <w:kern w:val="0"/>
          <w:szCs w:val="32"/>
          <w:lang w:bidi="ar"/>
        </w:rPr>
        <w:t>4）绩效指标科学合理性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市监局高新分局依据整体绩效目标所设定的部门项目绩效指标总体上科学、合理，能够科学合理地反映和考核本部门预算项目绩效指标。项目绩效指标的设置依据是充分的，与部门职责相匹配，与部门年度的任务和计划相对应，与本年度部门年初预算资金相匹配。但个别指标设置时未充分考虑相应指标的考核依据和方法。如效益指标：兑现及时性定性为及时、举报人满意度定性为满意。且由于年初预算金额与决算金额差异较大，导致事前绩效目标申报情况与事后目标在预算执行考核方面存在不可避免的差异。从基本情况来看，由于年初预算申报审批与实际执行存在较大的偏差，客观上存在年初预算编制的不科学不合理，导致绩效指标的预算金额在科学合理性存在偏差。</w:t>
      </w:r>
    </w:p>
    <w:p>
      <w:pPr>
        <w:pStyle w:val="5"/>
        <w:bidi w:val="0"/>
        <w:rPr>
          <w:rFonts w:hint="eastAsia"/>
        </w:rPr>
      </w:pPr>
      <w:r>
        <w:rPr>
          <w:rFonts w:hint="eastAsia"/>
        </w:rPr>
        <w:t>（2）预算配置</w:t>
      </w:r>
    </w:p>
    <w:p>
      <w:pPr>
        <w:widowControl/>
        <w:shd w:val="clear" w:color="auto" w:fill="FFFFFF"/>
        <w:ind w:firstLine="640"/>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1）在职人员控制率</w:t>
      </w:r>
    </w:p>
    <w:p>
      <w:pPr>
        <w:widowControl/>
        <w:shd w:val="clear" w:color="auto" w:fill="FFFFFF"/>
        <w:ind w:firstLine="640"/>
        <w:rPr>
          <w:rFonts w:hint="eastAsia" w:ascii="仿宋" w:hAnsi="仿宋" w:cs="仿宋"/>
          <w:color w:val="000000"/>
          <w:kern w:val="0"/>
          <w:szCs w:val="32"/>
          <w:lang w:bidi="ar"/>
        </w:rPr>
      </w:pPr>
      <w:r>
        <w:rPr>
          <w:rFonts w:hint="eastAsia" w:ascii="仿宋" w:hAnsi="仿宋" w:eastAsia="仿宋" w:cs="仿宋"/>
          <w:color w:val="000000"/>
          <w:kern w:val="0"/>
          <w:szCs w:val="32"/>
          <w:lang w:bidi="ar"/>
        </w:rPr>
        <w:t>根据三定方案，市监局高</w:t>
      </w:r>
      <w:r>
        <w:rPr>
          <w:rFonts w:hint="eastAsia" w:ascii="仿宋" w:hAnsi="仿宋" w:cs="仿宋"/>
          <w:color w:val="000000"/>
          <w:kern w:val="0"/>
          <w:szCs w:val="32"/>
          <w:lang w:bidi="ar"/>
        </w:rPr>
        <w:t>新分局遂宁高新区分局核定行政编制10名（含原物流港工商质监所行政编制2名），设局长1名（正科级）、副局长2名（副科级）。经实际查看，截至2023年底在职人员</w:t>
      </w:r>
      <w:r>
        <w:rPr>
          <w:rFonts w:hint="eastAsia" w:ascii="仿宋" w:hAnsi="仿宋" w:cs="仿宋"/>
          <w:color w:val="000000"/>
          <w:kern w:val="0"/>
          <w:szCs w:val="32"/>
          <w:lang w:val="en-US" w:eastAsia="zh-CN" w:bidi="ar"/>
        </w:rPr>
        <w:t>9</w:t>
      </w:r>
      <w:r>
        <w:rPr>
          <w:rFonts w:hint="eastAsia" w:ascii="仿宋" w:hAnsi="仿宋" w:cs="仿宋"/>
          <w:color w:val="000000"/>
          <w:kern w:val="0"/>
          <w:szCs w:val="32"/>
          <w:lang w:bidi="ar"/>
        </w:rPr>
        <w:t>人，其中</w:t>
      </w:r>
      <w:r>
        <w:rPr>
          <w:rFonts w:hint="eastAsia" w:ascii="仿宋" w:hAnsi="仿宋" w:cs="仿宋"/>
          <w:color w:val="000000"/>
          <w:kern w:val="0"/>
          <w:szCs w:val="32"/>
          <w:lang w:val="en-US" w:eastAsia="zh-CN" w:bidi="ar"/>
        </w:rPr>
        <w:t>行政人员</w:t>
      </w:r>
      <w:r>
        <w:rPr>
          <w:rFonts w:hint="eastAsia" w:ascii="仿宋" w:hAnsi="仿宋" w:cs="仿宋"/>
          <w:color w:val="000000"/>
          <w:kern w:val="0"/>
          <w:szCs w:val="32"/>
          <w:lang w:bidi="ar"/>
        </w:rPr>
        <w:t>3人，</w:t>
      </w:r>
      <w:r>
        <w:rPr>
          <w:rFonts w:hint="eastAsia" w:ascii="仿宋" w:hAnsi="仿宋" w:cs="仿宋"/>
          <w:color w:val="000000"/>
          <w:kern w:val="0"/>
          <w:szCs w:val="32"/>
          <w:lang w:val="en-US" w:eastAsia="zh-CN" w:bidi="ar"/>
        </w:rPr>
        <w:t>非参公</w:t>
      </w:r>
      <w:r>
        <w:rPr>
          <w:rFonts w:hint="eastAsia" w:ascii="仿宋" w:hAnsi="仿宋" w:cs="仿宋"/>
          <w:color w:val="000000"/>
          <w:kern w:val="0"/>
          <w:szCs w:val="32"/>
          <w:lang w:bidi="ar"/>
        </w:rPr>
        <w:t>事业人员6人。在职控制率</w:t>
      </w:r>
      <w:r>
        <w:rPr>
          <w:rFonts w:hint="eastAsia" w:ascii="仿宋" w:hAnsi="仿宋" w:cs="仿宋"/>
          <w:color w:val="000000"/>
          <w:kern w:val="0"/>
          <w:szCs w:val="32"/>
          <w:lang w:val="en-US" w:eastAsia="zh-CN" w:bidi="ar"/>
        </w:rPr>
        <w:t>9</w:t>
      </w:r>
      <w:r>
        <w:rPr>
          <w:rFonts w:hint="eastAsia" w:ascii="仿宋" w:hAnsi="仿宋" w:cs="仿宋"/>
          <w:color w:val="000000"/>
          <w:kern w:val="0"/>
          <w:szCs w:val="32"/>
          <w:lang w:bidi="ar"/>
        </w:rPr>
        <w:t>0.00%。</w:t>
      </w:r>
    </w:p>
    <w:p>
      <w:pPr>
        <w:widowControl/>
        <w:ind w:firstLine="640"/>
        <w:rPr>
          <w:rFonts w:hint="eastAsia" w:ascii="仿宋" w:hAnsi="仿宋" w:cs="仿宋"/>
          <w:szCs w:val="32"/>
        </w:rPr>
      </w:pPr>
      <w:r>
        <w:rPr>
          <w:rFonts w:hint="eastAsia" w:ascii="仿宋" w:hAnsi="仿宋" w:cs="仿宋"/>
          <w:color w:val="000000"/>
          <w:kern w:val="0"/>
          <w:szCs w:val="32"/>
          <w:lang w:bidi="ar"/>
        </w:rPr>
        <w:t>2）“三公经费”变动率</w:t>
      </w:r>
    </w:p>
    <w:p>
      <w:pPr>
        <w:pStyle w:val="8"/>
        <w:ind w:firstLine="640"/>
        <w:jc w:val="both"/>
        <w:rPr>
          <w:rFonts w:hint="eastAsia" w:ascii="仿宋" w:hAnsi="仿宋" w:cs="仿宋"/>
          <w:szCs w:val="32"/>
        </w:rPr>
      </w:pPr>
      <w:r>
        <w:rPr>
          <w:rFonts w:hint="eastAsia" w:ascii="仿宋" w:hAnsi="仿宋" w:cs="仿宋"/>
          <w:color w:val="000000"/>
          <w:kern w:val="0"/>
          <w:szCs w:val="32"/>
          <w:lang w:bidi="ar"/>
        </w:rPr>
        <w:t>2023年度市监局高新分局“三公经费”经预算调整后为1.86万元，对比2022年度市监局高新分局“三公经费”5.31万元。“三公经费”总体实现了降低，降低幅度较大。“三公经费”变动率为-64.97%，</w:t>
      </w:r>
      <w:r>
        <w:rPr>
          <w:rFonts w:hint="eastAsia"/>
        </w:rPr>
        <w:t>总体变动情况效果良好。</w:t>
      </w:r>
    </w:p>
    <w:p>
      <w:pPr>
        <w:widowControl/>
        <w:ind w:firstLine="640"/>
        <w:rPr>
          <w:rFonts w:hint="eastAsia" w:ascii="仿宋" w:hAnsi="仿宋" w:cs="仿宋"/>
          <w:szCs w:val="32"/>
        </w:rPr>
      </w:pPr>
      <w:r>
        <w:rPr>
          <w:rFonts w:hint="eastAsia" w:ascii="仿宋" w:hAnsi="仿宋" w:cs="仿宋"/>
          <w:color w:val="000000"/>
          <w:kern w:val="0"/>
          <w:szCs w:val="32"/>
          <w:lang w:bidi="ar"/>
        </w:rPr>
        <w:t>3）重点支出安排率</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市监局高新分局2023年度没有涉及四川省遂宁市委政府部署的重点项目预算安排，不涉及重点项目支出。</w:t>
      </w:r>
    </w:p>
    <w:p>
      <w:pPr>
        <w:pStyle w:val="4"/>
        <w:ind w:firstLine="643"/>
        <w:rPr>
          <w:rFonts w:hint="eastAsia" w:ascii="楷体" w:hAnsi="楷体" w:eastAsia="楷体" w:cs="楷体"/>
          <w:b/>
          <w:bCs/>
        </w:rPr>
      </w:pPr>
      <w:r>
        <w:rPr>
          <w:rFonts w:hint="eastAsia" w:ascii="楷体" w:hAnsi="楷体" w:eastAsia="楷体" w:cs="楷体"/>
          <w:b/>
          <w:bCs/>
        </w:rPr>
        <w:t>2.过程指标</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2023年度，市监局高新分局预算完成率100%，基本完成本年预算支出。预算</w:t>
      </w:r>
      <w:r>
        <w:rPr>
          <w:rFonts w:hint="eastAsia" w:ascii="仿宋" w:hAnsi="仿宋" w:cs="仿宋"/>
          <w:color w:val="000000"/>
          <w:kern w:val="0"/>
          <w:szCs w:val="32"/>
          <w:lang w:val="en-US" w:eastAsia="zh-CN" w:bidi="ar"/>
        </w:rPr>
        <w:t>调减</w:t>
      </w:r>
      <w:r>
        <w:rPr>
          <w:rFonts w:hint="eastAsia" w:ascii="仿宋" w:hAnsi="仿宋" w:cs="仿宋"/>
          <w:color w:val="000000"/>
          <w:kern w:val="0"/>
          <w:szCs w:val="32"/>
          <w:lang w:bidi="ar"/>
        </w:rPr>
        <w:t>122.55万元，预算调整率35.15%。单位预算支付能够按照支付进度进行，全年预算执行100%，能够较好地完成预算资金支付进度。本部门2023年度三公经费控制率为100%，</w:t>
      </w:r>
      <w:r>
        <w:rPr>
          <w:rFonts w:hint="eastAsia"/>
        </w:rPr>
        <w:t>基本实现控制</w:t>
      </w:r>
      <w:r>
        <w:rPr>
          <w:rFonts w:hint="eastAsia" w:ascii="仿宋" w:hAnsi="仿宋" w:cs="仿宋"/>
          <w:color w:val="000000"/>
          <w:kern w:val="0"/>
          <w:szCs w:val="32"/>
          <w:lang w:bidi="ar"/>
        </w:rPr>
        <w:t>。本单位制定了部分管理制度，但是总体上看管理制度还不够完备和全面，单位内部控制建设有待加强。本单位支出符合部门预算批复的用途，符合国家财经法规和财务管理制度规定以及有关专项资金管理办法的规定，能够严格实行国库集中支付，预算按照要求公开公示，会计信息质量控制较好，能够达到客观真实核算和监督单位实际收支的目的。资产管理制度未认真贯彻执行，资产管理混乱。本项过程指标分值30.00分，得分为21.50分，得分率71.67%。</w:t>
      </w:r>
    </w:p>
    <w:p>
      <w:pPr>
        <w:pStyle w:val="5"/>
        <w:bidi w:val="0"/>
        <w:rPr>
          <w:rFonts w:hint="eastAsia"/>
        </w:rPr>
      </w:pPr>
      <w:r>
        <w:rPr>
          <w:rFonts w:hint="eastAsia"/>
        </w:rPr>
        <w:t>（1）预算执行</w:t>
      </w:r>
    </w:p>
    <w:p>
      <w:pPr>
        <w:pStyle w:val="9"/>
        <w:ind w:firstLine="640"/>
        <w:rPr>
          <w:rFonts w:hint="eastAsia" w:ascii="仿宋" w:hAnsi="仿宋" w:eastAsia="仿宋" w:cs="仿宋"/>
          <w:sz w:val="32"/>
          <w:szCs w:val="32"/>
        </w:rPr>
      </w:pPr>
      <w:r>
        <w:rPr>
          <w:rFonts w:hint="eastAsia" w:ascii="仿宋" w:hAnsi="仿宋" w:eastAsia="仿宋" w:cs="仿宋"/>
          <w:color w:val="000000"/>
          <w:kern w:val="0"/>
          <w:sz w:val="32"/>
          <w:szCs w:val="32"/>
          <w:lang w:bidi="ar"/>
        </w:rPr>
        <w:t>1）预算完成率</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bidi="ar"/>
        </w:rPr>
      </w:pPr>
      <w:r>
        <w:rPr>
          <w:rFonts w:hint="eastAsia" w:ascii="仿宋" w:hAnsi="仿宋" w:eastAsia="仿宋" w:cs="仿宋"/>
          <w:color w:val="000000"/>
          <w:kern w:val="0"/>
          <w:szCs w:val="32"/>
          <w:lang w:bidi="ar"/>
        </w:rPr>
        <w:t>本项考核市监局高新分局部门本年度预算完成数与预算数的比率，用以反映和考核部门（单位）预算完成程度。2023年度市场监管分局年初预算为348.60万元，其中：基本支出180.36万元（人员经费支出145.67万元，公用经费支出34.69万元）占51.74%；项目支出168.24万元，占 48.26%。</w:t>
      </w:r>
      <w:r>
        <w:rPr>
          <w:rFonts w:hint="eastAsia" w:ascii="仿宋" w:hAnsi="仿宋" w:eastAsia="仿宋" w:cs="仿宋"/>
        </w:rPr>
        <w:t>后经过预算调整后的预算为226.06万元</w:t>
      </w:r>
      <w:r>
        <w:rPr>
          <w:rFonts w:hint="eastAsia" w:ascii="仿宋" w:hAnsi="仿宋" w:eastAsia="仿宋" w:cs="仿宋"/>
          <w:color w:val="000000"/>
          <w:kern w:val="0"/>
          <w:szCs w:val="32"/>
          <w:lang w:bidi="ar"/>
        </w:rPr>
        <w:t>。2023年度市监局高新分局实际支出为226.06万元，其中：基本支出75.66万元（人员经费支出51.97万元，公用经费支出23.69万元）占33.47%；项目支出150.40万元，占全年预算额100.00%。</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2）预算调整率</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rPr>
      </w:pPr>
      <w:r>
        <w:rPr>
          <w:rFonts w:hint="eastAsia" w:ascii="仿宋" w:hAnsi="仿宋" w:eastAsia="仿宋" w:cs="仿宋"/>
          <w:color w:val="000000"/>
          <w:kern w:val="0"/>
          <w:szCs w:val="32"/>
          <w:lang w:bidi="ar"/>
        </w:rPr>
        <w:t>本项考核市监局高新分局部门本年度预算调整数与预算数的比率，用以评价该部门预算的调整程度。根据2023年市监局高新分局《年度部门预算表》，年初预算数为348.60万元，全年预算数226.06万元</w:t>
      </w:r>
      <w:r>
        <w:rPr>
          <w:rFonts w:hint="eastAsia" w:ascii="仿宋" w:hAnsi="仿宋" w:cs="仿宋"/>
          <w:color w:val="000000"/>
          <w:kern w:val="0"/>
          <w:szCs w:val="32"/>
          <w:lang w:eastAsia="zh-CN" w:bidi="ar"/>
        </w:rPr>
        <w:t>。</w:t>
      </w:r>
      <w:r>
        <w:rPr>
          <w:rFonts w:hint="eastAsia" w:ascii="仿宋" w:hAnsi="仿宋" w:eastAsia="仿宋" w:cs="仿宋"/>
          <w:color w:val="000000"/>
          <w:kern w:val="0"/>
          <w:szCs w:val="32"/>
          <w:lang w:bidi="ar"/>
        </w:rPr>
        <w:t>预算调</w:t>
      </w:r>
      <w:r>
        <w:rPr>
          <w:rFonts w:hint="eastAsia" w:ascii="仿宋" w:hAnsi="仿宋" w:cs="仿宋"/>
          <w:color w:val="000000"/>
          <w:kern w:val="0"/>
          <w:szCs w:val="32"/>
          <w:lang w:val="en-US" w:eastAsia="zh-CN" w:bidi="ar"/>
        </w:rPr>
        <w:t>减</w:t>
      </w:r>
      <w:r>
        <w:rPr>
          <w:rFonts w:hint="eastAsia" w:ascii="仿宋" w:hAnsi="仿宋" w:eastAsia="仿宋" w:cs="仿宋"/>
          <w:color w:val="000000"/>
          <w:kern w:val="0"/>
          <w:szCs w:val="32"/>
          <w:lang w:bidi="ar"/>
        </w:rPr>
        <w:t>122.55万元</w:t>
      </w:r>
      <w:r>
        <w:rPr>
          <w:rFonts w:hint="eastAsia" w:ascii="仿宋" w:hAnsi="仿宋" w:cs="仿宋"/>
          <w:color w:val="000000"/>
          <w:kern w:val="0"/>
          <w:szCs w:val="32"/>
          <w:lang w:eastAsia="zh-CN" w:bidi="ar"/>
        </w:rPr>
        <w:t>，</w:t>
      </w:r>
      <w:r>
        <w:rPr>
          <w:rFonts w:hint="eastAsia" w:ascii="仿宋" w:hAnsi="仿宋" w:eastAsia="仿宋" w:cs="仿宋"/>
          <w:color w:val="000000"/>
          <w:kern w:val="0"/>
          <w:szCs w:val="32"/>
          <w:lang w:bidi="ar"/>
        </w:rPr>
        <w:t>预算调整率35.15%。调整幅度较大，主要原因是部门人员变动和工作任务变化。</w:t>
      </w:r>
      <w:r>
        <w:rPr>
          <w:rFonts w:hint="eastAsia" w:ascii="仿宋" w:hAnsi="仿宋" w:eastAsia="仿宋" w:cs="仿宋"/>
        </w:rPr>
        <w:t>其中人员变动导致预算减少</w:t>
      </w:r>
      <w:r>
        <w:rPr>
          <w:rFonts w:hint="eastAsia" w:ascii="仿宋" w:hAnsi="仿宋" w:eastAsia="仿宋" w:cs="仿宋"/>
          <w:lang w:val="en-US" w:eastAsia="zh-CN"/>
        </w:rPr>
        <w:t>93.70</w:t>
      </w:r>
      <w:r>
        <w:rPr>
          <w:rFonts w:hint="eastAsia" w:ascii="仿宋" w:hAnsi="仿宋" w:eastAsia="仿宋" w:cs="仿宋"/>
        </w:rPr>
        <w:t>万元，工作任务调整导致预算减</w:t>
      </w:r>
      <w:r>
        <w:rPr>
          <w:rFonts w:hint="eastAsia" w:ascii="仿宋" w:hAnsi="仿宋" w:eastAsia="仿宋" w:cs="仿宋"/>
          <w:lang w:val="en-US" w:eastAsia="zh-CN"/>
        </w:rPr>
        <w:t>少17.84</w:t>
      </w:r>
      <w:r>
        <w:rPr>
          <w:rFonts w:hint="eastAsia" w:ascii="仿宋" w:hAnsi="仿宋" w:eastAsia="仿宋" w:cs="仿宋"/>
        </w:rPr>
        <w:t>万元。</w:t>
      </w:r>
    </w:p>
    <w:p>
      <w:pPr>
        <w:widowControl/>
        <w:ind w:firstLine="640"/>
        <w:rPr>
          <w:rFonts w:hint="eastAsia" w:ascii="仿宋" w:hAnsi="仿宋" w:cs="仿宋"/>
          <w:szCs w:val="32"/>
        </w:rPr>
      </w:pPr>
      <w:r>
        <w:rPr>
          <w:rFonts w:hint="eastAsia" w:ascii="仿宋" w:hAnsi="仿宋" w:cs="仿宋"/>
          <w:color w:val="000000"/>
          <w:kern w:val="0"/>
          <w:szCs w:val="32"/>
          <w:lang w:bidi="ar"/>
        </w:rPr>
        <w:t>3）支付进度率</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Style w:val="24"/>
          <w:rFonts w:hint="eastAsia" w:ascii="仿宋" w:hAnsi="仿宋" w:eastAsia="仿宋" w:cs="仿宋"/>
          <w:sz w:val="32"/>
          <w:szCs w:val="32"/>
        </w:rPr>
      </w:pPr>
      <w:r>
        <w:rPr>
          <w:rFonts w:hint="eastAsia" w:ascii="仿宋" w:hAnsi="仿宋" w:eastAsia="仿宋" w:cs="仿宋"/>
          <w:color w:val="000000"/>
          <w:kern w:val="0"/>
          <w:sz w:val="32"/>
          <w:szCs w:val="32"/>
          <w:lang w:bidi="ar"/>
        </w:rPr>
        <w:t>本项考核市监局高新分局部门本年度实际支付进度与年度序时支付进度比率，用以评价该部门预算执行的及时性和均衡性程度及对本年度结转结余资金的实际控制程度。</w:t>
      </w:r>
      <w:r>
        <w:rPr>
          <w:rFonts w:hint="eastAsia" w:ascii="仿宋" w:hAnsi="仿宋" w:eastAsia="仿宋" w:cs="仿宋"/>
          <w:color w:val="000000"/>
          <w:sz w:val="32"/>
          <w:szCs w:val="32"/>
        </w:rPr>
        <w:t>经查看2023年6月、9月和11月的账目和资金支付情况，支付率分别为28.6%、51.71%和71.84%</w:t>
      </w:r>
      <w:r>
        <w:rPr>
          <w:rFonts w:hint="eastAsia" w:ascii="仿宋" w:hAnsi="仿宋" w:eastAsia="仿宋" w:cs="仿宋"/>
          <w:color w:val="000000"/>
          <w:kern w:val="0"/>
          <w:sz w:val="32"/>
          <w:szCs w:val="32"/>
          <w:lang w:bidi="ar"/>
        </w:rPr>
        <w:t>。</w:t>
      </w:r>
    </w:p>
    <w:p>
      <w:pPr>
        <w:pStyle w:val="8"/>
        <w:ind w:firstLine="640"/>
        <w:jc w:val="both"/>
        <w:rPr>
          <w:rFonts w:hint="eastAsia"/>
        </w:rPr>
      </w:pPr>
      <w:r>
        <w:rPr>
          <w:rFonts w:hint="eastAsia"/>
        </w:rPr>
        <w:t>总体而言，上半年支付进度相对滞后，但是年终总体进度执行能够与时间线相匹配，</w:t>
      </w:r>
      <w:r>
        <w:rPr>
          <w:rFonts w:hint="eastAsia"/>
          <w:lang w:val="en-US" w:eastAsia="zh-CN"/>
        </w:rPr>
        <w:t>全年</w:t>
      </w:r>
      <w:r>
        <w:rPr>
          <w:rFonts w:hint="eastAsia"/>
        </w:rPr>
        <w:t>总体进度执行较好，但是全年分期支付进度情况并不均衡，存在前期支付不足、年底大规模支付的情况。</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val="en-US" w:eastAsia="zh-CN" w:bidi="ar"/>
        </w:rPr>
        <w:t>4）</w:t>
      </w:r>
      <w:r>
        <w:rPr>
          <w:rFonts w:hint="eastAsia" w:ascii="仿宋" w:hAnsi="仿宋" w:cs="仿宋"/>
          <w:color w:val="000000"/>
          <w:kern w:val="0"/>
          <w:szCs w:val="32"/>
          <w:lang w:bidi="ar"/>
        </w:rPr>
        <w:t>结转结余率</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lang w:eastAsia="zh-CN"/>
        </w:rPr>
      </w:pPr>
      <w:r>
        <w:rPr>
          <w:rFonts w:hint="eastAsia"/>
        </w:rPr>
        <w:t>本年调整后预算为</w:t>
      </w:r>
      <w:r>
        <w:rPr>
          <w:rFonts w:hint="eastAsia" w:ascii="仿宋" w:hAnsi="仿宋" w:cs="仿宋"/>
        </w:rPr>
        <w:t>226.06万元，实际支出226.06万元，执行率100.00%，年底结转和结余数为0.00元。</w:t>
      </w:r>
      <w:r>
        <w:rPr>
          <w:rFonts w:hint="eastAsia"/>
        </w:rPr>
        <w:t>结转结余控制较好，资金使用效率较高，未造成年底资金沉淀和闲置</w:t>
      </w:r>
      <w:r>
        <w:rPr>
          <w:rFonts w:hint="eastAsia"/>
          <w:lang w:eastAsia="zh-CN"/>
        </w:rPr>
        <w:t>。</w:t>
      </w:r>
    </w:p>
    <w:p>
      <w:pPr>
        <w:widowControl/>
        <w:ind w:firstLine="640"/>
        <w:rPr>
          <w:rFonts w:hint="eastAsia" w:ascii="仿宋" w:hAnsi="仿宋" w:cs="仿宋"/>
          <w:szCs w:val="32"/>
        </w:rPr>
      </w:pPr>
      <w:r>
        <w:rPr>
          <w:rFonts w:hint="eastAsia" w:ascii="仿宋" w:hAnsi="仿宋" w:cs="仿宋"/>
          <w:color w:val="000000"/>
          <w:kern w:val="0"/>
          <w:szCs w:val="32"/>
          <w:lang w:bidi="ar"/>
        </w:rPr>
        <w:t>5）公用经费控制率</w:t>
      </w:r>
    </w:p>
    <w:p>
      <w:pPr>
        <w:keepNext w:val="0"/>
        <w:keepLines w:val="0"/>
        <w:pageBreakBefore w:val="0"/>
        <w:widowControl/>
        <w:kinsoku/>
        <w:wordWrap/>
        <w:overflowPunct/>
        <w:topLinePunct w:val="0"/>
        <w:autoSpaceDE/>
        <w:autoSpaceDN/>
        <w:bidi w:val="0"/>
        <w:adjustRightInd/>
        <w:snapToGrid/>
        <w:ind w:firstLine="640" w:firstLineChars="200"/>
        <w:jc w:val="both"/>
        <w:textAlignment w:val="auto"/>
        <w:rPr>
          <w:rFonts w:hint="eastAsia" w:ascii="仿宋" w:hAnsi="仿宋" w:eastAsia="仿宋" w:cs="仿宋"/>
          <w:color w:val="000000"/>
          <w:kern w:val="0"/>
          <w:szCs w:val="32"/>
          <w:lang w:eastAsia="zh-CN" w:bidi="ar"/>
        </w:rPr>
      </w:pPr>
      <w:r>
        <w:rPr>
          <w:rFonts w:hint="eastAsia" w:ascii="仿宋" w:hAnsi="仿宋" w:cs="仿宋"/>
          <w:color w:val="000000"/>
          <w:kern w:val="0"/>
          <w:szCs w:val="32"/>
          <w:lang w:bidi="ar"/>
        </w:rPr>
        <w:t>公用经费控制率考核实际支出的公用经费总额与预算安排的公用经费总额的比率，反映和考核部门（单位）对机构运转成本的实际控制程度</w:t>
      </w:r>
      <w:r>
        <w:rPr>
          <w:rFonts w:hint="eastAsia" w:ascii="仿宋" w:hAnsi="仿宋" w:cs="仿宋"/>
          <w:color w:val="000000"/>
          <w:kern w:val="0"/>
          <w:szCs w:val="32"/>
          <w:lang w:eastAsia="zh-CN" w:bidi="ar"/>
        </w:rPr>
        <w:t>。</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Cs w:val="32"/>
          <w:lang w:eastAsia="zh-CN"/>
        </w:rPr>
      </w:pPr>
      <w:r>
        <w:rPr>
          <w:rFonts w:hint="eastAsia" w:ascii="仿宋" w:hAnsi="仿宋" w:cs="仿宋"/>
          <w:color w:val="000000"/>
          <w:kern w:val="0"/>
          <w:szCs w:val="32"/>
          <w:lang w:bidi="ar"/>
        </w:rPr>
        <w:t>根据2023年市监局高新分局2023年度财务账目，本年预算调整后公用经费为23.69万元，2023年度公用经费支出为23.69万元。公用经费控制率为100.00%，</w:t>
      </w:r>
      <w:r>
        <w:rPr>
          <w:rFonts w:hint="eastAsia"/>
        </w:rPr>
        <w:t>公用经费使用整体未超出预算额</w:t>
      </w:r>
      <w:r>
        <w:rPr>
          <w:rFonts w:hint="eastAsia"/>
          <w:lang w:eastAsia="zh-CN"/>
        </w:rPr>
        <w:t>。</w:t>
      </w:r>
    </w:p>
    <w:p>
      <w:pPr>
        <w:widowControl/>
        <w:ind w:firstLine="640"/>
        <w:rPr>
          <w:rFonts w:hint="eastAsia" w:ascii="仿宋" w:hAnsi="仿宋" w:cs="仿宋"/>
          <w:szCs w:val="32"/>
        </w:rPr>
      </w:pPr>
      <w:r>
        <w:rPr>
          <w:rFonts w:hint="eastAsia" w:ascii="仿宋" w:hAnsi="仿宋" w:cs="仿宋"/>
          <w:color w:val="000000"/>
          <w:kern w:val="0"/>
          <w:szCs w:val="32"/>
          <w:lang w:bidi="ar"/>
        </w:rPr>
        <w:t>6）三公经费控制率</w:t>
      </w:r>
    </w:p>
    <w:p>
      <w:pPr>
        <w:pStyle w:val="8"/>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三公经费控制率考核年度“三公经费”实际支出数与预算安排数的比率，用以评价该部门“三公经费”的实际控制程度。2023年度市监局高新分局三公经费预算数为1.86万元，其中公务用车购置及运行维护费为1.83万元，公务接待费用为0.03万元。经查看账目支出情况：三公经费实际支出1.86万元，其中公务用车购置及运行维护费实际支出1.83万元，公务接待费实际支出0.03元。三公经费控制率为100.00%，</w:t>
      </w:r>
      <w:r>
        <w:rPr>
          <w:rFonts w:hint="eastAsia" w:ascii="仿宋" w:hAnsi="仿宋" w:cs="仿宋"/>
          <w:color w:val="000000"/>
          <w:kern w:val="0"/>
          <w:szCs w:val="32"/>
          <w:lang w:val="en-US" w:eastAsia="zh-CN" w:bidi="ar"/>
        </w:rPr>
        <w:t>三公</w:t>
      </w:r>
      <w:r>
        <w:rPr>
          <w:rFonts w:hint="eastAsia"/>
        </w:rPr>
        <w:t>经费使用整体未超出预算额</w:t>
      </w:r>
      <w:r>
        <w:rPr>
          <w:rFonts w:hint="eastAsia" w:ascii="仿宋" w:hAnsi="仿宋" w:cs="仿宋"/>
          <w:color w:val="000000"/>
          <w:kern w:val="0"/>
          <w:szCs w:val="32"/>
          <w:lang w:bidi="ar"/>
        </w:rPr>
        <w:t>。</w:t>
      </w:r>
    </w:p>
    <w:p>
      <w:pPr>
        <w:widowControl/>
        <w:ind w:firstLine="640"/>
        <w:rPr>
          <w:rFonts w:ascii="仿宋" w:hAnsi="仿宋" w:cs="仿宋"/>
          <w:szCs w:val="32"/>
        </w:rPr>
      </w:pPr>
      <w:r>
        <w:rPr>
          <w:rFonts w:hint="eastAsia" w:ascii="仿宋" w:hAnsi="仿宋" w:cs="仿宋"/>
          <w:color w:val="000000"/>
          <w:kern w:val="0"/>
          <w:szCs w:val="32"/>
          <w:lang w:bidi="ar"/>
        </w:rPr>
        <w:t>7）政府采购执行率</w:t>
      </w:r>
    </w:p>
    <w:p>
      <w:pPr>
        <w:pStyle w:val="8"/>
        <w:ind w:firstLine="640"/>
        <w:jc w:val="both"/>
        <w:rPr>
          <w:rFonts w:hint="eastAsia" w:ascii="仿宋" w:hAnsi="仿宋" w:cs="仿宋"/>
          <w:color w:val="000000"/>
          <w:szCs w:val="32"/>
        </w:rPr>
      </w:pPr>
      <w:r>
        <w:rPr>
          <w:rFonts w:hint="eastAsia" w:ascii="仿宋" w:hAnsi="仿宋" w:cs="仿宋"/>
          <w:szCs w:val="32"/>
        </w:rPr>
        <w:t>根据2023年度市监局高新分局批复预算情况，</w:t>
      </w:r>
      <w:r>
        <w:rPr>
          <w:rFonts w:hint="eastAsia" w:ascii="仿宋" w:hAnsi="仿宋" w:cs="仿宋"/>
          <w:color w:val="000000"/>
          <w:szCs w:val="32"/>
        </w:rPr>
        <w:t>2023年度不涉及政府采购预算。</w:t>
      </w:r>
    </w:p>
    <w:p>
      <w:pPr>
        <w:pStyle w:val="5"/>
        <w:bidi w:val="0"/>
        <w:rPr>
          <w:rFonts w:hint="eastAsia"/>
        </w:rPr>
      </w:pPr>
      <w:r>
        <w:rPr>
          <w:rFonts w:hint="eastAsia"/>
        </w:rPr>
        <w:t>（2）预算管理</w:t>
      </w:r>
    </w:p>
    <w:p>
      <w:pPr>
        <w:widowControl/>
        <w:ind w:firstLine="640"/>
        <w:rPr>
          <w:rFonts w:hint="eastAsia" w:ascii="仿宋" w:hAnsi="仿宋" w:eastAsia="仿宋" w:cs="仿宋"/>
          <w:szCs w:val="32"/>
        </w:rPr>
      </w:pPr>
      <w:r>
        <w:rPr>
          <w:rFonts w:hint="eastAsia" w:ascii="仿宋" w:hAnsi="仿宋" w:eastAsia="仿宋" w:cs="仿宋"/>
          <w:szCs w:val="32"/>
        </w:rPr>
        <w:t>1）</w:t>
      </w:r>
      <w:r>
        <w:rPr>
          <w:rFonts w:hint="eastAsia" w:ascii="仿宋" w:hAnsi="仿宋" w:eastAsia="仿宋" w:cs="仿宋"/>
          <w:color w:val="000000"/>
          <w:kern w:val="0"/>
          <w:szCs w:val="32"/>
          <w:lang w:bidi="ar"/>
        </w:rPr>
        <w:t>管理制度健全性</w:t>
      </w:r>
    </w:p>
    <w:p>
      <w:pPr>
        <w:widowControl/>
        <w:ind w:firstLine="640"/>
        <w:rPr>
          <w:rFonts w:hint="eastAsia" w:ascii="仿宋" w:hAnsi="仿宋" w:cs="仿宋"/>
          <w:color w:val="000000"/>
          <w:kern w:val="0"/>
          <w:szCs w:val="32"/>
          <w:lang w:bidi="ar"/>
        </w:rPr>
      </w:pPr>
      <w:r>
        <w:rPr>
          <w:rFonts w:hint="eastAsia" w:ascii="仿宋" w:hAnsi="仿宋" w:eastAsia="仿宋" w:cs="仿宋"/>
          <w:color w:val="000000"/>
          <w:kern w:val="0"/>
          <w:szCs w:val="32"/>
          <w:lang w:bidi="ar"/>
        </w:rPr>
        <w:t>为规范各个业务环节的管理，</w:t>
      </w:r>
      <w:r>
        <w:rPr>
          <w:rFonts w:hint="eastAsia" w:ascii="仿宋" w:hAnsi="仿宋" w:eastAsia="仿宋" w:cs="仿宋"/>
          <w:szCs w:val="32"/>
        </w:rPr>
        <w:t>遂</w:t>
      </w:r>
      <w:r>
        <w:rPr>
          <w:rFonts w:hint="eastAsia" w:ascii="仿宋" w:hAnsi="仿宋" w:cs="仿宋"/>
          <w:szCs w:val="32"/>
        </w:rPr>
        <w:t>宁市市监局高新分局高新区分</w:t>
      </w:r>
      <w:r>
        <w:rPr>
          <w:rFonts w:hint="eastAsia" w:ascii="仿宋" w:hAnsi="仿宋" w:cs="仿宋"/>
          <w:color w:val="000000"/>
          <w:kern w:val="0"/>
          <w:szCs w:val="32"/>
          <w:lang w:bidi="ar"/>
        </w:rPr>
        <w:t>制定了《财务管理制度》等正式成文制度。其他管理方面参照《遂宁市市场监督管理局高新分局内控手册（试行版）》《机关财务管理制度（试行）》《遂宁高新区财政性资金使用管理暂行办法（试行）》等制度执行。</w:t>
      </w:r>
    </w:p>
    <w:p>
      <w:pPr>
        <w:widowControl/>
        <w:ind w:firstLine="640"/>
        <w:rPr>
          <w:rFonts w:hint="eastAsia" w:ascii="仿宋" w:hAnsi="仿宋" w:cs="仿宋"/>
          <w:szCs w:val="32"/>
        </w:rPr>
      </w:pPr>
      <w:r>
        <w:rPr>
          <w:rFonts w:hint="eastAsia" w:ascii="仿宋" w:hAnsi="仿宋" w:cs="仿宋"/>
          <w:color w:val="000000"/>
          <w:kern w:val="0"/>
          <w:szCs w:val="32"/>
          <w:lang w:bidi="ar"/>
        </w:rPr>
        <w:t>2）资金使用合规性</w:t>
      </w:r>
    </w:p>
    <w:p>
      <w:pPr>
        <w:widowControl/>
        <w:ind w:firstLine="640"/>
        <w:rPr>
          <w:rFonts w:ascii="仿宋" w:hAnsi="仿宋" w:cs="仿宋"/>
          <w:color w:val="000000"/>
          <w:kern w:val="0"/>
          <w:szCs w:val="32"/>
          <w:lang w:bidi="ar"/>
        </w:rPr>
      </w:pPr>
      <w:r>
        <w:rPr>
          <w:rFonts w:hint="eastAsia" w:ascii="仿宋" w:hAnsi="仿宋" w:cs="仿宋"/>
          <w:color w:val="000000"/>
          <w:kern w:val="0"/>
          <w:szCs w:val="32"/>
          <w:lang w:bidi="ar"/>
        </w:rPr>
        <w:t>经检查市监局高新分局预算资金使用账目资料，查看单位严格执行预算批复和相关的预算财务管理制度的规定的情况，评价本部门预算资金的规范运行情况。经查看市监局高新分局预算资金支出账目和资金支出资料，支出符合部门预算批复的用途，符合国家财经法规和财务管理制度规定以及有关专项资金管理办法的规定，能够严格执行国库集中支付。</w:t>
      </w:r>
      <w:r>
        <w:rPr>
          <w:rStyle w:val="24"/>
          <w:rFonts w:hint="eastAsia" w:ascii="仿宋" w:hAnsi="仿宋" w:cs="仿宋"/>
          <w:sz w:val="32"/>
          <w:szCs w:val="32"/>
        </w:rPr>
        <w:t>未发现截留、挤占、挪用、虚列支出等情况。</w:t>
      </w:r>
    </w:p>
    <w:p>
      <w:pPr>
        <w:widowControl/>
        <w:ind w:firstLine="640"/>
        <w:rPr>
          <w:rFonts w:hint="eastAsia" w:ascii="仿宋" w:hAnsi="仿宋" w:cs="仿宋"/>
          <w:szCs w:val="32"/>
        </w:rPr>
      </w:pPr>
      <w:r>
        <w:rPr>
          <w:rFonts w:hint="eastAsia" w:ascii="仿宋" w:hAnsi="仿宋" w:cs="仿宋"/>
          <w:color w:val="000000"/>
          <w:kern w:val="0"/>
          <w:szCs w:val="32"/>
          <w:lang w:bidi="ar"/>
        </w:rPr>
        <w:t>3）预决算信息公开性</w:t>
      </w:r>
    </w:p>
    <w:p>
      <w:pPr>
        <w:widowControl/>
        <w:ind w:firstLine="640"/>
        <w:rPr>
          <w:rFonts w:hint="eastAsia" w:ascii="仿宋" w:hAnsi="仿宋" w:cs="仿宋"/>
          <w:szCs w:val="32"/>
        </w:rPr>
      </w:pPr>
      <w:r>
        <w:rPr>
          <w:rFonts w:hint="eastAsia" w:ascii="仿宋" w:hAnsi="仿宋" w:cs="仿宋"/>
          <w:color w:val="000000"/>
          <w:kern w:val="0"/>
          <w:szCs w:val="32"/>
          <w:lang w:bidi="ar"/>
        </w:rPr>
        <w:t>此次绩效评价，我们查看了市监局高新分局部门信息网站。（网站为四川省遂宁市人民政府网站，网络地址为：</w:t>
      </w:r>
      <w:r>
        <w:rPr>
          <w:rFonts w:hint="eastAsia" w:ascii="仿宋" w:hAnsi="仿宋" w:cs="仿宋"/>
          <w:color w:val="000000"/>
          <w:kern w:val="0"/>
          <w:szCs w:val="32"/>
          <w:lang w:bidi="ar"/>
        </w:rPr>
        <w:fldChar w:fldCharType="begin"/>
      </w:r>
      <w:r>
        <w:rPr>
          <w:rFonts w:hint="eastAsia" w:ascii="仿宋" w:hAnsi="仿宋" w:cs="仿宋"/>
          <w:color w:val="000000"/>
          <w:kern w:val="0"/>
          <w:szCs w:val="32"/>
          <w:lang w:bidi="ar"/>
        </w:rPr>
        <w:instrText xml:space="preserve"> HYPERLINK "https://www.suining.gov.cn/welcome" </w:instrText>
      </w:r>
      <w:r>
        <w:rPr>
          <w:rFonts w:hint="eastAsia" w:ascii="仿宋" w:hAnsi="仿宋" w:cs="仿宋"/>
          <w:color w:val="000000"/>
          <w:kern w:val="0"/>
          <w:szCs w:val="32"/>
          <w:lang w:bidi="ar"/>
        </w:rPr>
        <w:fldChar w:fldCharType="separate"/>
      </w:r>
      <w:r>
        <w:rPr>
          <w:rStyle w:val="22"/>
          <w:rFonts w:hint="eastAsia" w:ascii="仿宋" w:hAnsi="仿宋" w:cs="仿宋"/>
          <w:kern w:val="0"/>
          <w:szCs w:val="32"/>
          <w:lang w:bidi="ar"/>
        </w:rPr>
        <w:t>https://www.suining.gov.cn/welcome</w:t>
      </w:r>
      <w:r>
        <w:rPr>
          <w:rFonts w:hint="eastAsia" w:ascii="仿宋" w:hAnsi="仿宋" w:cs="仿宋"/>
          <w:color w:val="000000"/>
          <w:kern w:val="0"/>
          <w:szCs w:val="32"/>
          <w:lang w:bidi="ar"/>
        </w:rPr>
        <w:fldChar w:fldCharType="end"/>
      </w:r>
      <w:r>
        <w:rPr>
          <w:rFonts w:hint="eastAsia" w:ascii="仿宋" w:hAnsi="仿宋" w:cs="仿宋"/>
          <w:color w:val="000000"/>
          <w:kern w:val="0"/>
          <w:szCs w:val="32"/>
          <w:lang w:bidi="ar"/>
        </w:rPr>
        <w:t>），在政府信息公开－政府信息公开指南-法定主动公开内容-财政预决算公开-2023年财政预决算公开-市直园区预决算信息公开-遂宁高新区一项中显示，市监局高新分局已公开2023年度部门预算信息，但是未见2023年决算信息公开。</w:t>
      </w:r>
    </w:p>
    <w:p>
      <w:pPr>
        <w:widowControl/>
        <w:ind w:firstLine="640"/>
        <w:rPr>
          <w:rFonts w:hint="eastAsia" w:ascii="仿宋" w:hAnsi="仿宋" w:cs="仿宋"/>
          <w:szCs w:val="32"/>
        </w:rPr>
      </w:pPr>
      <w:r>
        <w:rPr>
          <w:rFonts w:hint="eastAsia" w:ascii="仿宋" w:hAnsi="仿宋" w:cs="仿宋"/>
          <w:color w:val="000000"/>
          <w:kern w:val="0"/>
          <w:szCs w:val="32"/>
          <w:lang w:bidi="ar"/>
        </w:rPr>
        <w:t>4）政府购买服务执行情况</w:t>
      </w:r>
    </w:p>
    <w:p>
      <w:pPr>
        <w:widowControl/>
        <w:ind w:firstLine="640"/>
        <w:rPr>
          <w:rFonts w:hint="eastAsia" w:ascii="仿宋" w:hAnsi="仿宋" w:cs="仿宋"/>
          <w:szCs w:val="32"/>
        </w:rPr>
      </w:pPr>
      <w:r>
        <w:rPr>
          <w:rFonts w:hint="eastAsia" w:ascii="仿宋" w:hAnsi="仿宋" w:cs="仿宋"/>
          <w:color w:val="000000"/>
          <w:kern w:val="0"/>
          <w:szCs w:val="32"/>
          <w:lang w:bidi="ar"/>
        </w:rPr>
        <w:t>2023年度市监局高新分局无政府购买服务，故此无政府购买服务执行情况。</w:t>
      </w:r>
    </w:p>
    <w:p>
      <w:pPr>
        <w:widowControl/>
        <w:ind w:firstLine="640"/>
        <w:rPr>
          <w:rFonts w:hint="eastAsia" w:ascii="仿宋" w:hAnsi="仿宋" w:cs="仿宋"/>
          <w:szCs w:val="32"/>
        </w:rPr>
      </w:pPr>
      <w:r>
        <w:rPr>
          <w:rFonts w:hint="eastAsia" w:ascii="仿宋" w:hAnsi="仿宋" w:cs="仿宋"/>
          <w:color w:val="000000"/>
          <w:kern w:val="0"/>
          <w:szCs w:val="32"/>
          <w:lang w:bidi="ar"/>
        </w:rPr>
        <w:t>5）财务信息完善性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本项考核依据《机关财务管理制度（试行）》（遂高办〔2021〕269号）</w:t>
      </w:r>
      <w:r>
        <w:rPr>
          <w:rFonts w:hint="eastAsia" w:ascii="仿宋" w:hAnsi="仿宋" w:cs="仿宋"/>
          <w:color w:val="000000"/>
          <w:kern w:val="0"/>
          <w:szCs w:val="32"/>
          <w:lang w:eastAsia="zh-CN" w:bidi="ar"/>
        </w:rPr>
        <w:t>、</w:t>
      </w:r>
      <w:r>
        <w:rPr>
          <w:rFonts w:hint="eastAsia" w:ascii="仿宋" w:hAnsi="仿宋" w:cs="仿宋"/>
          <w:szCs w:val="32"/>
        </w:rPr>
        <w:t>《遂宁高新区财政性资金使用管理暂行办法（试行）》（遂高办〔2021〕270号）</w:t>
      </w:r>
      <w:r>
        <w:rPr>
          <w:rFonts w:hint="eastAsia" w:ascii="仿宋" w:hAnsi="仿宋" w:cs="仿宋"/>
          <w:szCs w:val="32"/>
          <w:lang w:eastAsia="zh-CN"/>
        </w:rPr>
        <w:t>、</w:t>
      </w:r>
      <w:r>
        <w:rPr>
          <w:rFonts w:hint="eastAsia" w:ascii="仿宋" w:hAnsi="仿宋" w:cs="仿宋"/>
          <w:color w:val="000000"/>
          <w:kern w:val="0"/>
          <w:szCs w:val="32"/>
          <w:lang w:bidi="ar"/>
        </w:rPr>
        <w:t>《遂宁市党政机关国内公务接待管理实施办法的通知》（遂委办发</w:t>
      </w:r>
      <w:r>
        <w:rPr>
          <w:rFonts w:hint="eastAsia" w:ascii="仿宋" w:hAnsi="仿宋" w:cs="仿宋"/>
          <w:szCs w:val="32"/>
        </w:rPr>
        <w:t>〔2014〕</w:t>
      </w:r>
      <w:r>
        <w:rPr>
          <w:rFonts w:hint="eastAsia" w:ascii="仿宋" w:hAnsi="仿宋" w:cs="仿宋"/>
          <w:color w:val="000000"/>
          <w:kern w:val="0"/>
          <w:szCs w:val="32"/>
          <w:lang w:bidi="ar"/>
        </w:rPr>
        <w:t>18号）等规定，检查会计信息资料是否真实、准确、完整，用以评价该部门财务信息对预算管理工作的反映情况。</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 w:hAnsi="仿宋" w:cs="仿宋"/>
          <w:color w:val="000000"/>
          <w:kern w:val="0"/>
          <w:szCs w:val="32"/>
          <w:lang w:bidi="ar"/>
        </w:rPr>
      </w:pPr>
      <w:r>
        <w:rPr>
          <w:rFonts w:hint="eastAsia" w:ascii="仿宋" w:hAnsi="仿宋" w:cs="仿宋"/>
          <w:color w:val="000000"/>
          <w:kern w:val="0"/>
          <w:szCs w:val="32"/>
          <w:lang w:bidi="ar"/>
        </w:rPr>
        <w:t>本次评价工作发现存在记账凭证会计信息登记不够真实完善，记账凭证下方信息如会计主管、审核、记账、制单、出纳等未落款具体</w:t>
      </w:r>
      <w:r>
        <w:rPr>
          <w:rFonts w:hint="eastAsia" w:ascii="仿宋" w:hAnsi="仿宋" w:cs="仿宋"/>
          <w:color w:val="000000"/>
          <w:kern w:val="0"/>
          <w:szCs w:val="32"/>
          <w:lang w:val="en-US" w:eastAsia="zh-CN" w:bidi="ar"/>
        </w:rPr>
        <w:t>负责</w:t>
      </w:r>
      <w:r>
        <w:rPr>
          <w:rFonts w:hint="eastAsia" w:ascii="仿宋" w:hAnsi="仿宋" w:cs="仿宋"/>
          <w:color w:val="000000"/>
          <w:kern w:val="0"/>
          <w:szCs w:val="32"/>
          <w:lang w:bidi="ar"/>
        </w:rPr>
        <w:t>人员；</w:t>
      </w:r>
      <w:r>
        <w:rPr>
          <w:rFonts w:hint="eastAsia"/>
          <w:color w:val="000000"/>
        </w:rPr>
        <w:t>存在个人垫支费用但是未附付款凭证的情况，无法核实其真实有效性</w:t>
      </w:r>
      <w:r>
        <w:rPr>
          <w:rFonts w:hint="eastAsia" w:ascii="仿宋" w:hAnsi="仿宋" w:cs="仿宋"/>
          <w:color w:val="000000"/>
          <w:kern w:val="0"/>
          <w:szCs w:val="32"/>
          <w:lang w:bidi="ar"/>
        </w:rPr>
        <w:t>。影响了会计信息质量的真实性，会计登记信息不能如实可靠反映记账实际情况。</w:t>
      </w:r>
    </w:p>
    <w:p>
      <w:pPr>
        <w:pStyle w:val="5"/>
        <w:bidi w:val="0"/>
        <w:rPr>
          <w:rFonts w:hint="eastAsia"/>
        </w:rPr>
      </w:pPr>
      <w:r>
        <w:rPr>
          <w:rFonts w:hint="eastAsia"/>
        </w:rPr>
        <w:t>（3）资产管理</w:t>
      </w:r>
    </w:p>
    <w:p>
      <w:pPr>
        <w:widowControl/>
        <w:ind w:firstLine="640"/>
        <w:rPr>
          <w:rFonts w:hint="eastAsia" w:ascii="仿宋" w:hAnsi="仿宋" w:eastAsia="仿宋" w:cs="仿宋"/>
          <w:szCs w:val="32"/>
        </w:rPr>
      </w:pPr>
      <w:r>
        <w:rPr>
          <w:rFonts w:hint="eastAsia" w:ascii="仿宋" w:hAnsi="仿宋" w:eastAsia="仿宋" w:cs="仿宋"/>
          <w:color w:val="000000"/>
          <w:kern w:val="0"/>
          <w:szCs w:val="32"/>
          <w:lang w:bidi="ar"/>
        </w:rPr>
        <w:t>1）资产管理制度健全性合规性和执行度</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市监局高新分局</w:t>
      </w:r>
      <w:r>
        <w:rPr>
          <w:rFonts w:hint="eastAsia" w:ascii="仿宋" w:hAnsi="仿宋" w:eastAsia="仿宋" w:cs="仿宋"/>
          <w:color w:val="000000"/>
          <w:kern w:val="0"/>
          <w:szCs w:val="32"/>
          <w:lang w:bidi="ar"/>
        </w:rPr>
        <w:t>制定了国有资产管</w:t>
      </w:r>
      <w:r>
        <w:rPr>
          <w:rFonts w:hint="eastAsia" w:ascii="仿宋" w:hAnsi="仿宋" w:cs="仿宋"/>
          <w:color w:val="000000"/>
          <w:kern w:val="0"/>
          <w:szCs w:val="32"/>
          <w:lang w:bidi="ar"/>
        </w:rPr>
        <w:t>理制度，制度处于试行阶段。但部门未认真贯彻执行资产管理制度。如未</w:t>
      </w:r>
      <w:r>
        <w:rPr>
          <w:rFonts w:hint="eastAsia" w:ascii="仿宋" w:hAnsi="仿宋" w:cs="仿宋"/>
          <w:szCs w:val="32"/>
        </w:rPr>
        <w:t>定期或者不定期进行清查盘点工作。</w:t>
      </w:r>
    </w:p>
    <w:p>
      <w:pPr>
        <w:widowControl/>
        <w:ind w:firstLine="640"/>
        <w:rPr>
          <w:rFonts w:hint="eastAsia" w:ascii="仿宋" w:hAnsi="仿宋" w:cs="仿宋"/>
          <w:szCs w:val="32"/>
        </w:rPr>
      </w:pPr>
      <w:r>
        <w:rPr>
          <w:rFonts w:hint="eastAsia" w:ascii="仿宋" w:hAnsi="仿宋" w:cs="仿宋"/>
          <w:color w:val="000000"/>
          <w:kern w:val="0"/>
          <w:szCs w:val="32"/>
          <w:lang w:bidi="ar"/>
        </w:rPr>
        <w:t>2）资产管理规范性</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本</w:t>
      </w:r>
      <w:r>
        <w:rPr>
          <w:rFonts w:hint="eastAsia" w:ascii="仿宋" w:hAnsi="仿宋" w:cs="仿宋"/>
          <w:color w:val="000000"/>
          <w:kern w:val="0"/>
          <w:szCs w:val="32"/>
          <w:lang w:val="en-US" w:eastAsia="zh-CN" w:bidi="ar"/>
        </w:rPr>
        <w:t>单位</w:t>
      </w:r>
      <w:r>
        <w:rPr>
          <w:rFonts w:hint="eastAsia" w:ascii="仿宋" w:hAnsi="仿宋" w:cs="仿宋"/>
          <w:color w:val="000000"/>
          <w:kern w:val="0"/>
          <w:szCs w:val="32"/>
          <w:lang w:bidi="ar"/>
        </w:rPr>
        <w:t>评价工作针对的方向有①资产保存完整；②资产配置合理；③资产使用规范；④资产账务管理合规，账实相符。</w:t>
      </w:r>
    </w:p>
    <w:p>
      <w:pPr>
        <w:widowControl/>
        <w:ind w:firstLine="640"/>
        <w:rPr>
          <w:rFonts w:hint="eastAsia" w:ascii="仿宋" w:hAnsi="仿宋" w:cs="仿宋"/>
          <w:szCs w:val="32"/>
        </w:rPr>
      </w:pPr>
      <w:r>
        <w:rPr>
          <w:rFonts w:hint="eastAsia" w:ascii="仿宋" w:hAnsi="仿宋" w:cs="仿宋"/>
          <w:color w:val="000000"/>
          <w:kern w:val="0"/>
          <w:szCs w:val="32"/>
          <w:lang w:bidi="ar"/>
        </w:rPr>
        <w:t>市监局高新分局相关资产核查清点工作相对滞后，单位资产能够基本保管完好，配置相对合理。但是也存在着资产管理不到位的情况，如正常盘点工作和账实核对工作缺失、未建资产卡片、缺少验收入库手续、存在账外资产。</w:t>
      </w:r>
    </w:p>
    <w:p>
      <w:pPr>
        <w:widowControl/>
        <w:ind w:firstLine="640"/>
        <w:rPr>
          <w:rFonts w:hint="eastAsia" w:ascii="仿宋" w:hAnsi="仿宋" w:cs="仿宋"/>
          <w:szCs w:val="32"/>
        </w:rPr>
      </w:pPr>
      <w:r>
        <w:rPr>
          <w:rFonts w:hint="eastAsia" w:ascii="仿宋" w:hAnsi="仿宋" w:cs="仿宋"/>
          <w:color w:val="000000"/>
          <w:kern w:val="0"/>
          <w:szCs w:val="32"/>
          <w:lang w:bidi="ar"/>
        </w:rPr>
        <w:t>3）固定资产利用率</w:t>
      </w:r>
    </w:p>
    <w:p>
      <w:pPr>
        <w:widowControl/>
        <w:ind w:firstLine="640"/>
        <w:rPr>
          <w:rFonts w:hint="eastAsia" w:ascii="仿宋" w:hAnsi="仿宋" w:cs="仿宋"/>
          <w:szCs w:val="32"/>
          <w:lang w:eastAsia="zh-CN"/>
        </w:rPr>
      </w:pPr>
      <w:r>
        <w:rPr>
          <w:rFonts w:hint="eastAsia" w:ascii="仿宋" w:hAnsi="仿宋" w:cs="仿宋"/>
          <w:color w:val="000000"/>
          <w:kern w:val="0"/>
          <w:szCs w:val="32"/>
          <w:lang w:bidi="ar"/>
        </w:rPr>
        <w:t>2023年8月17日，评价组根据市监局高新分局资产台账，整理出《固定资产盘点登记表》，在单位财务人员陪同下对市监局高新分局资产</w:t>
      </w:r>
      <w:r>
        <w:rPr>
          <w:rFonts w:hint="eastAsia" w:ascii="仿宋" w:hAnsi="仿宋" w:cs="仿宋"/>
          <w:color w:val="000000"/>
          <w:kern w:val="0"/>
          <w:szCs w:val="32"/>
          <w:lang w:val="en-US" w:eastAsia="zh-CN" w:bidi="ar"/>
        </w:rPr>
        <w:t>保存和</w:t>
      </w:r>
      <w:r>
        <w:rPr>
          <w:rFonts w:hint="eastAsia" w:ascii="仿宋" w:hAnsi="仿宋" w:cs="仿宋"/>
          <w:color w:val="000000"/>
          <w:kern w:val="0"/>
          <w:szCs w:val="32"/>
          <w:lang w:bidi="ar"/>
        </w:rPr>
        <w:t>使用状况进行盘点，评测单位实际在用固定资产总额与所有固定资产总额的比率，考核固定资产使用的效率程度。经过实际现场盘点资产并查看资产使用状态，</w:t>
      </w:r>
      <w:r>
        <w:rPr>
          <w:rFonts w:hint="eastAsia" w:ascii="仿宋" w:hAnsi="仿宋" w:cs="仿宋"/>
          <w:szCs w:val="32"/>
        </w:rPr>
        <w:t>未见到闲置状况</w:t>
      </w:r>
      <w:r>
        <w:rPr>
          <w:rFonts w:hint="eastAsia" w:ascii="仿宋" w:hAnsi="仿宋" w:cs="仿宋"/>
          <w:szCs w:val="32"/>
          <w:lang w:eastAsia="zh-CN"/>
        </w:rPr>
        <w:t>，</w:t>
      </w:r>
      <w:r>
        <w:rPr>
          <w:rFonts w:hint="eastAsia" w:ascii="仿宋" w:hAnsi="仿宋" w:cs="仿宋"/>
          <w:szCs w:val="32"/>
          <w:lang w:val="en-US" w:eastAsia="zh-CN"/>
        </w:rPr>
        <w:t>资产全部在用，无</w:t>
      </w:r>
      <w:r>
        <w:rPr>
          <w:rFonts w:hint="eastAsia"/>
        </w:rPr>
        <w:t>损坏报废资产</w:t>
      </w:r>
      <w:r>
        <w:rPr>
          <w:rFonts w:hint="eastAsia"/>
          <w:lang w:eastAsia="zh-CN"/>
        </w:rPr>
        <w:t>，</w:t>
      </w:r>
      <w:r>
        <w:rPr>
          <w:rFonts w:hint="eastAsia"/>
          <w:lang w:val="en-US" w:eastAsia="zh-CN"/>
        </w:rPr>
        <w:t>但</w:t>
      </w:r>
      <w:r>
        <w:rPr>
          <w:rFonts w:hint="eastAsia" w:ascii="仿宋" w:hAnsi="仿宋" w:cs="仿宋"/>
          <w:szCs w:val="32"/>
          <w:lang w:val="en-US" w:eastAsia="zh-CN"/>
        </w:rPr>
        <w:t>存在未登记在账资产</w:t>
      </w:r>
      <w:r>
        <w:rPr>
          <w:rFonts w:hint="eastAsia" w:ascii="仿宋" w:hAnsi="仿宋" w:cs="仿宋"/>
          <w:szCs w:val="32"/>
        </w:rPr>
        <w:t>。</w:t>
      </w:r>
      <w:r>
        <w:rPr>
          <w:rFonts w:hint="eastAsia" w:ascii="仿宋" w:hAnsi="仿宋" w:cs="仿宋"/>
          <w:color w:val="000000"/>
          <w:kern w:val="0"/>
          <w:szCs w:val="32"/>
          <w:lang w:bidi="ar"/>
        </w:rPr>
        <w:t>市监局高新分局</w:t>
      </w:r>
      <w:r>
        <w:rPr>
          <w:rFonts w:hint="eastAsia" w:ascii="仿宋" w:hAnsi="仿宋" w:cs="仿宋"/>
          <w:szCs w:val="32"/>
        </w:rPr>
        <w:t>固定资产利用率100.00%</w:t>
      </w:r>
      <w:r>
        <w:rPr>
          <w:rFonts w:hint="eastAsia" w:ascii="仿宋" w:hAnsi="仿宋" w:cs="仿宋"/>
          <w:szCs w:val="32"/>
          <w:lang w:eastAsia="zh-CN"/>
        </w:rPr>
        <w:t>。</w:t>
      </w:r>
    </w:p>
    <w:p>
      <w:pPr>
        <w:pStyle w:val="4"/>
        <w:bidi w:val="0"/>
        <w:rPr>
          <w:rFonts w:hint="eastAsia" w:ascii="楷体" w:hAnsi="楷体" w:eastAsia="楷体" w:cs="楷体"/>
          <w:lang w:val="en-US" w:eastAsia="zh-CN"/>
        </w:rPr>
      </w:pPr>
      <w:r>
        <w:rPr>
          <w:rFonts w:hint="eastAsia" w:ascii="楷体" w:hAnsi="楷体" w:eastAsia="楷体" w:cs="楷体"/>
          <w:lang w:val="en-US" w:eastAsia="zh-CN"/>
        </w:rPr>
        <w:t>3.产出指标</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cs="仿宋"/>
          <w:szCs w:val="32"/>
        </w:rPr>
      </w:pPr>
      <w:r>
        <w:rPr>
          <w:rFonts w:hint="eastAsia" w:ascii="仿宋" w:hAnsi="仿宋" w:cs="仿宋"/>
          <w:color w:val="000000"/>
          <w:kern w:val="0"/>
          <w:szCs w:val="32"/>
          <w:lang w:bidi="ar"/>
        </w:rPr>
        <w:t>结合2023年度市监局高新分局绩效目标设定情况，此次评价对本部门工作完成情况和目标实现进行评价，2023年度市监局高新分局在培育“个转企”、处理食品药品违法行为举报、市场监管领域工作等工作任务上都完成了对应的数量目标值，在资质达标率、报告准确率等反映质量信息的指标上也达到了预设的目标。总体上，市监局高新分局2023年度圆满地完成了当年工作任务，相关成果数量和质量都是达标的。在工作履职方面，部门工作人员认真负责，</w:t>
      </w:r>
      <w:r>
        <w:rPr>
          <w:rFonts w:hint="eastAsia" w:ascii="仿宋" w:hAnsi="仿宋" w:cs="仿宋"/>
          <w:szCs w:val="32"/>
        </w:rPr>
        <w:t>2023年度12315效能评价被省局评为“优秀等次”</w:t>
      </w:r>
      <w:r>
        <w:rPr>
          <w:rFonts w:hint="eastAsia" w:ascii="仿宋" w:hAnsi="仿宋" w:cs="仿宋"/>
          <w:color w:val="000000"/>
          <w:kern w:val="0"/>
          <w:szCs w:val="32"/>
          <w:lang w:bidi="ar"/>
        </w:rPr>
        <w:t>。该指标分值30.00分，得分30.00分，得分率100.00%。</w:t>
      </w:r>
    </w:p>
    <w:p>
      <w:pPr>
        <w:pStyle w:val="5"/>
        <w:bidi w:val="0"/>
        <w:rPr>
          <w:rFonts w:hint="eastAsia"/>
        </w:rPr>
      </w:pPr>
      <w:r>
        <w:rPr>
          <w:rFonts w:hint="eastAsia"/>
        </w:rPr>
        <w:t>（1）产出数量</w:t>
      </w:r>
    </w:p>
    <w:p>
      <w:pPr>
        <w:pStyle w:val="9"/>
        <w:ind w:firstLine="640"/>
        <w:rPr>
          <w:rFonts w:hint="eastAsia" w:ascii="仿宋" w:hAnsi="仿宋" w:eastAsia="仿宋" w:cs="仿宋"/>
          <w:sz w:val="32"/>
          <w:szCs w:val="32"/>
        </w:rPr>
      </w:pPr>
      <w:r>
        <w:rPr>
          <w:rFonts w:hint="eastAsia" w:ascii="仿宋" w:hAnsi="仿宋" w:eastAsia="仿宋" w:cs="仿宋"/>
          <w:sz w:val="32"/>
          <w:szCs w:val="32"/>
        </w:rPr>
        <w:t>1）培育“个转企”</w:t>
      </w:r>
    </w:p>
    <w:p>
      <w:pPr>
        <w:widowControl/>
        <w:shd w:val="clear" w:color="auto" w:fill="FFFFFF"/>
        <w:ind w:firstLine="640"/>
        <w:rPr>
          <w:rFonts w:hint="eastAsia" w:ascii="仿宋" w:hAnsi="仿宋" w:cs="仿宋"/>
          <w:color w:val="000000"/>
          <w:kern w:val="0"/>
          <w:szCs w:val="32"/>
        </w:rPr>
      </w:pPr>
      <w:r>
        <w:rPr>
          <w:rFonts w:hint="eastAsia" w:ascii="仿宋" w:hAnsi="仿宋" w:cs="仿宋"/>
          <w:color w:val="000000"/>
          <w:kern w:val="0"/>
          <w:szCs w:val="32"/>
        </w:rPr>
        <w:t>根据市监局高新分局2023年工作计划，由分局分管领导牵头，以激发市场活力和市场主体内生动力为着力点，持续深化“放管服”改革，优化营商环境，通过宣传引导、分类指导、优化服务等方式，推动个体工商户转型升级为企业，促进民营经济高质量发展，完成上级下达目标任务30个“个转企”</w:t>
      </w:r>
      <w:r>
        <w:rPr>
          <w:rFonts w:hint="eastAsia" w:ascii="仿宋" w:hAnsi="仿宋" w:cs="仿宋"/>
          <w:color w:val="000000"/>
          <w:kern w:val="0"/>
          <w:szCs w:val="32"/>
          <w:lang w:val="en-US" w:eastAsia="zh-CN"/>
        </w:rPr>
        <w:t>的目标</w:t>
      </w:r>
      <w:r>
        <w:rPr>
          <w:rFonts w:hint="eastAsia" w:ascii="仿宋" w:hAnsi="仿宋" w:cs="仿宋"/>
          <w:color w:val="000000"/>
          <w:kern w:val="0"/>
          <w:szCs w:val="32"/>
        </w:rPr>
        <w:t>。</w:t>
      </w:r>
    </w:p>
    <w:p>
      <w:pPr>
        <w:pStyle w:val="9"/>
        <w:ind w:firstLine="640"/>
        <w:rPr>
          <w:rFonts w:hint="eastAsia" w:ascii="仿宋" w:hAnsi="仿宋" w:eastAsia="仿宋" w:cs="仿宋"/>
          <w:sz w:val="32"/>
          <w:szCs w:val="32"/>
        </w:rPr>
      </w:pPr>
      <w:r>
        <w:rPr>
          <w:rFonts w:hint="eastAsia" w:ascii="仿宋" w:hAnsi="仿宋" w:eastAsia="仿宋" w:cs="仿宋"/>
          <w:color w:val="000000"/>
          <w:kern w:val="0"/>
          <w:sz w:val="32"/>
          <w:szCs w:val="32"/>
        </w:rPr>
        <w:t>2）食品药品违法行为举报</w:t>
      </w:r>
    </w:p>
    <w:p>
      <w:pPr>
        <w:widowControl/>
        <w:ind w:firstLine="640"/>
        <w:rPr>
          <w:rFonts w:hint="eastAsia" w:ascii="仿宋" w:hAnsi="仿宋" w:cs="仿宋"/>
          <w:color w:val="000000"/>
          <w:kern w:val="0"/>
          <w:szCs w:val="32"/>
          <w:lang w:bidi="ar"/>
        </w:rPr>
      </w:pPr>
      <w:r>
        <w:rPr>
          <w:rFonts w:hint="eastAsia" w:ascii="仿宋" w:hAnsi="仿宋" w:cs="仿宋"/>
          <w:color w:val="000000"/>
          <w:kern w:val="0"/>
          <w:szCs w:val="32"/>
          <w:lang w:bidi="ar"/>
        </w:rPr>
        <w:t>市监局高新分局根据《遂宁高新区食品药品违法行为举报奖励办法》（遂高办〔2020〕232号）文件要求，对举报案件进行调查处理，并根据调查结果和奖励标准，作出奖励决定，对于跨地区的举报案件，协调相关地区食品药品监督管理部门进行调查处理，并对本行政区域内的举报查实部分进行奖励。</w:t>
      </w:r>
    </w:p>
    <w:p>
      <w:pPr>
        <w:widowControl/>
        <w:ind w:firstLine="640"/>
        <w:rPr>
          <w:rFonts w:hint="eastAsia" w:ascii="仿宋" w:hAnsi="仿宋" w:cs="仿宋"/>
          <w:color w:val="000000"/>
          <w:kern w:val="0"/>
          <w:szCs w:val="32"/>
          <w:lang w:bidi="ar"/>
        </w:rPr>
      </w:pPr>
      <w:r>
        <w:rPr>
          <w:rFonts w:hint="eastAsia" w:ascii="仿宋" w:hAnsi="仿宋" w:cs="仿宋"/>
          <w:szCs w:val="32"/>
        </w:rPr>
        <w:t>2023年共办理举报案件2067余件，办结率100%，满意率95%，为消费者挽回经济损失98万元。创新开展“3.15”国际消费者权益日主题活动，上报维权典型案例2件。</w:t>
      </w:r>
      <w:r>
        <w:rPr>
          <w:rFonts w:hint="eastAsia" w:ascii="仿宋" w:hAnsi="仿宋" w:cs="仿宋"/>
          <w:color w:val="000000"/>
          <w:kern w:val="0"/>
          <w:szCs w:val="32"/>
          <w:lang w:bidi="ar"/>
        </w:rPr>
        <w:t>2023年度未能支付食品药品违法行为举报奖励资金。</w:t>
      </w:r>
    </w:p>
    <w:p>
      <w:pPr>
        <w:pStyle w:val="9"/>
        <w:numPr>
          <w:ilvl w:val="0"/>
          <w:numId w:val="5"/>
        </w:numPr>
        <w:ind w:firstLine="640"/>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长聘人员</w:t>
      </w:r>
    </w:p>
    <w:p>
      <w:pPr>
        <w:ind w:firstLine="640"/>
        <w:rPr>
          <w:rFonts w:hint="eastAsia" w:ascii="仿宋" w:hAnsi="仿宋" w:cs="仿宋"/>
          <w:szCs w:val="32"/>
        </w:rPr>
      </w:pPr>
      <w:r>
        <w:rPr>
          <w:rFonts w:hint="eastAsia" w:ascii="仿宋" w:hAnsi="仿宋" w:cs="仿宋"/>
          <w:szCs w:val="32"/>
        </w:rPr>
        <w:t>由于本部门职能职责较多，人员较少，工作量大，为了保证工作的顺利开展，按照园区的招聘原则，市监局高新分局与拟聘请人员所在机构签订协议，签订聘请人数8人，外聘协议符合合同法的有关规定，明确双方的权利和义务，协助市监局高新分局开展日常工作。</w:t>
      </w:r>
    </w:p>
    <w:p>
      <w:pPr>
        <w:pStyle w:val="9"/>
        <w:numPr>
          <w:ilvl w:val="0"/>
          <w:numId w:val="5"/>
        </w:numPr>
        <w:ind w:firstLine="640"/>
        <w:rPr>
          <w:rFonts w:hint="eastAsia" w:ascii="仿宋" w:hAnsi="仿宋" w:eastAsia="仿宋" w:cs="仿宋"/>
          <w:sz w:val="32"/>
          <w:szCs w:val="32"/>
        </w:rPr>
      </w:pPr>
      <w:r>
        <w:rPr>
          <w:rFonts w:hint="eastAsia" w:ascii="仿宋" w:hAnsi="仿宋" w:eastAsia="仿宋" w:cs="仿宋"/>
          <w:sz w:val="32"/>
          <w:szCs w:val="32"/>
        </w:rPr>
        <w:t>市场监管领域工作</w:t>
      </w:r>
    </w:p>
    <w:p>
      <w:pPr>
        <w:ind w:firstLine="640"/>
        <w:rPr>
          <w:rFonts w:hint="eastAsia" w:ascii="仿宋" w:hAnsi="仿宋" w:cs="仿宋"/>
          <w:szCs w:val="32"/>
        </w:rPr>
      </w:pPr>
      <w:r>
        <w:rPr>
          <w:rFonts w:hint="eastAsia" w:ascii="仿宋" w:hAnsi="仿宋" w:cs="仿宋"/>
          <w:szCs w:val="32"/>
        </w:rPr>
        <w:t>市监局高新分局2023年度对辖区30家大型餐饮单位和32家零售药店安装视频监控；将辖区54家特种设备生产、使用单位的</w:t>
      </w:r>
      <w:r>
        <w:rPr>
          <w:rFonts w:hint="eastAsia" w:ascii="仿宋" w:hAnsi="仿宋" w:cs="仿宋"/>
          <w:color w:val="000000"/>
          <w:kern w:val="0"/>
          <w:szCs w:val="32"/>
        </w:rPr>
        <w:t>1635</w:t>
      </w:r>
      <w:r>
        <w:rPr>
          <w:rFonts w:hint="eastAsia" w:ascii="仿宋" w:hAnsi="仿宋" w:cs="仿宋"/>
          <w:szCs w:val="32"/>
        </w:rPr>
        <w:t>台特种设备纳入智慧监管。完成并公示食品抽检158批次，其中1批次不合格，合格率99.36%。食品农产品快检 3000 批次</w:t>
      </w:r>
      <w:r>
        <w:rPr>
          <w:rFonts w:hint="eastAsia" w:ascii="仿宋" w:hAnsi="仿宋" w:cs="仿宋"/>
          <w:szCs w:val="32"/>
          <w:lang w:eastAsia="zh-CN"/>
        </w:rPr>
        <w:t>。</w:t>
      </w:r>
      <w:r>
        <w:rPr>
          <w:rFonts w:hint="eastAsia" w:ascii="仿宋" w:hAnsi="仿宋" w:cs="仿宋"/>
          <w:szCs w:val="32"/>
        </w:rPr>
        <w:t>全年开展安全宣传和培训12场次，累计培训1600余人次。</w:t>
      </w:r>
    </w:p>
    <w:p>
      <w:pPr>
        <w:ind w:firstLine="640"/>
        <w:rPr>
          <w:rFonts w:hint="eastAsia" w:ascii="仿宋" w:hAnsi="仿宋" w:eastAsia="仿宋" w:cs="仿宋"/>
          <w:szCs w:val="32"/>
          <w:lang w:eastAsia="zh-CN"/>
        </w:rPr>
      </w:pPr>
      <w:r>
        <w:rPr>
          <w:rFonts w:hint="eastAsia" w:ascii="仿宋" w:hAnsi="仿宋" w:cs="仿宋"/>
          <w:szCs w:val="32"/>
        </w:rPr>
        <w:t>对辖区内483户食品生产经营单位和71家药械化经营单位开展监督检查，排查问题隐患268处，立案53件。</w:t>
      </w:r>
      <w:r>
        <w:rPr>
          <w:rFonts w:hint="eastAsia" w:ascii="仿宋" w:hAnsi="仿宋" w:cs="仿宋"/>
          <w:color w:val="000000"/>
          <w:kern w:val="0"/>
          <w:szCs w:val="32"/>
        </w:rPr>
        <w:t>监督检查特种设备生产及使用单位100余家次，发出监察指令书57份，发现问题137处，约谈企业3次，立案1件。</w:t>
      </w:r>
      <w:r>
        <w:rPr>
          <w:rFonts w:hint="eastAsia" w:ascii="仿宋" w:hAnsi="仿宋" w:cs="仿宋"/>
          <w:szCs w:val="32"/>
        </w:rPr>
        <w:t>安全生产检查5次，液化气瓶“夜间突击”专项行动2次，</w:t>
      </w:r>
      <w:r>
        <w:rPr>
          <w:rFonts w:hint="eastAsia" w:ascii="仿宋" w:hAnsi="仿宋" w:cs="仿宋"/>
          <w:color w:val="000000"/>
          <w:kern w:val="0"/>
          <w:szCs w:val="32"/>
        </w:rPr>
        <w:t>检查商铺600余家次，流动商贩22家，发现使用液化气瓶86家，气瓶200余支，排查隐患20处</w:t>
      </w:r>
      <w:r>
        <w:rPr>
          <w:rFonts w:hint="eastAsia" w:ascii="仿宋" w:hAnsi="仿宋" w:cs="仿宋"/>
          <w:szCs w:val="32"/>
        </w:rPr>
        <w:t>。深入开展专项执法行动，2023年共查办案件62件，处罚没款共计21万余元。柔性执法，坚持首违不罚、过罚相当及综合裁量等原则，今年以来累计办理适用从轻、减轻、不予行政处罚案件81件。开展产品质量抽检工作，制定2023年重要工业产品监督抽检计划，完成18批次抽检</w:t>
      </w:r>
      <w:r>
        <w:rPr>
          <w:rFonts w:hint="eastAsia" w:ascii="仿宋" w:hAnsi="仿宋" w:cs="仿宋"/>
          <w:szCs w:val="32"/>
          <w:lang w:eastAsia="zh-CN"/>
        </w:rPr>
        <w:t>。</w:t>
      </w:r>
    </w:p>
    <w:p>
      <w:pPr>
        <w:pStyle w:val="11"/>
        <w:ind w:firstLine="640"/>
        <w:rPr>
          <w:rFonts w:hint="eastAsia" w:ascii="仿宋" w:hAnsi="仿宋" w:cs="仿宋"/>
          <w:sz w:val="32"/>
          <w:szCs w:val="32"/>
        </w:rPr>
      </w:pPr>
      <w:r>
        <w:rPr>
          <w:rFonts w:hint="eastAsia" w:ascii="仿宋" w:hAnsi="仿宋" w:cs="仿宋"/>
          <w:sz w:val="32"/>
          <w:szCs w:val="32"/>
        </w:rPr>
        <w:t>5）省级知识产权专项资金</w:t>
      </w:r>
    </w:p>
    <w:p>
      <w:pPr>
        <w:pStyle w:val="11"/>
        <w:ind w:firstLine="640"/>
        <w:rPr>
          <w:rFonts w:hint="eastAsia" w:ascii="仿宋" w:hAnsi="仿宋" w:cs="仿宋"/>
          <w:sz w:val="32"/>
          <w:szCs w:val="32"/>
        </w:rPr>
      </w:pPr>
      <w:r>
        <w:rPr>
          <w:rFonts w:hint="eastAsia" w:ascii="仿宋" w:hAnsi="仿宋" w:cs="仿宋"/>
          <w:sz w:val="32"/>
          <w:szCs w:val="32"/>
        </w:rPr>
        <w:t>为了达到促进知识产权高质量发展，推动知识产权高效益运用、提升知识产权服务及维权保护能力等，对四川诚亿兴科技有限公司</w:t>
      </w:r>
      <w:r>
        <w:rPr>
          <w:rFonts w:hint="eastAsia" w:ascii="仿宋" w:hAnsi="仿宋" w:cs="仿宋"/>
          <w:sz w:val="32"/>
          <w:szCs w:val="32"/>
          <w:lang w:val="en-US" w:eastAsia="zh-CN"/>
        </w:rPr>
        <w:t>1家公司的</w:t>
      </w:r>
      <w:r>
        <w:rPr>
          <w:rFonts w:hint="eastAsia" w:ascii="仿宋" w:hAnsi="仿宋" w:cs="仿宋"/>
          <w:sz w:val="32"/>
          <w:szCs w:val="32"/>
        </w:rPr>
        <w:t>知识产权专利转化项目奖励补贴20.00万元。</w:t>
      </w:r>
    </w:p>
    <w:p>
      <w:pPr>
        <w:pStyle w:val="5"/>
        <w:bidi w:val="0"/>
        <w:rPr>
          <w:rFonts w:hint="eastAsia"/>
        </w:rPr>
      </w:pPr>
      <w:r>
        <w:rPr>
          <w:rFonts w:hint="eastAsia"/>
        </w:rPr>
        <w:t>（2）产出质量</w:t>
      </w:r>
    </w:p>
    <w:p>
      <w:pPr>
        <w:pStyle w:val="11"/>
        <w:ind w:firstLine="640"/>
        <w:rPr>
          <w:rFonts w:hint="eastAsia" w:ascii="仿宋" w:hAnsi="仿宋" w:cs="仿宋"/>
          <w:sz w:val="32"/>
          <w:szCs w:val="32"/>
        </w:rPr>
      </w:pPr>
      <w:r>
        <w:rPr>
          <w:rFonts w:hint="eastAsia" w:ascii="仿宋" w:hAnsi="仿宋" w:cs="仿宋"/>
          <w:sz w:val="32"/>
          <w:szCs w:val="32"/>
        </w:rPr>
        <w:t>1）“个转企”达标率</w:t>
      </w:r>
    </w:p>
    <w:p>
      <w:pPr>
        <w:pStyle w:val="11"/>
        <w:ind w:firstLine="640"/>
        <w:rPr>
          <w:rFonts w:hint="eastAsia" w:ascii="仿宋" w:hAnsi="仿宋" w:cs="仿宋"/>
          <w:sz w:val="32"/>
          <w:szCs w:val="32"/>
        </w:rPr>
      </w:pPr>
      <w:r>
        <w:rPr>
          <w:rFonts w:hint="eastAsia" w:ascii="仿宋" w:hAnsi="仿宋" w:cs="仿宋"/>
          <w:sz w:val="32"/>
          <w:szCs w:val="32"/>
        </w:rPr>
        <w:t>“个转企”激励资金兑现经费主要对2022—2023年符合领取激励资金条件的“个转企”企业进行奖励补助。上级下达目标任务分别为2022年20户、2023年30户，本级以每户0.30万元进行补助，故预算该项经费15.00万元。</w:t>
      </w:r>
      <w:r>
        <w:rPr>
          <w:rFonts w:hint="eastAsia" w:ascii="仿宋" w:hAnsi="仿宋" w:cs="仿宋"/>
          <w:sz w:val="32"/>
          <w:szCs w:val="32"/>
          <w:lang w:val="en-US" w:eastAsia="zh-CN"/>
        </w:rPr>
        <w:t>四川省</w:t>
      </w:r>
      <w:r>
        <w:rPr>
          <w:rFonts w:hint="eastAsia" w:ascii="仿宋" w:hAnsi="仿宋" w:cs="仿宋"/>
          <w:sz w:val="32"/>
          <w:szCs w:val="32"/>
        </w:rPr>
        <w:t>以每户0.</w:t>
      </w:r>
      <w:r>
        <w:rPr>
          <w:rFonts w:hint="eastAsia" w:ascii="仿宋" w:hAnsi="仿宋" w:cs="仿宋"/>
          <w:sz w:val="32"/>
          <w:szCs w:val="32"/>
          <w:lang w:val="en-US" w:eastAsia="zh-CN"/>
        </w:rPr>
        <w:t>5</w:t>
      </w:r>
      <w:r>
        <w:rPr>
          <w:rFonts w:hint="eastAsia" w:ascii="仿宋" w:hAnsi="仿宋" w:cs="仿宋"/>
          <w:sz w:val="32"/>
          <w:szCs w:val="32"/>
        </w:rPr>
        <w:t>0万元进行补助</w:t>
      </w:r>
      <w:r>
        <w:rPr>
          <w:rFonts w:hint="eastAsia" w:ascii="仿宋" w:hAnsi="仿宋" w:cs="仿宋"/>
          <w:sz w:val="32"/>
          <w:szCs w:val="32"/>
          <w:lang w:eastAsia="zh-CN"/>
        </w:rPr>
        <w:t>，</w:t>
      </w:r>
      <w:r>
        <w:rPr>
          <w:rFonts w:hint="eastAsia" w:ascii="仿宋" w:hAnsi="仿宋" w:cs="仿宋"/>
          <w:sz w:val="32"/>
          <w:szCs w:val="32"/>
          <w:lang w:val="en-US" w:eastAsia="zh-CN"/>
        </w:rPr>
        <w:t>遂宁市</w:t>
      </w:r>
      <w:r>
        <w:rPr>
          <w:rFonts w:hint="eastAsia" w:ascii="仿宋" w:hAnsi="仿宋" w:cs="仿宋"/>
          <w:sz w:val="32"/>
          <w:szCs w:val="32"/>
        </w:rPr>
        <w:t>以每户0.</w:t>
      </w:r>
      <w:r>
        <w:rPr>
          <w:rFonts w:hint="eastAsia" w:ascii="仿宋" w:hAnsi="仿宋" w:cs="仿宋"/>
          <w:sz w:val="32"/>
          <w:szCs w:val="32"/>
          <w:lang w:val="en-US" w:eastAsia="zh-CN"/>
        </w:rPr>
        <w:t>2</w:t>
      </w:r>
      <w:r>
        <w:rPr>
          <w:rFonts w:hint="eastAsia" w:ascii="仿宋" w:hAnsi="仿宋" w:cs="仿宋"/>
          <w:sz w:val="32"/>
          <w:szCs w:val="32"/>
        </w:rPr>
        <w:t>0万元进行补助</w:t>
      </w:r>
      <w:r>
        <w:rPr>
          <w:rFonts w:hint="eastAsia" w:ascii="仿宋" w:hAnsi="仿宋" w:cs="仿宋"/>
          <w:sz w:val="32"/>
          <w:szCs w:val="32"/>
          <w:lang w:eastAsia="zh-CN"/>
        </w:rPr>
        <w:t>。</w:t>
      </w:r>
      <w:r>
        <w:rPr>
          <w:rFonts w:hint="eastAsia" w:ascii="仿宋" w:hAnsi="仿宋" w:cs="仿宋"/>
          <w:sz w:val="32"/>
          <w:szCs w:val="32"/>
        </w:rPr>
        <w:t>2022年实际完成“个转企”27户，上级下达补助27户“个转企”激励资金共18.90万元</w:t>
      </w:r>
      <w:r>
        <w:rPr>
          <w:rFonts w:hint="eastAsia" w:ascii="仿宋" w:hAnsi="仿宋" w:cs="仿宋"/>
          <w:sz w:val="32"/>
          <w:szCs w:val="32"/>
          <w:lang w:eastAsia="zh-CN"/>
        </w:rPr>
        <w:t>。</w:t>
      </w:r>
      <w:r>
        <w:rPr>
          <w:rFonts w:hint="eastAsia" w:ascii="仿宋" w:hAnsi="仿宋" w:cs="仿宋"/>
          <w:sz w:val="32"/>
          <w:szCs w:val="32"/>
        </w:rPr>
        <w:t>因现场核查符合条件实际运行的企业只有15户，故仅对15户发放上级“个转企”激励资金。“个转企”达标率为100.00%。</w:t>
      </w:r>
    </w:p>
    <w:p>
      <w:pPr>
        <w:pStyle w:val="11"/>
        <w:ind w:firstLine="640"/>
        <w:rPr>
          <w:rFonts w:hint="eastAsia" w:ascii="仿宋" w:hAnsi="仿宋" w:cs="仿宋"/>
          <w:sz w:val="32"/>
          <w:szCs w:val="32"/>
        </w:rPr>
      </w:pPr>
      <w:r>
        <w:rPr>
          <w:rFonts w:hint="eastAsia" w:ascii="仿宋" w:hAnsi="仿宋" w:cs="仿宋"/>
          <w:sz w:val="32"/>
          <w:szCs w:val="32"/>
        </w:rPr>
        <w:t>2）长聘人员资质达标率</w:t>
      </w:r>
    </w:p>
    <w:p>
      <w:pPr>
        <w:pStyle w:val="11"/>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 w:val="32"/>
          <w:szCs w:val="32"/>
        </w:rPr>
      </w:pPr>
      <w:r>
        <w:rPr>
          <w:rFonts w:hint="eastAsia" w:ascii="仿宋" w:hAnsi="仿宋" w:cs="仿宋"/>
          <w:sz w:val="32"/>
          <w:szCs w:val="32"/>
        </w:rPr>
        <w:t>为了保障工作顺利开展，加速日常工作推进和完成，提高单位工作效率，实现业务目标，达到单位工作稳定运转，聘用人员需具备一定的学历和专业技能。聘用人员需满足部门的招聘要求方可签订合同。</w:t>
      </w:r>
    </w:p>
    <w:p>
      <w:pPr>
        <w:pStyle w:val="11"/>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 w:val="32"/>
          <w:szCs w:val="32"/>
        </w:rPr>
      </w:pPr>
      <w:r>
        <w:rPr>
          <w:rFonts w:hint="eastAsia" w:ascii="仿宋" w:hAnsi="仿宋" w:cs="仿宋"/>
          <w:sz w:val="32"/>
          <w:szCs w:val="32"/>
        </w:rPr>
        <w:t>3）出具抽检报告准确率</w:t>
      </w:r>
    </w:p>
    <w:p>
      <w:pPr>
        <w:pStyle w:val="11"/>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 w:val="32"/>
          <w:szCs w:val="32"/>
        </w:rPr>
      </w:pPr>
      <w:r>
        <w:rPr>
          <w:rFonts w:hint="eastAsia" w:ascii="仿宋" w:hAnsi="仿宋" w:cs="仿宋"/>
          <w:sz w:val="32"/>
          <w:szCs w:val="32"/>
        </w:rPr>
        <w:t>根据市监局高新分局职能职责对园区内工商、食品药品、质检、文化旅游、安全等进行监督抽查及检验检测并出具检测报告，确保安全事故的“0”发生，以及改善和优化消费环境，确保商品和服务质量得到有效保障，消费者合法权益得到有效保障，提高消费环境安全度，提高经营者诚信度，提高消费者满意度等。经过市监局高新分局信息统计，出具抽检报告准确率100.00%。</w:t>
      </w:r>
    </w:p>
    <w:p>
      <w:pPr>
        <w:pStyle w:val="5"/>
        <w:bidi w:val="0"/>
        <w:rPr>
          <w:rFonts w:hint="eastAsia"/>
        </w:rPr>
      </w:pPr>
      <w:r>
        <w:rPr>
          <w:rFonts w:hint="eastAsia"/>
        </w:rPr>
        <w:t>（3）职责履行</w:t>
      </w:r>
    </w:p>
    <w:p>
      <w:pPr>
        <w:pStyle w:val="11"/>
        <w:ind w:firstLine="640"/>
        <w:rPr>
          <w:rFonts w:hint="eastAsia" w:ascii="仿宋" w:hAnsi="仿宋" w:cs="仿宋"/>
          <w:sz w:val="32"/>
          <w:szCs w:val="32"/>
        </w:rPr>
      </w:pPr>
      <w:r>
        <w:rPr>
          <w:rFonts w:hint="eastAsia" w:ascii="仿宋" w:hAnsi="仿宋" w:cs="仿宋"/>
          <w:sz w:val="32"/>
          <w:szCs w:val="32"/>
        </w:rPr>
        <w:t>1）工作发展</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color w:val="000000"/>
          <w:kern w:val="0"/>
          <w:szCs w:val="32"/>
          <w:lang w:bidi="ar"/>
        </w:rPr>
        <w:t>本项考核本部门常规工作在工作能力、工作影响、工作业绩等方面是否积极向前发展，是否争先进位取得突破。</w:t>
      </w:r>
    </w:p>
    <w:p>
      <w:pPr>
        <w:keepNext w:val="0"/>
        <w:keepLines w:val="0"/>
        <w:pageBreakBefore w:val="0"/>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2023年度在市局的悉心指导下，市监局高新分局紧紧围绕“铁拳出击守底线、创新服务促发展、优化环境添活力、党建引领强队伍”的目标，攻坚克难、主动作为，较好地完成了坚持党建引领，以行动自觉强化责任担当；树牢大局意识，以真抓实干提升监管力量；坚持优化服务，以创新推动市场经济发展等工作任务。获全市市场监管系统消费纠纷调解优秀典型案例，2023年度12315效能评价被省局评为“优秀等次”。</w:t>
      </w:r>
    </w:p>
    <w:p>
      <w:pPr>
        <w:pStyle w:val="11"/>
        <w:numPr>
          <w:ilvl w:val="0"/>
          <w:numId w:val="6"/>
        </w:numPr>
        <w:ind w:firstLine="640"/>
        <w:rPr>
          <w:rFonts w:hint="eastAsia" w:ascii="仿宋" w:hAnsi="仿宋" w:cs="仿宋"/>
          <w:sz w:val="32"/>
          <w:szCs w:val="32"/>
        </w:rPr>
      </w:pPr>
      <w:r>
        <w:rPr>
          <w:rFonts w:hint="eastAsia" w:ascii="仿宋" w:hAnsi="仿宋" w:cs="仿宋"/>
          <w:sz w:val="32"/>
          <w:szCs w:val="32"/>
        </w:rPr>
        <w:t>重点工作办理情况</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kern w:val="0"/>
          <w:szCs w:val="32"/>
          <w:lang w:bidi="ar"/>
        </w:rPr>
      </w:pPr>
      <w:r>
        <w:rPr>
          <w:rFonts w:hint="eastAsia" w:ascii="仿宋" w:hAnsi="仿宋" w:cs="仿宋"/>
          <w:kern w:val="0"/>
          <w:szCs w:val="32"/>
          <w:lang w:bidi="ar"/>
        </w:rPr>
        <w:t>2023年度市监局高新分局不存在涉及党委、政府、人大、相关部门交办重点工作（重点工作是指党委、政府、人大、相关部门交办或下达的工作任务）。</w:t>
      </w:r>
    </w:p>
    <w:p>
      <w:pPr>
        <w:pStyle w:val="4"/>
        <w:bidi w:val="0"/>
        <w:rPr>
          <w:rFonts w:hint="eastAsia"/>
        </w:rPr>
      </w:pPr>
      <w:r>
        <w:rPr>
          <w:rFonts w:hint="eastAsia"/>
          <w:lang w:val="en-US" w:eastAsia="zh-CN"/>
        </w:rPr>
        <w:t>4.</w:t>
      </w:r>
      <w:r>
        <w:rPr>
          <w:rFonts w:hint="eastAsia"/>
        </w:rPr>
        <w:t>效益指标</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rPr>
      </w:pPr>
      <w:r>
        <w:rPr>
          <w:rFonts w:hint="eastAsia" w:ascii="仿宋" w:hAnsi="仿宋" w:cs="仿宋"/>
          <w:color w:val="000000"/>
          <w:kern w:val="0"/>
          <w:szCs w:val="32"/>
          <w:lang w:bidi="ar"/>
        </w:rPr>
        <w:t>结合2023年度</w:t>
      </w:r>
      <w:r>
        <w:rPr>
          <w:rFonts w:hint="eastAsia" w:ascii="仿宋" w:hAnsi="仿宋" w:cs="仿宋"/>
          <w:szCs w:val="32"/>
          <w:lang w:val="en-US" w:eastAsia="zh-CN"/>
        </w:rPr>
        <w:t>市监局高新分局</w:t>
      </w:r>
      <w:r>
        <w:rPr>
          <w:rFonts w:hint="eastAsia" w:ascii="仿宋" w:hAnsi="仿宋" w:cs="仿宋"/>
          <w:color w:val="000000"/>
          <w:kern w:val="0"/>
          <w:szCs w:val="32"/>
          <w:lang w:bidi="ar"/>
        </w:rPr>
        <w:t>绩效目标设定情况，此次评价对本部门工作完成情况和效益实现进行评价</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2023年度</w:t>
      </w:r>
      <w:r>
        <w:rPr>
          <w:rFonts w:hint="eastAsia" w:ascii="仿宋" w:hAnsi="仿宋" w:cs="仿宋"/>
          <w:szCs w:val="32"/>
          <w:lang w:val="en-US" w:eastAsia="zh-CN"/>
        </w:rPr>
        <w:t>市监局高新分局</w:t>
      </w:r>
      <w:r>
        <w:rPr>
          <w:rFonts w:hint="eastAsia" w:ascii="仿宋" w:hAnsi="仿宋" w:cs="仿宋"/>
          <w:color w:val="000000"/>
          <w:kern w:val="0"/>
          <w:szCs w:val="32"/>
          <w:lang w:bidi="ar"/>
        </w:rPr>
        <w:t>的工作开展和政策施行产生了一定的经济效益</w:t>
      </w:r>
      <w:r>
        <w:rPr>
          <w:rFonts w:hint="eastAsia" w:ascii="仿宋" w:hAnsi="仿宋" w:cs="仿宋"/>
          <w:color w:val="000000"/>
          <w:kern w:val="0"/>
          <w:szCs w:val="32"/>
          <w:lang w:eastAsia="zh-CN" w:bidi="ar"/>
        </w:rPr>
        <w:t>。</w:t>
      </w:r>
      <w:r>
        <w:rPr>
          <w:rFonts w:hint="eastAsia" w:ascii="仿宋" w:hAnsi="仿宋" w:cs="仿宋"/>
          <w:color w:val="000000"/>
          <w:kern w:val="0"/>
          <w:szCs w:val="32"/>
          <w:lang w:bidi="ar"/>
        </w:rPr>
        <w:t>营造良好的营商环境，维护公平竞争的市场秩序，提高产品质量安全水平</w:t>
      </w:r>
      <w:r>
        <w:rPr>
          <w:rFonts w:hint="eastAsia" w:ascii="仿宋" w:hAnsi="仿宋" w:cs="仿宋"/>
          <w:color w:val="000000"/>
          <w:kern w:val="0"/>
          <w:szCs w:val="32"/>
          <w:lang w:val="en-US" w:eastAsia="zh-CN" w:bidi="ar"/>
        </w:rPr>
        <w:t>等具有很好的社会效益</w:t>
      </w:r>
      <w:r>
        <w:rPr>
          <w:rFonts w:hint="eastAsia" w:ascii="仿宋" w:hAnsi="仿宋" w:cs="仿宋"/>
          <w:color w:val="000000"/>
          <w:kern w:val="0"/>
          <w:szCs w:val="32"/>
          <w:lang w:bidi="ar"/>
        </w:rPr>
        <w:t>。总体满意度较高。该指标分值20.00分，得分</w:t>
      </w:r>
      <w:r>
        <w:rPr>
          <w:rFonts w:hint="eastAsia" w:ascii="仿宋" w:hAnsi="仿宋" w:cs="仿宋"/>
          <w:color w:val="000000"/>
          <w:kern w:val="0"/>
          <w:szCs w:val="32"/>
          <w:lang w:val="en-US" w:eastAsia="zh-CN" w:bidi="ar"/>
        </w:rPr>
        <w:t>18.67</w:t>
      </w:r>
      <w:r>
        <w:rPr>
          <w:rFonts w:hint="eastAsia" w:ascii="仿宋" w:hAnsi="仿宋" w:cs="仿宋"/>
          <w:color w:val="000000"/>
          <w:kern w:val="0"/>
          <w:szCs w:val="32"/>
          <w:lang w:bidi="ar"/>
        </w:rPr>
        <w:t>分，得分率9</w:t>
      </w:r>
      <w:r>
        <w:rPr>
          <w:rFonts w:hint="eastAsia" w:ascii="仿宋" w:hAnsi="仿宋" w:cs="仿宋"/>
          <w:color w:val="000000"/>
          <w:kern w:val="0"/>
          <w:szCs w:val="32"/>
          <w:lang w:val="en-US" w:eastAsia="zh-CN" w:bidi="ar"/>
        </w:rPr>
        <w:t>3.35</w:t>
      </w:r>
      <w:r>
        <w:rPr>
          <w:rFonts w:hint="eastAsia" w:ascii="仿宋" w:hAnsi="仿宋" w:cs="仿宋"/>
          <w:color w:val="000000"/>
          <w:kern w:val="0"/>
          <w:szCs w:val="32"/>
          <w:lang w:bidi="ar"/>
        </w:rPr>
        <w:t>%。</w:t>
      </w:r>
    </w:p>
    <w:p>
      <w:pPr>
        <w:pStyle w:val="5"/>
        <w:bidi w:val="0"/>
        <w:rPr>
          <w:rFonts w:hint="eastAsia"/>
        </w:rPr>
      </w:pPr>
      <w:r>
        <w:rPr>
          <w:rFonts w:hint="eastAsia"/>
        </w:rPr>
        <w:t>（1）经济效益</w:t>
      </w:r>
    </w:p>
    <w:p>
      <w:pPr>
        <w:pStyle w:val="11"/>
        <w:ind w:firstLine="640"/>
        <w:rPr>
          <w:rFonts w:hint="eastAsia" w:ascii="仿宋" w:hAnsi="仿宋" w:cs="仿宋"/>
          <w:sz w:val="32"/>
          <w:szCs w:val="32"/>
        </w:rPr>
      </w:pPr>
      <w:r>
        <w:rPr>
          <w:rFonts w:hint="eastAsia" w:ascii="仿宋" w:hAnsi="仿宋" w:cs="仿宋"/>
          <w:sz w:val="32"/>
          <w:szCs w:val="32"/>
        </w:rPr>
        <w:t>市监局高新分局通过简化审批流程、提高政务服务效率等措施，降低企业运营成本，激发市场活力和创造力，从而促进企业数量的增加和规模的扩大。这不仅直接带动了地方经济的增长，还为政府税收提供了稳定的来源。</w:t>
      </w:r>
    </w:p>
    <w:p>
      <w:pPr>
        <w:ind w:firstLine="640"/>
        <w:rPr>
          <w:rFonts w:hint="eastAsia" w:ascii="仿宋" w:hAnsi="仿宋" w:cs="仿宋"/>
          <w:szCs w:val="32"/>
        </w:rPr>
      </w:pPr>
      <w:r>
        <w:rPr>
          <w:rFonts w:hint="eastAsia" w:ascii="仿宋" w:hAnsi="仿宋" w:cs="仿宋"/>
          <w:szCs w:val="32"/>
        </w:rPr>
        <w:t>通过建立健全信用监管体系，对失信主体实施联合惩戒，激励市场主体诚信经营。这有助于提升市场的整体信用水平，优化营商环境，吸引更多的投资和人才；通过加强知识产权保护、推动标准化建设等措施，促进产业结构的优化升级。这有助于提升产业的竞争力和附加值，推动经济的高质量发展。</w:t>
      </w:r>
    </w:p>
    <w:p>
      <w:pPr>
        <w:pStyle w:val="5"/>
        <w:bidi w:val="0"/>
        <w:rPr>
          <w:rFonts w:hint="eastAsia"/>
        </w:rPr>
      </w:pPr>
      <w:r>
        <w:rPr>
          <w:rFonts w:hint="eastAsia"/>
        </w:rPr>
        <w:t>（2）社会效益</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rPr>
      </w:pPr>
      <w:r>
        <w:rPr>
          <w:rFonts w:hint="eastAsia" w:ascii="仿宋" w:hAnsi="仿宋" w:cs="仿宋"/>
          <w:szCs w:val="32"/>
        </w:rPr>
        <w:t>市监局高新分局通过简化审批流程、推行“一网通办”等措施，提高政务服务效率，降低企业运营成本，为各类市场主体营造良好的营商环境，激发市场活力和创造力；通过加强对市场主体的监管，打击不正当竞争、假冒伪劣等违法行为，维护公平竞争的市场秩序，保障消费者和经营者的合法权益；通过加强产品质量监督抽查、开展专项整治行动等方式，提高产品质量安全水平，保障人民群众的生命财产安全；通过推动“放心消费”创建活动，引导经营者诚信经营，打造安全放心的消费环境，提升消费者的购物体验和满意度。</w:t>
      </w:r>
      <w:r>
        <w:rPr>
          <w:rFonts w:hint="eastAsia"/>
        </w:rPr>
        <w:t>有效维护了市场秩序，改善本地区营商环境。</w:t>
      </w:r>
    </w:p>
    <w:p>
      <w:pPr>
        <w:pStyle w:val="5"/>
        <w:bidi w:val="0"/>
        <w:rPr>
          <w:rFonts w:hint="eastAsia"/>
        </w:rPr>
      </w:pPr>
      <w:r>
        <w:rPr>
          <w:rFonts w:hint="eastAsia"/>
        </w:rPr>
        <w:t>（3）可持续影响</w:t>
      </w:r>
    </w:p>
    <w:p>
      <w:pPr>
        <w:ind w:firstLine="640"/>
        <w:rPr>
          <w:rFonts w:hint="eastAsia" w:ascii="仿宋" w:hAnsi="仿宋" w:cs="仿宋"/>
          <w:szCs w:val="32"/>
        </w:rPr>
      </w:pPr>
      <w:r>
        <w:rPr>
          <w:rFonts w:hint="eastAsia" w:ascii="仿宋" w:hAnsi="仿宋" w:cs="仿宋"/>
          <w:szCs w:val="32"/>
        </w:rPr>
        <w:t>市监局高新分局通过持续打击假冒伪劣产品、虚假宣传、商业贿赂等违法违规行为，维护了消费者的合法权益，增强了消费者对市场的信任度。这种信任度的提升有助于促进消费市场的稳定增长，进而推动经济的可持续发展。</w:t>
      </w:r>
    </w:p>
    <w:p>
      <w:pPr>
        <w:ind w:firstLine="640"/>
        <w:rPr>
          <w:rFonts w:hint="eastAsia" w:ascii="仿宋" w:hAnsi="仿宋" w:cs="仿宋"/>
          <w:szCs w:val="32"/>
        </w:rPr>
      </w:pPr>
      <w:r>
        <w:rPr>
          <w:rFonts w:hint="eastAsia" w:ascii="仿宋" w:hAnsi="仿宋" w:cs="仿宋"/>
          <w:szCs w:val="32"/>
        </w:rPr>
        <w:t>市监局高新分局通过畅通消费者投诉举报渠道，及时受理和处理消费者投诉举报，为消费者挽回经济损失。这种消费维权机制有助于提升消费者的满意度和信任度，促进社会和谐稳定。在消费者权益得到有效保护的环境下，消费者更愿意消费，从而推动消费市场的持续增长。</w:t>
      </w:r>
    </w:p>
    <w:p>
      <w:pPr>
        <w:pStyle w:val="5"/>
        <w:bidi w:val="0"/>
        <w:rPr>
          <w:rFonts w:hint="eastAsia"/>
        </w:rPr>
      </w:pPr>
      <w:r>
        <w:rPr>
          <w:rFonts w:hint="eastAsia"/>
        </w:rPr>
        <w:t>（4）满意度指标</w:t>
      </w:r>
    </w:p>
    <w:p>
      <w:pPr>
        <w:widowControl/>
        <w:ind w:firstLine="640"/>
        <w:rPr>
          <w:rFonts w:hint="eastAsia" w:ascii="仿宋" w:hAnsi="仿宋" w:cs="仿宋"/>
          <w:szCs w:val="32"/>
        </w:rPr>
      </w:pPr>
      <w:r>
        <w:rPr>
          <w:rFonts w:hint="eastAsia" w:ascii="仿宋" w:hAnsi="仿宋" w:cs="仿宋"/>
          <w:color w:val="000000"/>
          <w:kern w:val="0"/>
          <w:szCs w:val="32"/>
          <w:lang w:bidi="ar"/>
        </w:rPr>
        <w:t>1）服务对象满意度</w:t>
      </w:r>
    </w:p>
    <w:p>
      <w:pPr>
        <w:widowControl/>
        <w:ind w:firstLine="640"/>
        <w:rPr>
          <w:rFonts w:hint="eastAsia" w:ascii="仿宋" w:hAnsi="仿宋" w:cs="仿宋"/>
          <w:szCs w:val="32"/>
        </w:rPr>
      </w:pPr>
      <w:r>
        <w:rPr>
          <w:rFonts w:hint="eastAsia" w:ascii="仿宋" w:hAnsi="仿宋" w:cs="仿宋"/>
          <w:color w:val="000000"/>
          <w:kern w:val="0"/>
          <w:szCs w:val="32"/>
          <w:lang w:bidi="ar"/>
        </w:rPr>
        <w:t>本次绩效评价，针对市监局高新分局的职能和工作内容，结合市监局高新分局发展服务政策，设计了本次绩效评价满意度指标调查的问卷。调查问卷采用无记名的形式，共计设计10个问题，问题内容涵盖了对改革和完善机关办事制度、缩短办事时间、打造放心舒心消费环境，维护消费者合法权益、人性化执法、服务态度和服务质量等方面。为方便被调查人填写问卷，调查问卷最大程度上减少文字填写内容，每个问题增加预设答案选项供直接选择，选项统一设置为积极印象由高到低5个等级，评价量化分的设定为从左至右依次递减：10分、8分、6分、2分和0分。问卷最后设计“意见和建议”项，供被调查者反馈其他想法、意见和建议。</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color w:val="000000"/>
          <w:kern w:val="0"/>
          <w:szCs w:val="32"/>
          <w:lang w:bidi="ar"/>
        </w:rPr>
        <w:t>本次调查主要针对受益对象、社会群众和市监局高新分局工作人员三类群体，为保障调查的全面性和客观性，受益对象和群众占比65%，市监局高新分局工作人员占比35%。共进行了3次满意度调查，调查地方分别为：商场、市监局高新分局、园区周边农贸市场。共计发放调查问卷30份，回收30份。经过对回收问卷统计，确定有效问卷为30份。经统计，最高分100.00分，最低分66.00分，平均分数81.70分，本次满意度指标综合得分为81.70分（满分100分）。</w:t>
      </w:r>
    </w:p>
    <w:p>
      <w:pPr>
        <w:widowControl/>
        <w:ind w:firstLine="640"/>
        <w:rPr>
          <w:rFonts w:hint="eastAsia" w:ascii="仿宋" w:hAnsi="仿宋" w:cs="仿宋"/>
          <w:szCs w:val="32"/>
        </w:rPr>
      </w:pPr>
      <w:r>
        <w:rPr>
          <w:rFonts w:hint="eastAsia" w:ascii="仿宋" w:hAnsi="仿宋" w:cs="仿宋"/>
          <w:color w:val="000000"/>
          <w:kern w:val="0"/>
          <w:szCs w:val="32"/>
          <w:lang w:bidi="ar"/>
        </w:rPr>
        <w:t>2）评价配合情况满意度</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color w:val="000000"/>
          <w:kern w:val="0"/>
          <w:szCs w:val="32"/>
          <w:lang w:eastAsia="zh-CN" w:bidi="ar"/>
        </w:rPr>
      </w:pPr>
      <w:r>
        <w:rPr>
          <w:rFonts w:hint="eastAsia" w:ascii="仿宋" w:hAnsi="仿宋" w:cs="仿宋"/>
          <w:color w:val="000000"/>
          <w:kern w:val="0"/>
          <w:szCs w:val="32"/>
          <w:lang w:bidi="ar"/>
        </w:rPr>
        <w:t>本次绩效评价工作得到市监局高新分局全力支持，部门领导统一部署，组织人员布置了工作场地，选派了专门的人员负责协调工作。特别指示财务部门和业务部门积极配合，做到安排专人负责联系协调；各组室和下属单位人员积极准备并提供了资料，资料相对较为齐全，少部分资料提供有困难的也能克服难通过其他方式搜寻后提供；资料报送及时，准备充分，资料的及时有效提供，保证评价小组的绩效评价工作顺利</w:t>
      </w:r>
      <w:r>
        <w:rPr>
          <w:rFonts w:hint="eastAsia" w:ascii="仿宋" w:hAnsi="仿宋" w:cs="仿宋"/>
          <w:color w:val="000000"/>
          <w:kern w:val="0"/>
          <w:szCs w:val="32"/>
          <w:lang w:eastAsia="zh-CN" w:bidi="ar"/>
        </w:rPr>
        <w:t>。</w:t>
      </w:r>
    </w:p>
    <w:p>
      <w:pPr>
        <w:pStyle w:val="2"/>
        <w:ind w:firstLine="640"/>
        <w:rPr>
          <w:rFonts w:hint="eastAsia" w:eastAsia="黑体"/>
          <w:lang w:val="en-US" w:eastAsia="zh-CN"/>
        </w:rPr>
      </w:pPr>
      <w:r>
        <w:rPr>
          <w:rFonts w:hint="eastAsia"/>
        </w:rPr>
        <w:t>六、主要经验及做法和存在问题及</w:t>
      </w:r>
      <w:r>
        <w:rPr>
          <w:rFonts w:hint="eastAsia"/>
          <w:lang w:val="en-US" w:eastAsia="zh-CN"/>
        </w:rPr>
        <w:t>建议</w:t>
      </w:r>
    </w:p>
    <w:p>
      <w:pPr>
        <w:pStyle w:val="2"/>
        <w:ind w:firstLine="640"/>
        <w:rPr>
          <w:rFonts w:hint="eastAsia" w:ascii="Cambria" w:hAnsi="Cambria" w:eastAsia="仿宋_GB2312" w:cs="Times New Roman"/>
          <w:b/>
          <w:bCs/>
          <w:kern w:val="2"/>
          <w:sz w:val="32"/>
          <w:szCs w:val="32"/>
          <w:lang w:val="en-US" w:eastAsia="zh-CN" w:bidi="ar-SA"/>
        </w:rPr>
      </w:pPr>
      <w:r>
        <w:rPr>
          <w:rFonts w:hint="eastAsia" w:ascii="Cambria" w:hAnsi="Cambria" w:eastAsia="仿宋_GB2312" w:cs="Times New Roman"/>
          <w:b/>
          <w:bCs/>
          <w:kern w:val="2"/>
          <w:sz w:val="32"/>
          <w:szCs w:val="32"/>
          <w:lang w:val="en-US" w:eastAsia="zh-CN" w:bidi="ar-SA"/>
        </w:rPr>
        <w:t>（一）存在的问题</w:t>
      </w:r>
    </w:p>
    <w:p>
      <w:pPr>
        <w:pStyle w:val="4"/>
        <w:ind w:firstLine="643"/>
        <w:rPr>
          <w:rFonts w:hint="eastAsia"/>
        </w:rPr>
      </w:pPr>
      <w:r>
        <w:rPr>
          <w:rFonts w:hint="eastAsia"/>
        </w:rPr>
        <w:t>1.预算编制不科学</w:t>
      </w:r>
    </w:p>
    <w:p>
      <w:pPr>
        <w:pStyle w:val="8"/>
        <w:keepNext w:val="0"/>
        <w:keepLines w:val="0"/>
        <w:pageBreakBefore w:val="0"/>
        <w:widowControl w:val="0"/>
        <w:kinsoku/>
        <w:wordWrap/>
        <w:overflowPunct/>
        <w:topLinePunct w:val="0"/>
        <w:autoSpaceDE/>
        <w:autoSpaceDN/>
        <w:bidi w:val="0"/>
        <w:adjustRightInd/>
        <w:snapToGrid/>
        <w:ind w:firstLine="640" w:firstLineChars="200"/>
        <w:jc w:val="both"/>
        <w:textAlignment w:val="auto"/>
      </w:pPr>
      <w:r>
        <w:rPr>
          <w:rFonts w:hint="eastAsia"/>
        </w:rPr>
        <w:t>年初预算数和调整预算数及实际执行数额</w:t>
      </w:r>
      <w:r>
        <w:rPr>
          <w:rFonts w:hint="eastAsia" w:ascii="仿宋" w:hAnsi="仿宋" w:cs="仿宋"/>
          <w:szCs w:val="32"/>
        </w:rPr>
        <w:t>存在偏差，预</w:t>
      </w:r>
      <w:r>
        <w:rPr>
          <w:rFonts w:hint="eastAsia" w:ascii="Times New Roman" w:hAnsi="Times New Roman" w:cs="Times New Roman"/>
        </w:rPr>
        <w:t>算调整</w:t>
      </w:r>
      <w:r>
        <w:rPr>
          <w:rFonts w:hint="eastAsia" w:ascii="Times New Roman" w:hAnsi="Times New Roman" w:cs="Times New Roman"/>
          <w:lang w:eastAsia="zh-CN"/>
        </w:rPr>
        <w:t>额</w:t>
      </w:r>
      <w:r>
        <w:rPr>
          <w:rFonts w:hint="eastAsia" w:ascii="Times New Roman" w:hAnsi="Times New Roman" w:cs="Times New Roman"/>
        </w:rPr>
        <w:t>较大</w:t>
      </w:r>
      <w:r>
        <w:rPr>
          <w:rFonts w:hint="eastAsia" w:ascii="仿宋" w:hAnsi="仿宋" w:cs="仿宋"/>
          <w:szCs w:val="32"/>
        </w:rPr>
        <w:t>，导致预算调整率较高。</w:t>
      </w:r>
      <w:r>
        <w:rPr>
          <w:rFonts w:hint="eastAsia"/>
        </w:rPr>
        <w:t>反映年初预算编制不够科学准确，不能准确预判预估年度支出事项。</w:t>
      </w:r>
    </w:p>
    <w:p>
      <w:pPr>
        <w:pStyle w:val="4"/>
        <w:ind w:firstLine="643"/>
        <w:rPr>
          <w:rFonts w:hint="eastAsia" w:cs="Times New Roman"/>
          <w:b/>
          <w:bCs/>
        </w:rPr>
      </w:pPr>
      <w:r>
        <w:rPr>
          <w:rFonts w:hint="eastAsia" w:cs="Times New Roman"/>
          <w:b/>
          <w:bCs/>
          <w:lang w:val="en-US" w:eastAsia="zh-CN"/>
        </w:rPr>
        <w:t>2.</w:t>
      </w:r>
      <w:r>
        <w:rPr>
          <w:rFonts w:hint="eastAsia" w:cs="Times New Roman"/>
          <w:b/>
          <w:bCs/>
        </w:rPr>
        <w:t>绩效目标管理不足</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cs="仿宋"/>
          <w:szCs w:val="32"/>
        </w:rPr>
        <w:t>部门绩效目标设置不够完备。对于项目支出，虽然设立了项目绩效目标，但指标设置不够明确、细化和量化。如招商引资政策宣传及时率=100%，出具抽检报告及时率为及时，公众对部门工作满意度为满意等。</w:t>
      </w:r>
    </w:p>
    <w:p>
      <w:pPr>
        <w:pStyle w:val="4"/>
        <w:ind w:firstLine="643"/>
        <w:rPr>
          <w:rFonts w:hint="eastAsia"/>
        </w:rPr>
      </w:pPr>
      <w:r>
        <w:rPr>
          <w:rFonts w:hint="eastAsia"/>
          <w:lang w:val="en-US" w:eastAsia="zh-CN"/>
        </w:rPr>
        <w:t>3</w:t>
      </w:r>
      <w:r>
        <w:rPr>
          <w:rFonts w:hint="eastAsia"/>
        </w:rPr>
        <w:t>.固定资产管理</w:t>
      </w:r>
    </w:p>
    <w:p>
      <w:pPr>
        <w:pStyle w:val="9"/>
        <w:keepNext w:val="0"/>
        <w:keepLines w:val="0"/>
        <w:pageBreakBefore w:val="0"/>
        <w:kinsoku/>
        <w:wordWrap/>
        <w:overflowPunct/>
        <w:topLinePunct w:val="0"/>
        <w:autoSpaceDE/>
        <w:autoSpaceDN/>
        <w:bidi w:val="0"/>
        <w:adjustRightInd/>
        <w:snapToGrid/>
        <w:ind w:firstLine="640"/>
        <w:jc w:val="both"/>
        <w:textAlignment w:val="auto"/>
        <w:rPr>
          <w:rFonts w:hint="eastAsia" w:ascii="仿宋" w:hAnsi="仿宋" w:eastAsia="仿宋" w:cs="仿宋"/>
          <w:color w:val="000000"/>
          <w:kern w:val="0"/>
          <w:sz w:val="32"/>
          <w:szCs w:val="32"/>
          <w:lang w:bidi="ar"/>
        </w:rPr>
      </w:pPr>
      <w:r>
        <w:rPr>
          <w:rFonts w:hint="eastAsia" w:ascii="仿宋" w:hAnsi="仿宋" w:eastAsia="仿宋" w:cs="仿宋"/>
          <w:sz w:val="32"/>
          <w:szCs w:val="32"/>
        </w:rPr>
        <w:t>（1）对固定资产的定期盘点工作落实不到位，相关管理制度执行不到位。</w:t>
      </w:r>
      <w:r>
        <w:rPr>
          <w:rFonts w:hint="eastAsia" w:ascii="仿宋" w:hAnsi="仿宋" w:eastAsia="仿宋" w:cs="仿宋"/>
          <w:color w:val="000000"/>
          <w:kern w:val="0"/>
          <w:sz w:val="32"/>
          <w:szCs w:val="32"/>
          <w:lang w:bidi="ar"/>
        </w:rPr>
        <w:t>《</w:t>
      </w:r>
      <w:r>
        <w:rPr>
          <w:rFonts w:hint="eastAsia" w:ascii="仿宋" w:hAnsi="仿宋" w:eastAsia="仿宋" w:cs="仿宋"/>
          <w:sz w:val="32"/>
          <w:szCs w:val="32"/>
        </w:rPr>
        <w:t>遂宁市市监局高新分局高新区分局</w:t>
      </w:r>
      <w:r>
        <w:rPr>
          <w:rFonts w:hint="eastAsia" w:ascii="仿宋" w:hAnsi="仿宋" w:eastAsia="仿宋" w:cs="仿宋"/>
          <w:color w:val="000000"/>
          <w:kern w:val="0"/>
          <w:sz w:val="32"/>
          <w:szCs w:val="32"/>
          <w:lang w:bidi="ar"/>
        </w:rPr>
        <w:t>内控手册（试行版）》第三章国有资产管理制度第十一条规定“单位应当加强资产日常管理工作，做好资产建账、核算和登记工作，定期或者不定期进行清查盘点，保证账账相符，账实相符。局综合行政组负责资产建账、核算工作。局综合行政组按职责负责资产实物登记、盘点、清查、报废处置工作。年度终了，应当进行全面清查盘点。对资产盘盈、盘亏应当及时处理”。</w:t>
      </w:r>
    </w:p>
    <w:p>
      <w:pPr>
        <w:keepNext w:val="0"/>
        <w:keepLines w:val="0"/>
        <w:pageBreakBefore w:val="0"/>
        <w:widowControl/>
        <w:kinsoku/>
        <w:wordWrap/>
        <w:overflowPunct/>
        <w:topLinePunct w:val="0"/>
        <w:autoSpaceDE/>
        <w:autoSpaceDN/>
        <w:bidi w:val="0"/>
        <w:adjustRightInd/>
        <w:snapToGrid/>
        <w:ind w:firstLine="640"/>
        <w:jc w:val="both"/>
        <w:textAlignment w:val="auto"/>
        <w:rPr>
          <w:rFonts w:hint="eastAsia" w:ascii="仿宋" w:hAnsi="仿宋" w:eastAsia="仿宋" w:cs="仿宋"/>
          <w:color w:val="000000"/>
          <w:kern w:val="0"/>
          <w:sz w:val="32"/>
          <w:szCs w:val="32"/>
          <w:lang w:bidi="ar"/>
        </w:rPr>
      </w:pPr>
      <w:r>
        <w:rPr>
          <w:rFonts w:hint="eastAsia" w:ascii="仿宋" w:hAnsi="仿宋" w:eastAsia="仿宋" w:cs="仿宋"/>
          <w:color w:val="000000"/>
          <w:kern w:val="0"/>
          <w:sz w:val="32"/>
          <w:szCs w:val="32"/>
          <w:lang w:bidi="ar"/>
        </w:rPr>
        <w:t>（2）未做到账实相符，固定资产账目不准确，未能全面客观如实反映单位资产信息情况。评价组发现单位存在</w:t>
      </w:r>
      <w:r>
        <w:rPr>
          <w:rFonts w:hint="eastAsia" w:ascii="仿宋" w:hAnsi="仿宋" w:eastAsia="仿宋" w:cs="仿宋"/>
          <w:color w:val="000000"/>
          <w:kern w:val="0"/>
          <w:szCs w:val="32"/>
          <w:lang w:bidi="ar"/>
        </w:rPr>
        <w:t>台式电脑</w:t>
      </w:r>
      <w:r>
        <w:rPr>
          <w:rFonts w:hint="eastAsia" w:ascii="仿宋" w:hAnsi="仿宋" w:cs="仿宋"/>
          <w:color w:val="000000"/>
          <w:kern w:val="0"/>
          <w:szCs w:val="32"/>
          <w:lang w:val="en-US" w:eastAsia="zh-CN" w:bidi="ar"/>
        </w:rPr>
        <w:t>20</w:t>
      </w:r>
      <w:r>
        <w:rPr>
          <w:rFonts w:hint="eastAsia" w:ascii="仿宋" w:hAnsi="仿宋" w:eastAsia="仿宋" w:cs="仿宋"/>
          <w:color w:val="000000"/>
          <w:kern w:val="0"/>
          <w:szCs w:val="32"/>
          <w:lang w:bidi="ar"/>
        </w:rPr>
        <w:t>台、打印机4台、扫描仪1台</w:t>
      </w:r>
      <w:r>
        <w:rPr>
          <w:rFonts w:hint="eastAsia" w:ascii="仿宋" w:hAnsi="仿宋" w:eastAsia="仿宋" w:cs="仿宋"/>
          <w:color w:val="000000"/>
          <w:kern w:val="0"/>
          <w:sz w:val="32"/>
          <w:szCs w:val="32"/>
          <w:lang w:bidi="ar"/>
        </w:rPr>
        <w:t>等82项资产属于单位账外资产，未纳入财务账和实物资产台账核算，存在资产监管漏洞。单位固定资产账和《预算支出相关信息表》《主要指标变动表》未显示出这些资产的价值。</w:t>
      </w:r>
    </w:p>
    <w:p>
      <w:pPr>
        <w:pStyle w:val="4"/>
        <w:ind w:firstLine="643"/>
        <w:rPr>
          <w:rFonts w:hint="eastAsia"/>
        </w:rPr>
      </w:pPr>
      <w:r>
        <w:rPr>
          <w:rFonts w:hint="eastAsia"/>
          <w:lang w:val="en-US" w:eastAsia="zh-CN"/>
        </w:rPr>
        <w:t>4</w:t>
      </w:r>
      <w:r>
        <w:rPr>
          <w:rFonts w:hint="eastAsia"/>
        </w:rPr>
        <w:t>.财务报销管理</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eastAsia="仿宋" w:cs="仿宋"/>
          <w:kern w:val="0"/>
          <w:sz w:val="32"/>
          <w:szCs w:val="32"/>
          <w:lang w:bidi="ar"/>
        </w:rPr>
      </w:pPr>
      <w:r>
        <w:rPr>
          <w:rFonts w:hint="eastAsia" w:ascii="仿宋" w:hAnsi="仿宋" w:eastAsia="仿宋" w:cs="仿宋"/>
          <w:kern w:val="0"/>
          <w:sz w:val="32"/>
          <w:szCs w:val="32"/>
          <w:lang w:bidi="ar"/>
        </w:rPr>
        <w:t>入账凭据不合规，报账资料审核不够严格，存在报账票据</w:t>
      </w:r>
      <w:r>
        <w:rPr>
          <w:rFonts w:hint="eastAsia" w:ascii="仿宋" w:hAnsi="仿宋" w:eastAsia="仿宋" w:cs="仿宋"/>
          <w:kern w:val="0"/>
          <w:sz w:val="32"/>
          <w:szCs w:val="32"/>
          <w:lang w:val="en-US" w:eastAsia="zh-CN" w:bidi="ar"/>
        </w:rPr>
        <w:t>缺失</w:t>
      </w:r>
      <w:r>
        <w:rPr>
          <w:rFonts w:hint="eastAsia" w:ascii="仿宋" w:hAnsi="仿宋" w:eastAsia="仿宋" w:cs="仿宋"/>
          <w:kern w:val="0"/>
          <w:sz w:val="32"/>
          <w:szCs w:val="32"/>
          <w:lang w:bidi="ar"/>
        </w:rPr>
        <w:t>的情况。</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如2023年11月14日记账18号凭证：支出金额930.00元，用于支付公务车维修。无维修审批单。未按照</w:t>
      </w:r>
      <w:r>
        <w:rPr>
          <w:rFonts w:hint="eastAsia" w:ascii="仿宋" w:hAnsi="仿宋" w:eastAsia="仿宋" w:cs="仿宋"/>
          <w:kern w:val="0"/>
          <w:sz w:val="32"/>
          <w:szCs w:val="32"/>
          <w:lang w:bidi="ar"/>
        </w:rPr>
        <w:t>《</w:t>
      </w:r>
      <w:r>
        <w:rPr>
          <w:rFonts w:hint="eastAsia" w:ascii="仿宋" w:hAnsi="仿宋" w:eastAsia="仿宋" w:cs="仿宋"/>
          <w:sz w:val="32"/>
          <w:szCs w:val="32"/>
        </w:rPr>
        <w:t>遂宁市市监局高新分局高新区分局</w:t>
      </w:r>
      <w:r>
        <w:rPr>
          <w:rFonts w:hint="eastAsia" w:ascii="仿宋" w:hAnsi="仿宋" w:eastAsia="仿宋" w:cs="仿宋"/>
          <w:kern w:val="0"/>
          <w:sz w:val="32"/>
          <w:szCs w:val="32"/>
          <w:lang w:bidi="ar"/>
        </w:rPr>
        <w:t>内控手册（试行版）》</w:t>
      </w:r>
      <w:r>
        <w:rPr>
          <w:rFonts w:hint="eastAsia" w:ascii="仿宋" w:hAnsi="仿宋" w:eastAsia="仿宋" w:cs="仿宋"/>
          <w:sz w:val="32"/>
          <w:szCs w:val="32"/>
        </w:rPr>
        <w:t>第六章公务用车管理车辆维修“在进行车辆保养、维修活动之前，要认真填写维修审批单，经审批同意后送定点修理厂维修。汽车修好后，由办公室与驾驶员逐一核对，报批维修费用。”规定执行。</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eastAsia="仿宋" w:cs="仿宋"/>
          <w:kern w:val="0"/>
          <w:sz w:val="32"/>
          <w:szCs w:val="32"/>
          <w:lang w:bidi="ar"/>
        </w:rPr>
      </w:pPr>
      <w:r>
        <w:rPr>
          <w:rFonts w:hint="eastAsia" w:ascii="仿宋" w:hAnsi="仿宋" w:eastAsia="仿宋" w:cs="仿宋"/>
          <w:kern w:val="0"/>
          <w:sz w:val="32"/>
          <w:szCs w:val="32"/>
          <w:lang w:bidi="ar"/>
        </w:rPr>
        <w:t>所有记账凭证下方信息如会计主管、审核、记账、制单、出纳等未落款具体操作人员，影响了会计信息质量的真实性。会计信息质量不能如实可靠反映记账事实。</w:t>
      </w:r>
    </w:p>
    <w:p>
      <w:pPr>
        <w:pStyle w:val="3"/>
        <w:spacing w:before="120"/>
        <w:ind w:firstLine="643"/>
        <w:rPr>
          <w:rFonts w:hint="eastAsia"/>
        </w:rPr>
      </w:pPr>
      <w:r>
        <w:rPr>
          <w:rFonts w:hint="eastAsia"/>
        </w:rPr>
        <w:t>（二）建议和改进举措</w:t>
      </w:r>
    </w:p>
    <w:p>
      <w:pPr>
        <w:pStyle w:val="4"/>
        <w:ind w:firstLine="643"/>
        <w:rPr>
          <w:rFonts w:hint="eastAsia" w:eastAsia="楷体"/>
          <w:lang w:eastAsia="zh-CN"/>
        </w:rPr>
      </w:pPr>
      <w:r>
        <w:rPr>
          <w:rFonts w:hint="eastAsia"/>
        </w:rPr>
        <w:t>1.</w:t>
      </w:r>
      <w:r>
        <w:rPr>
          <w:rFonts w:hint="eastAsia"/>
          <w:lang w:val="en-US" w:eastAsia="zh-CN"/>
        </w:rPr>
        <w:t>加强预算管理</w:t>
      </w:r>
    </w:p>
    <w:p>
      <w:pPr>
        <w:pStyle w:val="5"/>
        <w:bidi w:val="0"/>
        <w:rPr>
          <w:rFonts w:hint="eastAsia"/>
        </w:rPr>
      </w:pPr>
      <w:r>
        <w:rPr>
          <w:rFonts w:hint="eastAsia"/>
        </w:rPr>
        <w:t>（1）加大预算执行管理力度</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Cs w:val="32"/>
        </w:rPr>
      </w:pPr>
      <w:r>
        <w:rPr>
          <w:rFonts w:hint="eastAsia" w:ascii="仿宋" w:hAnsi="仿宋" w:eastAsia="仿宋" w:cs="仿宋"/>
          <w:szCs w:val="32"/>
        </w:rPr>
        <w:t>一是提升预算管理科学性，精细化编制项目经费预算，项目申报前组织业务专家进行研讨，充分论证项目的科学性和可行性，提升预算编制的合理性，杜绝违反政策法规的项目通过审批；</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Cs w:val="32"/>
        </w:rPr>
      </w:pPr>
      <w:r>
        <w:rPr>
          <w:rFonts w:hint="eastAsia" w:ascii="仿宋" w:hAnsi="仿宋" w:eastAsia="仿宋" w:cs="仿宋"/>
          <w:szCs w:val="32"/>
        </w:rPr>
        <w:t>二是严格按照项目计划进行，加强项目执行进度情况报告，及时进行项目成果总结；</w:t>
      </w:r>
    </w:p>
    <w:p>
      <w:pPr>
        <w:pStyle w:val="9"/>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三是加强对项目的监督指导工作，对于当年确实无法支付的项目要及时调整预算用途，提高预算执行管理能力；</w:t>
      </w:r>
    </w:p>
    <w:p>
      <w:pPr>
        <w:pStyle w:val="9"/>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四是提升预算管理意识，落实绩效评价责任，严格按照预算编制的相关制度和要求，进一步提高预算编制的科学性、合理性、严谨性和可控性。</w:t>
      </w:r>
    </w:p>
    <w:p>
      <w:pPr>
        <w:pStyle w:val="5"/>
        <w:bidi w:val="0"/>
        <w:rPr>
          <w:rFonts w:hint="eastAsia"/>
        </w:rPr>
      </w:pPr>
      <w:r>
        <w:rPr>
          <w:rFonts w:hint="eastAsia"/>
        </w:rPr>
        <w:t>（2）提升预算绩效管理能力</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eastAsia="仿宋" w:cs="仿宋"/>
          <w:szCs w:val="32"/>
        </w:rPr>
      </w:pPr>
      <w:r>
        <w:rPr>
          <w:rFonts w:hint="eastAsia" w:ascii="仿宋" w:hAnsi="仿宋" w:eastAsia="仿宋" w:cs="仿宋"/>
          <w:szCs w:val="32"/>
        </w:rPr>
        <w:t>建立科学合理的绩效指标框架。健全绩效指标和规范体系，采用科学合理的评价指标和评价规范。</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 w:hAnsi="仿宋" w:cs="仿宋"/>
          <w:szCs w:val="32"/>
        </w:rPr>
      </w:pPr>
      <w:r>
        <w:rPr>
          <w:rFonts w:hint="eastAsia" w:ascii="仿宋" w:hAnsi="仿宋" w:eastAsia="仿宋" w:cs="仿宋"/>
          <w:szCs w:val="32"/>
        </w:rPr>
        <w:t>加强绩效目标管理，对业务部门进行项目绩效目标申报、绩效目标实施与检查、绩效目标自评等全过程的业务培训，包括指标值的选取与设置、过程的监控和事后的绩效目标评价等内容，增强预算单位绩效目标管理意识和能力。</w:t>
      </w:r>
    </w:p>
    <w:p>
      <w:pPr>
        <w:pStyle w:val="4"/>
        <w:ind w:firstLine="643"/>
        <w:rPr>
          <w:rFonts w:hint="eastAsia"/>
        </w:rPr>
      </w:pPr>
      <w:r>
        <w:rPr>
          <w:rFonts w:hint="eastAsia"/>
        </w:rPr>
        <w:t>2.加强固定资产管理工作</w:t>
      </w:r>
    </w:p>
    <w:p>
      <w:pPr>
        <w:keepNext w:val="0"/>
        <w:keepLines w:val="0"/>
        <w:pageBreakBefore w:val="0"/>
        <w:widowControl/>
        <w:kinsoku/>
        <w:wordWrap/>
        <w:overflowPunct/>
        <w:topLinePunct w:val="0"/>
        <w:autoSpaceDE/>
        <w:autoSpaceDN/>
        <w:bidi w:val="0"/>
        <w:adjustRightInd/>
        <w:snapToGrid/>
        <w:ind w:firstLine="640"/>
        <w:textAlignment w:val="auto"/>
        <w:rPr>
          <w:rFonts w:hint="eastAsia" w:ascii="仿宋" w:hAnsi="仿宋" w:cs="仿宋"/>
          <w:kern w:val="0"/>
          <w:szCs w:val="32"/>
          <w:lang w:bidi="ar"/>
        </w:rPr>
      </w:pPr>
      <w:r>
        <w:rPr>
          <w:rFonts w:hint="eastAsia" w:ascii="仿宋" w:hAnsi="仿宋" w:cs="仿宋"/>
          <w:kern w:val="0"/>
          <w:szCs w:val="32"/>
          <w:lang w:bidi="ar"/>
        </w:rPr>
        <w:t>建议完善单位国有资产管理办法，强化和落实资产管理责任；建议单位每季度、半年和年末组织开展资产清查，摸清行政事业单位国有资产家底，清点账外资产，及时调整账目，保障资产账账、账实相符，盘活闲置资产，提高资产利用率。</w:t>
      </w:r>
    </w:p>
    <w:p>
      <w:pPr>
        <w:pStyle w:val="4"/>
        <w:ind w:firstLine="643"/>
        <w:rPr>
          <w:rFonts w:hint="eastAsia"/>
        </w:rPr>
      </w:pPr>
      <w:r>
        <w:rPr>
          <w:rFonts w:hint="eastAsia"/>
        </w:rPr>
        <w:t>3.提高制度执行力</w:t>
      </w:r>
    </w:p>
    <w:p>
      <w:pPr>
        <w:pStyle w:val="11"/>
        <w:keepNext w:val="0"/>
        <w:keepLines w:val="0"/>
        <w:pageBreakBefore w:val="0"/>
        <w:kinsoku/>
        <w:wordWrap/>
        <w:overflowPunct/>
        <w:topLinePunct w:val="0"/>
        <w:autoSpaceDE/>
        <w:autoSpaceDN/>
        <w:bidi w:val="0"/>
        <w:adjustRightInd/>
        <w:snapToGrid/>
        <w:ind w:firstLine="640"/>
        <w:textAlignment w:val="auto"/>
        <w:rPr>
          <w:rFonts w:hint="eastAsia" w:ascii="仿宋" w:hAnsi="仿宋" w:cs="仿宋"/>
          <w:sz w:val="32"/>
          <w:szCs w:val="32"/>
        </w:rPr>
      </w:pPr>
      <w:r>
        <w:rPr>
          <w:rFonts w:hint="eastAsia" w:ascii="仿宋" w:hAnsi="仿宋" w:cs="仿宋"/>
          <w:kern w:val="0"/>
          <w:sz w:val="32"/>
          <w:szCs w:val="32"/>
          <w:lang w:bidi="ar"/>
        </w:rPr>
        <w:t>部门制度相对完善，但是执行不到位。建议建立健全制度执行机制，使制度落地生根；增加督查力度，对制度执行中的重要节点和关键环节进行督查，保证制度能够顺利执行；加强宣传和教育，让部门员工认识到制度执行的重要性和必要性；给予制度执行者充分的激励和考核机制。</w:t>
      </w:r>
    </w:p>
    <w:p>
      <w:pPr>
        <w:pStyle w:val="2"/>
        <w:ind w:firstLine="640"/>
        <w:rPr>
          <w:rFonts w:hint="eastAsia"/>
        </w:rPr>
      </w:pPr>
      <w:r>
        <w:rPr>
          <w:rFonts w:hint="eastAsia"/>
        </w:rPr>
        <w:fldChar w:fldCharType="begin"/>
      </w:r>
      <w:r>
        <w:rPr>
          <w:rFonts w:hint="eastAsia"/>
        </w:rPr>
        <w:instrText xml:space="preserve"> HYPERLINK \l "_Toc455996735" </w:instrText>
      </w:r>
      <w:r>
        <w:rPr>
          <w:rFonts w:hint="eastAsia"/>
        </w:rPr>
        <w:fldChar w:fldCharType="separate"/>
      </w:r>
      <w:r>
        <w:rPr>
          <w:rFonts w:hint="eastAsia"/>
        </w:rPr>
        <w:t>七、相关附件</w:t>
      </w:r>
      <w:r>
        <w:rPr>
          <w:rFonts w:hint="eastAsia"/>
        </w:rPr>
        <w:fldChar w:fldCharType="end"/>
      </w:r>
    </w:p>
    <w:p>
      <w:pPr>
        <w:keepNext w:val="0"/>
        <w:keepLines w:val="0"/>
        <w:pageBreakBefore w:val="0"/>
        <w:kinsoku/>
        <w:wordWrap/>
        <w:overflowPunct/>
        <w:topLinePunct w:val="0"/>
        <w:autoSpaceDE/>
        <w:autoSpaceDN/>
        <w:bidi w:val="0"/>
        <w:adjustRightInd/>
        <w:snapToGrid/>
        <w:ind w:firstLine="640"/>
        <w:textAlignment w:val="auto"/>
        <w:rPr>
          <w:rFonts w:hint="eastAsia" w:ascii="仿宋" w:hAnsi="仿宋" w:cs="仿宋"/>
          <w:kern w:val="0"/>
          <w:szCs w:val="32"/>
          <w:lang w:bidi="ar"/>
        </w:rPr>
      </w:pPr>
      <w:r>
        <w:rPr>
          <w:rFonts w:hint="eastAsia" w:ascii="仿宋" w:hAnsi="仿宋" w:cs="仿宋"/>
          <w:kern w:val="0"/>
          <w:szCs w:val="32"/>
          <w:lang w:bidi="ar"/>
        </w:rPr>
        <w:t>附件：遂宁市市场监督管理局高新区分局2023年度部门整体支出绩效评</w:t>
      </w:r>
      <w:r>
        <w:rPr>
          <w:rFonts w:hint="eastAsia" w:ascii="仿宋" w:hAnsi="仿宋" w:cs="仿宋"/>
          <w:kern w:val="0"/>
          <w:szCs w:val="32"/>
          <w:lang w:val="en-US" w:eastAsia="zh-CN" w:bidi="ar"/>
        </w:rPr>
        <w:t>分</w:t>
      </w:r>
      <w:r>
        <w:rPr>
          <w:rFonts w:hint="eastAsia" w:ascii="仿宋" w:hAnsi="仿宋" w:cs="仿宋"/>
          <w:kern w:val="0"/>
          <w:szCs w:val="32"/>
          <w:lang w:bidi="ar"/>
        </w:rPr>
        <w:t>表</w:t>
      </w:r>
    </w:p>
    <w:p>
      <w:pPr>
        <w:autoSpaceDE w:val="0"/>
        <w:autoSpaceDN w:val="0"/>
        <w:ind w:firstLine="640"/>
        <w:rPr>
          <w:rFonts w:hint="eastAsia" w:ascii="仿宋" w:hAnsi="仿宋" w:cs="仿宋"/>
          <w:kern w:val="0"/>
          <w:szCs w:val="32"/>
          <w:shd w:val="clear" w:color="auto" w:fill="FFFFFF"/>
        </w:rPr>
      </w:pPr>
    </w:p>
    <w:p>
      <w:pPr>
        <w:autoSpaceDE w:val="0"/>
        <w:autoSpaceDN w:val="0"/>
        <w:ind w:firstLine="640"/>
        <w:rPr>
          <w:rFonts w:hint="eastAsia" w:ascii="仿宋" w:hAnsi="仿宋" w:cs="仿宋"/>
          <w:kern w:val="0"/>
          <w:szCs w:val="32"/>
          <w:shd w:val="clear" w:color="auto" w:fill="FFFFFF"/>
        </w:rPr>
      </w:pPr>
    </w:p>
    <w:p>
      <w:pPr>
        <w:keepNext w:val="0"/>
        <w:keepLines w:val="0"/>
        <w:pageBreakBefore w:val="0"/>
        <w:widowControl w:val="0"/>
        <w:kinsoku/>
        <w:wordWrap/>
        <w:overflowPunct w:val="0"/>
        <w:topLinePunct w:val="0"/>
        <w:autoSpaceDE w:val="0"/>
        <w:autoSpaceDN w:val="0"/>
        <w:bidi w:val="0"/>
        <w:adjustRightInd w:val="0"/>
        <w:snapToGrid w:val="0"/>
        <w:spacing w:before="0" w:beforeLines="100" w:after="0" w:afterLines="100" w:line="560" w:lineRule="exact"/>
        <w:ind w:left="0" w:leftChars="0" w:firstLine="0" w:firstLineChars="0"/>
        <w:jc w:val="center"/>
        <w:textAlignment w:val="baseline"/>
        <w:outlineLvl w:val="9"/>
        <w:rPr>
          <w:rFonts w:hint="eastAsia" w:ascii="宋体" w:hAnsi="宋体" w:eastAsia="宋体" w:cs="宋体"/>
          <w:b/>
          <w:bCs/>
          <w:color w:val="auto"/>
          <w:sz w:val="44"/>
          <w:szCs w:val="44"/>
          <w:highlight w:val="none"/>
        </w:rPr>
      </w:pPr>
      <w:bookmarkStart w:id="1775" w:name="_Toc87"/>
      <w:bookmarkStart w:id="1776" w:name="_Toc11346"/>
      <w:bookmarkStart w:id="1777" w:name="_Toc11697"/>
      <w:bookmarkStart w:id="1778" w:name="_Toc4962"/>
      <w:bookmarkStart w:id="1779" w:name="_Toc12030"/>
      <w:bookmarkStart w:id="1780" w:name="_Toc3000"/>
      <w:r>
        <w:rPr>
          <w:rFonts w:hint="eastAsia" w:ascii="宋体" w:hAnsi="宋体" w:eastAsia="宋体" w:cs="宋体"/>
          <w:b/>
          <w:bCs/>
          <w:color w:val="auto"/>
          <w:sz w:val="44"/>
          <w:szCs w:val="44"/>
          <w:highlight w:val="none"/>
        </w:rPr>
        <w:t>遂宁</w:t>
      </w:r>
      <w:bookmarkEnd w:id="1775"/>
      <w:bookmarkEnd w:id="1776"/>
      <w:r>
        <w:rPr>
          <w:rFonts w:hint="eastAsia" w:ascii="宋体" w:hAnsi="宋体" w:eastAsia="宋体" w:cs="宋体"/>
          <w:b/>
          <w:bCs/>
          <w:color w:val="auto"/>
          <w:sz w:val="44"/>
          <w:szCs w:val="44"/>
          <w:highlight w:val="none"/>
        </w:rPr>
        <w:t>高新区经济合作中心2023年度</w:t>
      </w:r>
    </w:p>
    <w:p>
      <w:pPr>
        <w:keepNext w:val="0"/>
        <w:keepLines w:val="0"/>
        <w:pageBreakBefore w:val="0"/>
        <w:widowControl w:val="0"/>
        <w:kinsoku/>
        <w:wordWrap/>
        <w:overflowPunct w:val="0"/>
        <w:topLinePunct w:val="0"/>
        <w:autoSpaceDE w:val="0"/>
        <w:autoSpaceDN w:val="0"/>
        <w:bidi w:val="0"/>
        <w:adjustRightInd w:val="0"/>
        <w:snapToGrid w:val="0"/>
        <w:spacing w:before="0" w:beforeLines="100" w:after="0" w:afterLines="100" w:line="560" w:lineRule="exact"/>
        <w:ind w:left="0" w:leftChars="0" w:firstLine="0" w:firstLineChars="0"/>
        <w:jc w:val="center"/>
        <w:textAlignment w:val="baseline"/>
        <w:outlineLvl w:val="9"/>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部门整体支出绩效评价报告</w:t>
      </w:r>
      <w:bookmarkEnd w:id="1777"/>
      <w:bookmarkEnd w:id="1778"/>
      <w:bookmarkEnd w:id="1779"/>
      <w:bookmarkEnd w:id="1780"/>
    </w:p>
    <w:p>
      <w:pPr>
        <w:keepNext w:val="0"/>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0" w:firstLineChars="0"/>
        <w:jc w:val="center"/>
        <w:textAlignment w:val="baseline"/>
        <w:outlineLvl w:val="0"/>
        <w:rPr>
          <w:rFonts w:hint="eastAsia" w:ascii="黑体" w:hAnsi="黑体" w:eastAsia="黑体" w:cs="黑体"/>
          <w:color w:val="auto"/>
          <w:sz w:val="44"/>
          <w:szCs w:val="44"/>
          <w:highlight w:val="none"/>
        </w:rPr>
      </w:pPr>
      <w:bookmarkStart w:id="1781" w:name="_Toc30754"/>
      <w:bookmarkStart w:id="1782" w:name="_Toc13918"/>
      <w:bookmarkStart w:id="1783" w:name="_Toc26642"/>
      <w:bookmarkStart w:id="1784" w:name="_Toc16486"/>
      <w:bookmarkStart w:id="1785" w:name="_Toc17765"/>
      <w:bookmarkStart w:id="1786" w:name="_Toc17408"/>
      <w:bookmarkStart w:id="1787" w:name="_Toc21267"/>
      <w:bookmarkStart w:id="1788" w:name="_Toc4921"/>
      <w:bookmarkStart w:id="1789" w:name="_Toc9772"/>
      <w:bookmarkStart w:id="1790" w:name="_Toc18069"/>
      <w:bookmarkStart w:id="1791" w:name="_Toc29972"/>
      <w:bookmarkStart w:id="1792" w:name="_Toc9834"/>
      <w:bookmarkStart w:id="1793" w:name="_Toc3063"/>
      <w:r>
        <w:rPr>
          <w:rFonts w:hint="eastAsia" w:ascii="黑体" w:hAnsi="黑体" w:eastAsia="黑体" w:cs="黑体"/>
          <w:color w:val="auto"/>
          <w:sz w:val="44"/>
          <w:szCs w:val="44"/>
          <w:highlight w:val="none"/>
        </w:rPr>
        <w:t>摘要</w:t>
      </w:r>
      <w:bookmarkEnd w:id="1781"/>
      <w:bookmarkEnd w:id="1782"/>
      <w:bookmarkEnd w:id="1783"/>
      <w:bookmarkEnd w:id="1784"/>
      <w:bookmarkEnd w:id="1785"/>
      <w:bookmarkEnd w:id="1786"/>
      <w:bookmarkEnd w:id="1787"/>
      <w:bookmarkEnd w:id="1788"/>
      <w:bookmarkEnd w:id="1789"/>
      <w:bookmarkEnd w:id="1790"/>
      <w:bookmarkEnd w:id="1791"/>
      <w:bookmarkEnd w:id="1792"/>
      <w:bookmarkEnd w:id="1793"/>
    </w:p>
    <w:p>
      <w:pPr>
        <w:keepLines w:val="0"/>
        <w:pageBreakBefore w:val="0"/>
        <w:widowControl w:val="0"/>
        <w:kinsoku/>
        <w:wordWrap/>
        <w:overflowPunct w:val="0"/>
        <w:topLinePunct w:val="0"/>
        <w:autoSpaceDE w:val="0"/>
        <w:autoSpaceDN w:val="0"/>
        <w:bidi w:val="0"/>
        <w:spacing w:line="560" w:lineRule="exact"/>
        <w:ind w:left="0" w:leftChars="0" w:firstLine="671" w:firstLineChars="200"/>
        <w:jc w:val="both"/>
        <w:rPr>
          <w:rFonts w:hint="eastAsia" w:ascii="黑体" w:hAnsi="黑体" w:eastAsia="黑体" w:cs="黑体"/>
          <w:b/>
          <w:bCs/>
          <w:color w:val="auto"/>
          <w:spacing w:val="7"/>
          <w:szCs w:val="32"/>
          <w:highlight w:val="none"/>
          <w:lang w:eastAsia="zh-CN"/>
        </w:rPr>
      </w:pPr>
      <w:r>
        <w:rPr>
          <w:rFonts w:hint="eastAsia" w:ascii="黑体" w:hAnsi="黑体" w:eastAsia="黑体" w:cs="黑体"/>
          <w:b/>
          <w:bCs/>
          <w:color w:val="auto"/>
          <w:spacing w:val="7"/>
          <w:szCs w:val="32"/>
          <w:highlight w:val="none"/>
        </w:rPr>
        <w:t>部门</w:t>
      </w:r>
      <w:r>
        <w:rPr>
          <w:rFonts w:hint="eastAsia" w:ascii="黑体" w:hAnsi="黑体" w:eastAsia="黑体" w:cs="黑体"/>
          <w:b/>
          <w:bCs/>
          <w:color w:val="auto"/>
          <w:spacing w:val="7"/>
          <w:szCs w:val="32"/>
          <w:highlight w:val="none"/>
          <w:lang w:eastAsia="zh-CN"/>
        </w:rPr>
        <w:t>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Cs w:val="32"/>
          <w:highlight w:val="none"/>
          <w:lang w:val="zh-CN"/>
        </w:rPr>
      </w:pPr>
      <w:r>
        <w:rPr>
          <w:rFonts w:hint="eastAsia" w:ascii="仿宋" w:hAnsi="仿宋" w:eastAsia="仿宋" w:cs="仿宋"/>
          <w:color w:val="auto"/>
          <w:highlight w:val="none"/>
        </w:rPr>
        <w:t>遂宁高新区经济合作中心为遂宁高新区所属正科级公益一类事业单位。</w:t>
      </w:r>
      <w:r>
        <w:rPr>
          <w:rFonts w:hint="eastAsia" w:ascii="仿宋" w:hAnsi="仿宋" w:eastAsia="仿宋" w:cs="仿宋"/>
          <w:color w:val="auto"/>
          <w:sz w:val="32"/>
          <w:szCs w:val="32"/>
          <w:highlight w:val="none"/>
          <w:lang w:val="zh-CN"/>
        </w:rPr>
        <w:t>主要职责是：</w:t>
      </w:r>
      <w:r>
        <w:rPr>
          <w:rFonts w:hint="eastAsia" w:ascii="仿宋" w:hAnsi="仿宋" w:eastAsia="仿宋" w:cs="仿宋"/>
          <w:color w:val="auto"/>
          <w:sz w:val="32"/>
          <w:szCs w:val="32"/>
          <w:highlight w:val="none"/>
          <w:lang w:val="en-US" w:eastAsia="zh-CN"/>
        </w:rPr>
        <w:t>承担园区招引和投资服务等方面的事务性工作；负责招商引资项目投资协议的签订和解除（终止）；负责外商投资促进和管理工作；负责策划、包装和宣传招商引资项目；负责组织各类招商活动；负责对接协调各级驻外机构涉及的招商引资工作。完成党工委、管委会和上级有关部门交办的其他工作</w:t>
      </w:r>
      <w:r>
        <w:rPr>
          <w:rFonts w:hint="eastAsia" w:ascii="仿宋" w:hAnsi="仿宋" w:eastAsia="仿宋" w:cs="仿宋"/>
          <w:color w:val="auto"/>
          <w:sz w:val="32"/>
          <w:szCs w:val="32"/>
          <w:highlight w:val="none"/>
        </w:rPr>
        <w:t>。</w:t>
      </w:r>
      <w:r>
        <w:rPr>
          <w:rFonts w:hint="eastAsia" w:ascii="仿宋" w:hAnsi="仿宋" w:eastAsia="仿宋" w:cs="仿宋"/>
          <w:color w:val="auto"/>
          <w:highlight w:val="none"/>
          <w:lang w:val="zh-CN"/>
        </w:rPr>
        <w:t>内设综合组、</w:t>
      </w:r>
      <w:r>
        <w:rPr>
          <w:rFonts w:hint="eastAsia" w:ascii="仿宋" w:hAnsi="仿宋" w:eastAsia="仿宋" w:cs="仿宋"/>
          <w:color w:val="auto"/>
          <w:highlight w:val="none"/>
        </w:rPr>
        <w:t>产业组、统计组</w:t>
      </w:r>
      <w:r>
        <w:rPr>
          <w:rFonts w:hint="eastAsia" w:ascii="仿宋" w:hAnsi="仿宋" w:eastAsia="仿宋" w:cs="仿宋"/>
          <w:color w:val="auto"/>
          <w:highlight w:val="none"/>
          <w:lang w:eastAsia="zh-CN"/>
        </w:rPr>
        <w:t>、</w:t>
      </w:r>
      <w:r>
        <w:rPr>
          <w:rFonts w:hint="eastAsia" w:ascii="仿宋" w:hAnsi="仿宋" w:eastAsia="仿宋" w:cs="仿宋"/>
          <w:b w:val="0"/>
          <w:bCs w:val="0"/>
          <w:color w:val="auto"/>
          <w:szCs w:val="32"/>
          <w:highlight w:val="none"/>
        </w:rPr>
        <w:t>历史遗留问题</w:t>
      </w:r>
      <w:r>
        <w:rPr>
          <w:rFonts w:hint="eastAsia" w:ascii="仿宋" w:hAnsi="仿宋" w:eastAsia="仿宋" w:cs="仿宋"/>
          <w:b w:val="0"/>
          <w:bCs w:val="0"/>
          <w:color w:val="auto"/>
          <w:szCs w:val="32"/>
          <w:highlight w:val="none"/>
          <w:lang w:eastAsia="zh-CN"/>
        </w:rPr>
        <w:t>小</w:t>
      </w:r>
      <w:r>
        <w:rPr>
          <w:rFonts w:hint="eastAsia" w:ascii="仿宋" w:hAnsi="仿宋" w:eastAsia="仿宋" w:cs="仿宋"/>
          <w:b w:val="0"/>
          <w:bCs w:val="0"/>
          <w:color w:val="auto"/>
          <w:szCs w:val="32"/>
          <w:highlight w:val="none"/>
        </w:rPr>
        <w:t>组</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val="zh-CN"/>
        </w:rPr>
        <w:t>个职能组室。</w:t>
      </w:r>
    </w:p>
    <w:p>
      <w:pPr>
        <w:keepLines w:val="0"/>
        <w:pageBreakBefore w:val="0"/>
        <w:widowControl w:val="0"/>
        <w:kinsoku/>
        <w:wordWrap/>
        <w:overflowPunct w:val="0"/>
        <w:topLinePunct w:val="0"/>
        <w:autoSpaceDE w:val="0"/>
        <w:autoSpaceDN w:val="0"/>
        <w:bidi w:val="0"/>
        <w:spacing w:line="560" w:lineRule="exact"/>
        <w:ind w:left="0" w:leftChars="0" w:firstLine="671" w:firstLineChars="200"/>
        <w:jc w:val="both"/>
        <w:rPr>
          <w:rFonts w:hint="eastAsia" w:ascii="黑体" w:hAnsi="黑体" w:eastAsia="黑体" w:cs="宋体"/>
          <w:b/>
          <w:bCs/>
          <w:color w:val="auto"/>
          <w:spacing w:val="7"/>
          <w:szCs w:val="32"/>
          <w:highlight w:val="none"/>
        </w:rPr>
      </w:pPr>
      <w:bookmarkStart w:id="1794" w:name="_Toc2207"/>
      <w:bookmarkStart w:id="1795" w:name="_Toc25738"/>
      <w:bookmarkStart w:id="1796" w:name="_Toc9250"/>
      <w:bookmarkStart w:id="1797" w:name="_Toc1801"/>
      <w:r>
        <w:rPr>
          <w:rFonts w:ascii="黑体" w:hAnsi="黑体" w:eastAsia="黑体" w:cs="宋体"/>
          <w:b/>
          <w:bCs/>
          <w:color w:val="auto"/>
          <w:spacing w:val="7"/>
          <w:szCs w:val="32"/>
          <w:highlight w:val="none"/>
        </w:rPr>
        <w:t>评价结论</w:t>
      </w:r>
      <w:bookmarkEnd w:id="1794"/>
      <w:bookmarkEnd w:id="1795"/>
      <w:bookmarkEnd w:id="1796"/>
      <w:bookmarkEnd w:id="1797"/>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黑体" w:hAnsi="黑体" w:eastAsia="黑体" w:cs="宋体"/>
          <w:b/>
          <w:bCs/>
          <w:color w:val="auto"/>
          <w:spacing w:val="7"/>
          <w:szCs w:val="32"/>
          <w:highlight w:val="none"/>
        </w:rPr>
      </w:pPr>
      <w:r>
        <w:rPr>
          <w:rFonts w:hint="eastAsia" w:ascii="仿宋" w:hAnsi="仿宋" w:cs="仿宋"/>
          <w:color w:val="auto"/>
          <w:highlight w:val="none"/>
        </w:rPr>
        <w:t>2023年，遂宁高新区经济合作中心</w:t>
      </w:r>
      <w:r>
        <w:rPr>
          <w:rFonts w:hint="eastAsia" w:ascii="仿宋" w:hAnsi="仿宋" w:cs="仿宋"/>
          <w:color w:val="auto"/>
          <w:szCs w:val="32"/>
          <w:highlight w:val="none"/>
          <w:lang w:bidi="ar"/>
        </w:rPr>
        <w:t>按规定编报了部门绩效目标，目标设立较为合理，符合绩效管理相关规定，与地方发展规划的目标方向一致，相应工作内容与三定方案确定的职责相契合。但是部分绩效指标设置不够明确、细化、量化。</w:t>
      </w:r>
      <w:r>
        <w:rPr>
          <w:rFonts w:hint="eastAsia" w:ascii="仿宋" w:hAnsi="仿宋" w:cs="仿宋"/>
          <w:color w:val="auto"/>
          <w:highlight w:val="none"/>
        </w:rPr>
        <w:t>遂宁高新区经济合作中心</w:t>
      </w:r>
      <w:r>
        <w:rPr>
          <w:rFonts w:hint="eastAsia" w:ascii="仿宋" w:hAnsi="仿宋" w:cs="仿宋"/>
          <w:color w:val="auto"/>
          <w:szCs w:val="32"/>
          <w:highlight w:val="none"/>
        </w:rPr>
        <w:t>制定了中长期发展规划，</w:t>
      </w:r>
      <w:r>
        <w:rPr>
          <w:rFonts w:hint="eastAsia" w:ascii="仿宋" w:hAnsi="仿宋" w:cs="仿宋"/>
          <w:color w:val="auto"/>
          <w:szCs w:val="32"/>
          <w:highlight w:val="none"/>
          <w:lang w:bidi="ar"/>
        </w:rPr>
        <w:t>完成了本年度各项工作任务，基本达到了部门绩效总体目标和各项指标要求或指标值。遂宁高新区经济合作中心紧抓预算管理和执行，</w:t>
      </w:r>
      <w:r>
        <w:rPr>
          <w:rFonts w:hint="eastAsia" w:ascii="仿宋" w:hAnsi="仿宋" w:cs="仿宋"/>
          <w:color w:val="auto"/>
          <w:szCs w:val="32"/>
          <w:highlight w:val="none"/>
        </w:rPr>
        <w:t>完成了2023年度预算支出，</w:t>
      </w:r>
      <w:r>
        <w:rPr>
          <w:rFonts w:hint="eastAsia" w:ascii="仿宋" w:hAnsi="仿宋" w:cs="仿宋"/>
          <w:color w:val="auto"/>
          <w:highlight w:val="none"/>
        </w:rPr>
        <w:t>预算执行率为100.00%，年度内未发生</w:t>
      </w:r>
      <w:r>
        <w:rPr>
          <w:rFonts w:hint="eastAsia" w:ascii="仿宋" w:hAnsi="仿宋" w:cs="仿宋"/>
          <w:color w:val="auto"/>
          <w:szCs w:val="32"/>
          <w:highlight w:val="none"/>
          <w:lang w:bidi="ar"/>
        </w:rPr>
        <w:t>三公经费</w:t>
      </w:r>
      <w:r>
        <w:rPr>
          <w:rFonts w:hint="eastAsia" w:ascii="仿宋" w:hAnsi="仿宋" w:cs="仿宋"/>
          <w:color w:val="auto"/>
          <w:szCs w:val="32"/>
          <w:highlight w:val="none"/>
        </w:rPr>
        <w:t>支出，三公经费控制良好</w:t>
      </w:r>
      <w:r>
        <w:rPr>
          <w:rFonts w:hint="eastAsia" w:ascii="仿宋" w:hAnsi="仿宋" w:cs="仿宋"/>
          <w:color w:val="auto"/>
          <w:szCs w:val="32"/>
          <w:highlight w:val="none"/>
          <w:lang w:bidi="ar"/>
        </w:rPr>
        <w:t>。2023年遂宁高新区经济合作中心实际在岗人数未达到三定方案确定的人员编制数量，部门制定了部分内部管理制度，但不够健全，相关资产管理工作不够到位。遂宁高新区经济合作中心</w:t>
      </w:r>
      <w:r>
        <w:rPr>
          <w:rFonts w:hint="eastAsia" w:ascii="仿宋" w:hAnsi="仿宋" w:cs="仿宋"/>
          <w:color w:val="auto"/>
          <w:szCs w:val="32"/>
          <w:highlight w:val="none"/>
        </w:rPr>
        <w:t>各项工作任务均已顺利完成，较好地履行了部门工作职责。部门</w:t>
      </w:r>
      <w:r>
        <w:rPr>
          <w:rFonts w:hint="eastAsia" w:ascii="仿宋" w:hAnsi="仿宋" w:cs="仿宋"/>
          <w:color w:val="auto"/>
          <w:szCs w:val="32"/>
          <w:highlight w:val="none"/>
          <w:lang w:bidi="ar"/>
        </w:rPr>
        <w:t>工作的完成取得了相应的社会效益和一定的经济效益。群众满意度总体较高。经综合评议，遂宁高新区经济合作中心2023年度部门整体支出绩效评价综合得分</w:t>
      </w:r>
      <w:r>
        <w:rPr>
          <w:rFonts w:hint="eastAsia" w:ascii="仿宋" w:hAnsi="仿宋" w:cs="仿宋"/>
          <w:color w:val="auto"/>
          <w:szCs w:val="32"/>
          <w:highlight w:val="none"/>
          <w:lang w:val="en-US" w:eastAsia="zh-CN" w:bidi="ar"/>
        </w:rPr>
        <w:t>85.50</w:t>
      </w:r>
      <w:r>
        <w:rPr>
          <w:rFonts w:hint="eastAsia" w:ascii="仿宋" w:hAnsi="仿宋" w:cs="仿宋"/>
          <w:color w:val="auto"/>
          <w:szCs w:val="32"/>
          <w:highlight w:val="none"/>
          <w:lang w:bidi="ar"/>
        </w:rPr>
        <w:t>分，综合绩效评定结论为“良”。</w:t>
      </w:r>
    </w:p>
    <w:p>
      <w:pPr>
        <w:keepLines w:val="0"/>
        <w:pageBreakBefore w:val="0"/>
        <w:widowControl w:val="0"/>
        <w:kinsoku/>
        <w:wordWrap/>
        <w:overflowPunct w:val="0"/>
        <w:topLinePunct w:val="0"/>
        <w:autoSpaceDE w:val="0"/>
        <w:autoSpaceDN w:val="0"/>
        <w:bidi w:val="0"/>
        <w:spacing w:line="560" w:lineRule="exact"/>
        <w:ind w:left="0" w:leftChars="0" w:firstLine="671" w:firstLineChars="200"/>
        <w:jc w:val="both"/>
        <w:rPr>
          <w:rFonts w:hint="eastAsia" w:ascii="黑体" w:hAnsi="黑体" w:eastAsia="黑体" w:cs="宋体"/>
          <w:b/>
          <w:bCs/>
          <w:color w:val="auto"/>
          <w:spacing w:val="7"/>
          <w:szCs w:val="32"/>
          <w:highlight w:val="none"/>
        </w:rPr>
      </w:pPr>
      <w:r>
        <w:rPr>
          <w:rFonts w:hint="eastAsia" w:ascii="黑体" w:hAnsi="黑体" w:eastAsia="黑体" w:cs="宋体"/>
          <w:b/>
          <w:bCs/>
          <w:color w:val="auto"/>
          <w:spacing w:val="7"/>
          <w:szCs w:val="32"/>
          <w:highlight w:val="none"/>
        </w:rPr>
        <w:t>绩效分析</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60" w:firstLineChars="200"/>
        <w:jc w:val="both"/>
        <w:textAlignment w:val="baseline"/>
        <w:rPr>
          <w:rFonts w:hint="eastAsia" w:ascii="仿宋" w:hAnsi="仿宋" w:cs="仿宋"/>
          <w:color w:val="auto"/>
          <w:spacing w:val="5"/>
          <w:szCs w:val="32"/>
          <w:highlight w:val="none"/>
        </w:rPr>
      </w:pPr>
      <w:r>
        <w:rPr>
          <w:rFonts w:hint="eastAsia" w:ascii="仿宋" w:hAnsi="仿宋" w:cs="仿宋"/>
          <w:color w:val="auto"/>
          <w:spacing w:val="5"/>
          <w:szCs w:val="32"/>
          <w:highlight w:val="none"/>
        </w:rPr>
        <w:t>遂宁高新区经济合作中心2023年度整体支出绩效评价，投入指标预算编制和预算配置情况执行较为到位，能够按照管理要求申报，配置科学合理，</w:t>
      </w:r>
      <w:r>
        <w:rPr>
          <w:rFonts w:hint="eastAsia" w:ascii="仿宋" w:hAnsi="仿宋" w:cs="仿宋"/>
          <w:color w:val="auto"/>
          <w:highlight w:val="none"/>
        </w:rPr>
        <w:t>指</w:t>
      </w:r>
      <w:r>
        <w:rPr>
          <w:rFonts w:hint="eastAsia"/>
          <w:color w:val="auto"/>
          <w:highlight w:val="none"/>
        </w:rPr>
        <w:t>标设置不够细化量化可衡量</w:t>
      </w:r>
      <w:r>
        <w:rPr>
          <w:rFonts w:hint="eastAsia" w:ascii="仿宋" w:hAnsi="仿宋" w:cs="仿宋"/>
          <w:color w:val="auto"/>
          <w:spacing w:val="5"/>
          <w:szCs w:val="32"/>
          <w:highlight w:val="none"/>
        </w:rPr>
        <w:t>，人员未达到编制数量，投入指标总分20.00分，得分1</w:t>
      </w:r>
      <w:r>
        <w:rPr>
          <w:rFonts w:hint="eastAsia" w:ascii="仿宋" w:hAnsi="仿宋" w:cs="仿宋"/>
          <w:color w:val="auto"/>
          <w:spacing w:val="5"/>
          <w:szCs w:val="32"/>
          <w:highlight w:val="none"/>
          <w:lang w:val="en-US" w:eastAsia="zh-CN"/>
        </w:rPr>
        <w:t>6</w:t>
      </w:r>
      <w:r>
        <w:rPr>
          <w:rFonts w:hint="eastAsia" w:ascii="仿宋" w:hAnsi="仿宋" w:cs="仿宋"/>
          <w:color w:val="auto"/>
          <w:spacing w:val="5"/>
          <w:szCs w:val="32"/>
          <w:highlight w:val="none"/>
        </w:rPr>
        <w:t>.50分，得分率</w:t>
      </w:r>
      <w:r>
        <w:rPr>
          <w:rFonts w:hint="eastAsia" w:ascii="仿宋" w:hAnsi="仿宋" w:cs="仿宋"/>
          <w:color w:val="auto"/>
          <w:szCs w:val="32"/>
          <w:highlight w:val="none"/>
          <w:lang w:val="en-US" w:eastAsia="zh-CN" w:bidi="ar"/>
        </w:rPr>
        <w:t>8</w:t>
      </w:r>
      <w:r>
        <w:rPr>
          <w:rFonts w:hint="eastAsia" w:ascii="仿宋" w:hAnsi="仿宋" w:cs="仿宋"/>
          <w:color w:val="auto"/>
          <w:szCs w:val="32"/>
          <w:highlight w:val="none"/>
          <w:lang w:bidi="ar"/>
        </w:rPr>
        <w:t>2.50</w:t>
      </w:r>
      <w:r>
        <w:rPr>
          <w:rFonts w:hint="eastAsia" w:ascii="仿宋" w:hAnsi="仿宋" w:cs="仿宋"/>
          <w:color w:val="auto"/>
          <w:spacing w:val="5"/>
          <w:szCs w:val="32"/>
          <w:highlight w:val="none"/>
        </w:rPr>
        <w:t>%。</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60" w:firstLineChars="200"/>
        <w:jc w:val="both"/>
        <w:textAlignment w:val="baseline"/>
        <w:rPr>
          <w:rFonts w:hint="eastAsia" w:ascii="仿宋" w:hAnsi="仿宋" w:cs="仿宋"/>
          <w:color w:val="auto"/>
          <w:spacing w:val="5"/>
          <w:szCs w:val="32"/>
          <w:highlight w:val="none"/>
        </w:rPr>
      </w:pPr>
      <w:r>
        <w:rPr>
          <w:rFonts w:hint="eastAsia" w:ascii="仿宋" w:hAnsi="仿宋" w:cs="仿宋"/>
          <w:color w:val="auto"/>
          <w:spacing w:val="5"/>
          <w:szCs w:val="32"/>
          <w:highlight w:val="none"/>
        </w:rPr>
        <w:t>过程指标预算执行总体可控，预算管理上能够做到总体较好，经费管理有需要加强的地方，会计信息质量控制较好，能够达到客观真实核算和监督单位实际收支，资产管理工作总体可控，</w:t>
      </w:r>
      <w:r>
        <w:rPr>
          <w:rFonts w:hint="eastAsia" w:ascii="仿宋" w:hAnsi="仿宋" w:cs="仿宋"/>
          <w:color w:val="auto"/>
          <w:szCs w:val="32"/>
          <w:highlight w:val="none"/>
          <w:lang w:bidi="ar"/>
        </w:rPr>
        <w:t>资产管理</w:t>
      </w:r>
      <w:r>
        <w:rPr>
          <w:rFonts w:hint="eastAsia"/>
          <w:color w:val="auto"/>
          <w:highlight w:val="none"/>
        </w:rPr>
        <w:t>工作存在不足</w:t>
      </w:r>
      <w:r>
        <w:rPr>
          <w:rFonts w:hint="eastAsia" w:ascii="仿宋" w:hAnsi="仿宋" w:cs="仿宋"/>
          <w:color w:val="auto"/>
          <w:szCs w:val="32"/>
          <w:highlight w:val="none"/>
          <w:lang w:bidi="ar"/>
        </w:rPr>
        <w:t>。</w:t>
      </w:r>
      <w:r>
        <w:rPr>
          <w:rFonts w:hint="eastAsia" w:ascii="仿宋" w:hAnsi="仿宋" w:cs="仿宋"/>
          <w:color w:val="auto"/>
          <w:spacing w:val="5"/>
          <w:szCs w:val="32"/>
          <w:highlight w:val="none"/>
        </w:rPr>
        <w:t>过程指标总分30.00分，得分为2</w:t>
      </w:r>
      <w:r>
        <w:rPr>
          <w:rFonts w:hint="eastAsia" w:ascii="仿宋" w:hAnsi="仿宋" w:cs="仿宋"/>
          <w:color w:val="auto"/>
          <w:spacing w:val="5"/>
          <w:szCs w:val="32"/>
          <w:highlight w:val="none"/>
          <w:lang w:val="en-US" w:eastAsia="zh-CN"/>
        </w:rPr>
        <w:t>2</w:t>
      </w:r>
      <w:r>
        <w:rPr>
          <w:rFonts w:hint="eastAsia" w:ascii="仿宋" w:hAnsi="仿宋" w:cs="仿宋"/>
          <w:color w:val="auto"/>
          <w:spacing w:val="5"/>
          <w:szCs w:val="32"/>
          <w:highlight w:val="none"/>
        </w:rPr>
        <w:t>.00分，得分率7</w:t>
      </w:r>
      <w:r>
        <w:rPr>
          <w:rFonts w:hint="eastAsia" w:ascii="仿宋" w:hAnsi="仿宋" w:cs="仿宋"/>
          <w:color w:val="auto"/>
          <w:spacing w:val="5"/>
          <w:szCs w:val="32"/>
          <w:highlight w:val="none"/>
          <w:lang w:val="en-US" w:eastAsia="zh-CN"/>
        </w:rPr>
        <w:t>3</w:t>
      </w:r>
      <w:r>
        <w:rPr>
          <w:rFonts w:hint="eastAsia" w:ascii="仿宋" w:hAnsi="仿宋" w:cs="仿宋"/>
          <w:color w:val="auto"/>
          <w:spacing w:val="5"/>
          <w:szCs w:val="32"/>
          <w:highlight w:val="none"/>
        </w:rPr>
        <w:t>.</w:t>
      </w:r>
      <w:r>
        <w:rPr>
          <w:rFonts w:hint="eastAsia" w:ascii="仿宋" w:hAnsi="仿宋" w:cs="仿宋"/>
          <w:color w:val="auto"/>
          <w:spacing w:val="5"/>
          <w:szCs w:val="32"/>
          <w:highlight w:val="none"/>
          <w:lang w:val="en-US" w:eastAsia="zh-CN"/>
        </w:rPr>
        <w:t>33</w:t>
      </w:r>
      <w:r>
        <w:rPr>
          <w:rFonts w:hint="eastAsia" w:ascii="仿宋" w:hAnsi="仿宋" w:cs="仿宋"/>
          <w:color w:val="auto"/>
          <w:spacing w:val="5"/>
          <w:szCs w:val="32"/>
          <w:highlight w:val="none"/>
        </w:rPr>
        <w:t>%。预算管理和执行及资产管理工作都有待加强。</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60" w:firstLineChars="200"/>
        <w:jc w:val="both"/>
        <w:textAlignment w:val="baseline"/>
        <w:rPr>
          <w:rFonts w:hint="eastAsia" w:ascii="仿宋" w:hAnsi="仿宋" w:cs="仿宋"/>
          <w:color w:val="auto"/>
          <w:spacing w:val="5"/>
          <w:szCs w:val="32"/>
          <w:highlight w:val="none"/>
        </w:rPr>
      </w:pPr>
      <w:r>
        <w:rPr>
          <w:rFonts w:hint="eastAsia" w:ascii="仿宋" w:hAnsi="仿宋" w:cs="仿宋"/>
          <w:color w:val="auto"/>
          <w:spacing w:val="5"/>
          <w:szCs w:val="32"/>
          <w:highlight w:val="none"/>
        </w:rPr>
        <w:t>产出指标完成情况良好，遂宁高新区经济合作中心2023年度圆满地完成了当年工作任务，相关成果数量和质量都达到绩效目标值。单位履职管理工作成绩稳中有进，但是还不能做到行业前列。本项产出指标分值30.00分，得分为27.50分，得分率91.67%。</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60" w:firstLineChars="200"/>
        <w:jc w:val="both"/>
        <w:textAlignment w:val="baseline"/>
        <w:rPr>
          <w:rFonts w:hint="eastAsia" w:ascii="仿宋" w:hAnsi="仿宋" w:cs="仿宋"/>
          <w:color w:val="auto"/>
          <w:spacing w:val="5"/>
          <w:szCs w:val="32"/>
          <w:highlight w:val="none"/>
        </w:rPr>
      </w:pPr>
      <w:r>
        <w:rPr>
          <w:rFonts w:hint="eastAsia" w:ascii="仿宋" w:hAnsi="仿宋" w:cs="仿宋"/>
          <w:color w:val="auto"/>
          <w:spacing w:val="5"/>
          <w:szCs w:val="32"/>
          <w:highlight w:val="none"/>
        </w:rPr>
        <w:t>效益指标实现情况较好，2023年度遂宁高新区经济合作中心的工作开展和政策施行产生了一定的经济效益，遂宁高新区经济合作中心</w:t>
      </w:r>
      <w:r>
        <w:rPr>
          <w:rFonts w:hint="eastAsia" w:ascii="仿宋" w:hAnsi="仿宋" w:cs="仿宋"/>
          <w:color w:val="auto"/>
          <w:szCs w:val="32"/>
          <w:highlight w:val="none"/>
          <w:lang w:bidi="ar"/>
        </w:rPr>
        <w:t>工作开展和政策施行产生了一定的经济效益，招商引资引进新项目和新企业，</w:t>
      </w:r>
      <w:r>
        <w:rPr>
          <w:rFonts w:hint="eastAsia" w:ascii="仿宋" w:hAnsi="仿宋" w:cs="仿宋"/>
          <w:color w:val="auto"/>
          <w:spacing w:val="5"/>
          <w:szCs w:val="32"/>
          <w:highlight w:val="none"/>
        </w:rPr>
        <w:t>具有很好的社会效益。调查对象总体满意度较高。效益指标分值20.00分，得分19.50分，得分率97.50%。</w:t>
      </w:r>
    </w:p>
    <w:p>
      <w:pPr>
        <w:keepLines w:val="0"/>
        <w:pageBreakBefore w:val="0"/>
        <w:widowControl w:val="0"/>
        <w:kinsoku/>
        <w:wordWrap/>
        <w:overflowPunct w:val="0"/>
        <w:topLinePunct w:val="0"/>
        <w:autoSpaceDE w:val="0"/>
        <w:autoSpaceDN w:val="0"/>
        <w:bidi w:val="0"/>
        <w:spacing w:line="560" w:lineRule="exact"/>
        <w:ind w:left="0" w:leftChars="0" w:firstLine="671" w:firstLineChars="200"/>
        <w:jc w:val="both"/>
        <w:rPr>
          <w:rFonts w:hint="eastAsia" w:ascii="黑体" w:hAnsi="黑体" w:eastAsia="黑体" w:cs="宋体"/>
          <w:b/>
          <w:bCs/>
          <w:color w:val="auto"/>
          <w:spacing w:val="7"/>
          <w:szCs w:val="32"/>
          <w:highlight w:val="none"/>
        </w:rPr>
      </w:pPr>
      <w:r>
        <w:rPr>
          <w:rFonts w:hint="eastAsia" w:ascii="黑体" w:hAnsi="黑体" w:eastAsia="黑体" w:cs="宋体"/>
          <w:b/>
          <w:bCs/>
          <w:color w:val="auto"/>
          <w:spacing w:val="7"/>
          <w:szCs w:val="32"/>
          <w:highlight w:val="none"/>
        </w:rPr>
        <w:t>问题</w:t>
      </w:r>
      <w:r>
        <w:rPr>
          <w:rFonts w:hint="eastAsia" w:eastAsia="黑体"/>
          <w:color w:val="auto"/>
          <w:highlight w:val="none"/>
          <w:lang w:eastAsia="zh-CN"/>
        </w:rPr>
        <w:t>及</w:t>
      </w:r>
      <w:r>
        <w:rPr>
          <w:rFonts w:hint="eastAsia" w:ascii="黑体" w:hAnsi="黑体" w:eastAsia="黑体" w:cs="宋体"/>
          <w:b/>
          <w:bCs/>
          <w:color w:val="auto"/>
          <w:spacing w:val="7"/>
          <w:szCs w:val="32"/>
          <w:highlight w:val="none"/>
        </w:rPr>
        <w:t>建议</w:t>
      </w:r>
    </w:p>
    <w:p>
      <w:pPr>
        <w:keepLines w:val="0"/>
        <w:pageBreakBefore w:val="0"/>
        <w:widowControl w:val="0"/>
        <w:kinsoku/>
        <w:wordWrap/>
        <w:overflowPunct w:val="0"/>
        <w:topLinePunct w:val="0"/>
        <w:autoSpaceDE w:val="0"/>
        <w:autoSpaceDN w:val="0"/>
        <w:bidi w:val="0"/>
        <w:spacing w:line="560" w:lineRule="exact"/>
        <w:ind w:left="0" w:leftChars="0" w:firstLine="660" w:firstLineChars="200"/>
        <w:jc w:val="both"/>
        <w:rPr>
          <w:rFonts w:hint="eastAsia" w:ascii="仿宋" w:hAnsi="仿宋" w:cs="仿宋"/>
          <w:color w:val="auto"/>
          <w:spacing w:val="5"/>
          <w:sz w:val="32"/>
          <w:szCs w:val="32"/>
          <w:highlight w:val="none"/>
        </w:rPr>
      </w:pPr>
      <w:r>
        <w:rPr>
          <w:rFonts w:hint="eastAsia" w:ascii="仿宋" w:hAnsi="仿宋" w:cs="仿宋"/>
          <w:color w:val="auto"/>
          <w:spacing w:val="5"/>
          <w:sz w:val="32"/>
          <w:szCs w:val="32"/>
          <w:highlight w:val="none"/>
        </w:rPr>
        <w:t>本次绩效评价发现了单位预算编制不科学、绩效目标管理不足、固定资产管理不规范、内部管理制度执行有效性有待提升。</w:t>
      </w:r>
    </w:p>
    <w:p>
      <w:pPr>
        <w:keepLines w:val="0"/>
        <w:pageBreakBefore w:val="0"/>
        <w:widowControl w:val="0"/>
        <w:kinsoku/>
        <w:wordWrap/>
        <w:overflowPunct w:val="0"/>
        <w:topLinePunct w:val="0"/>
        <w:autoSpaceDE w:val="0"/>
        <w:autoSpaceDN w:val="0"/>
        <w:bidi w:val="0"/>
        <w:spacing w:line="560" w:lineRule="exact"/>
        <w:ind w:left="0" w:leftChars="0" w:firstLine="660" w:firstLineChars="200"/>
        <w:jc w:val="both"/>
        <w:rPr>
          <w:rFonts w:hint="default" w:ascii="仿宋" w:hAnsi="仿宋" w:eastAsia="仿宋" w:cs="仿宋"/>
          <w:color w:val="auto"/>
          <w:spacing w:val="5"/>
          <w:szCs w:val="32"/>
          <w:highlight w:val="none"/>
          <w:lang w:val="en-US" w:eastAsia="zh-CN"/>
        </w:rPr>
      </w:pPr>
      <w:r>
        <w:rPr>
          <w:rFonts w:hint="eastAsia" w:ascii="仿宋" w:hAnsi="仿宋" w:cs="仿宋"/>
          <w:color w:val="auto"/>
          <w:spacing w:val="5"/>
          <w:sz w:val="32"/>
          <w:szCs w:val="32"/>
          <w:highlight w:val="none"/>
        </w:rPr>
        <w:t>建议单位</w:t>
      </w:r>
      <w:r>
        <w:rPr>
          <w:rFonts w:hint="eastAsia" w:ascii="仿宋" w:hAnsi="仿宋" w:cs="仿宋"/>
          <w:color w:val="auto"/>
          <w:spacing w:val="5"/>
          <w:sz w:val="32"/>
          <w:szCs w:val="32"/>
          <w:highlight w:val="none"/>
          <w:lang w:val="zh-CN"/>
        </w:rPr>
        <w:t>提高预算编制及管理执行水平、</w:t>
      </w:r>
      <w:r>
        <w:rPr>
          <w:rFonts w:hint="eastAsia" w:ascii="仿宋" w:hAnsi="仿宋" w:cs="仿宋"/>
          <w:color w:val="auto"/>
          <w:spacing w:val="5"/>
          <w:sz w:val="32"/>
          <w:szCs w:val="32"/>
          <w:highlight w:val="none"/>
        </w:rPr>
        <w:t>加强固定资产管理工作、提高内部管理的落实执行。</w:t>
      </w:r>
      <w:bookmarkStart w:id="1798" w:name="_Toc6719"/>
      <w:bookmarkStart w:id="1799" w:name="_Toc17956"/>
      <w:bookmarkStart w:id="1800" w:name="_Toc10774"/>
      <w:bookmarkStart w:id="1801" w:name="_Toc18186"/>
    </w:p>
    <w:p>
      <w:pPr>
        <w:keepNext/>
        <w:keepLines w:val="0"/>
        <w:pageBreakBefore w:val="0"/>
        <w:widowControl w:val="0"/>
        <w:kinsoku/>
        <w:wordWrap/>
        <w:overflowPunct w:val="0"/>
        <w:topLinePunct w:val="0"/>
        <w:autoSpaceDE w:val="0"/>
        <w:autoSpaceDN w:val="0"/>
        <w:bidi w:val="0"/>
        <w:adjustRightInd w:val="0"/>
        <w:snapToGrid w:val="0"/>
        <w:spacing w:before="0" w:beforeLines="100" w:after="0" w:line="560" w:lineRule="exact"/>
        <w:ind w:left="0" w:leftChars="0" w:firstLine="883" w:firstLineChars="200"/>
        <w:jc w:val="both"/>
        <w:textAlignment w:val="baseline"/>
        <w:outlineLvl w:val="9"/>
        <w:rPr>
          <w:rFonts w:hint="eastAsia" w:ascii="宋体" w:hAnsi="宋体" w:eastAsia="宋体" w:cs="宋体"/>
          <w:b/>
          <w:bCs/>
          <w:color w:val="auto"/>
          <w:sz w:val="44"/>
          <w:szCs w:val="44"/>
          <w:highlight w:val="none"/>
        </w:rPr>
      </w:pPr>
      <w:bookmarkStart w:id="1802" w:name="_Toc21922"/>
      <w:bookmarkStart w:id="1803" w:name="_Toc32727"/>
      <w:bookmarkStart w:id="1804" w:name="_Toc28352"/>
      <w:bookmarkStart w:id="1805" w:name="_Toc4711"/>
      <w:bookmarkStart w:id="1806" w:name="_Toc14226"/>
      <w:bookmarkStart w:id="1807" w:name="_Toc6624"/>
      <w:bookmarkStart w:id="1808" w:name="_Toc16188"/>
      <w:bookmarkStart w:id="1809" w:name="_Toc30966"/>
      <w:bookmarkStart w:id="1810" w:name="_Toc23099"/>
      <w:bookmarkStart w:id="1811" w:name="_Toc29213"/>
      <w:bookmarkStart w:id="1812" w:name="_Toc17758"/>
      <w:r>
        <w:rPr>
          <w:rFonts w:hint="eastAsia" w:ascii="宋体" w:hAnsi="宋体" w:eastAsia="宋体" w:cs="宋体"/>
          <w:b/>
          <w:bCs/>
          <w:color w:val="auto"/>
          <w:sz w:val="44"/>
          <w:szCs w:val="44"/>
          <w:highlight w:val="none"/>
        </w:rPr>
        <w:t>遂宁高新区经济合作中心2023年度</w:t>
      </w:r>
    </w:p>
    <w:p>
      <w:pPr>
        <w:keepNext/>
        <w:keepLines w:val="0"/>
        <w:pageBreakBefore w:val="0"/>
        <w:widowControl w:val="0"/>
        <w:kinsoku/>
        <w:wordWrap/>
        <w:overflowPunct w:val="0"/>
        <w:topLinePunct w:val="0"/>
        <w:autoSpaceDE w:val="0"/>
        <w:autoSpaceDN w:val="0"/>
        <w:bidi w:val="0"/>
        <w:adjustRightInd w:val="0"/>
        <w:snapToGrid w:val="0"/>
        <w:spacing w:before="0" w:after="0" w:afterLines="100" w:line="560" w:lineRule="exact"/>
        <w:ind w:left="0" w:leftChars="0" w:firstLine="1325" w:firstLineChars="300"/>
        <w:jc w:val="both"/>
        <w:textAlignment w:val="baseline"/>
        <w:outlineLvl w:val="9"/>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部门整体支出绩效评价报告</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rPr>
          <w:b w:val="0"/>
          <w:bCs w:val="0"/>
          <w:color w:val="auto"/>
          <w:highlight w:val="none"/>
        </w:rPr>
      </w:pPr>
      <w:bookmarkStart w:id="1813" w:name="_Toc11511"/>
      <w:r>
        <w:rPr>
          <w:b w:val="0"/>
          <w:bCs w:val="0"/>
          <w:color w:val="auto"/>
          <w:highlight w:val="none"/>
        </w:rPr>
        <w:t>一、单位基本情况</w:t>
      </w:r>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p>
    <w:p>
      <w:pPr>
        <w:pStyle w:val="3"/>
        <w:keepNext/>
        <w:keepLines w:val="0"/>
        <w:pageBreakBefore w:val="0"/>
        <w:widowControl w:val="0"/>
        <w:kinsoku/>
        <w:wordWrap/>
        <w:overflowPunct w:val="0"/>
        <w:topLinePunct w:val="0"/>
        <w:autoSpaceDE w:val="0"/>
        <w:autoSpaceDN w:val="0"/>
        <w:bidi w:val="0"/>
        <w:adjustRightInd/>
        <w:snapToGrid/>
        <w:spacing w:before="0" w:beforeLines="0" w:after="0" w:afterLines="0"/>
        <w:ind w:left="0" w:leftChars="0" w:firstLine="643" w:firstLineChars="200"/>
        <w:jc w:val="both"/>
        <w:textAlignment w:val="auto"/>
        <w:rPr>
          <w:rFonts w:hint="eastAsia" w:ascii="Cambria" w:hAnsi="Cambria" w:cs="Times New Roman"/>
          <w:snapToGrid/>
          <w:color w:val="auto"/>
          <w:kern w:val="2"/>
          <w:highlight w:val="none"/>
        </w:rPr>
      </w:pPr>
      <w:bookmarkStart w:id="1814" w:name="_Toc16360"/>
      <w:bookmarkStart w:id="1815" w:name="_Toc427"/>
      <w:bookmarkStart w:id="1816" w:name="_Toc27054"/>
      <w:bookmarkStart w:id="1817" w:name="_Toc16701"/>
      <w:bookmarkStart w:id="1818" w:name="_Toc24009"/>
      <w:bookmarkStart w:id="1819" w:name="_Toc18112"/>
      <w:bookmarkStart w:id="1820" w:name="_Toc14413"/>
      <w:bookmarkStart w:id="1821" w:name="_Toc14381"/>
      <w:bookmarkStart w:id="1822" w:name="_Toc4621"/>
      <w:bookmarkStart w:id="1823" w:name="_Toc29729"/>
      <w:bookmarkStart w:id="1824" w:name="_Toc28557"/>
      <w:bookmarkStart w:id="1825" w:name="_Toc22108"/>
      <w:bookmarkStart w:id="1826" w:name="_Toc13642"/>
      <w:bookmarkStart w:id="1827" w:name="_Toc2822"/>
      <w:bookmarkStart w:id="1828" w:name="_Toc5857"/>
      <w:bookmarkStart w:id="1829" w:name="_Toc25717"/>
      <w:bookmarkStart w:id="1830" w:name="_Toc27169"/>
      <w:r>
        <w:rPr>
          <w:rFonts w:hint="eastAsia" w:ascii="仿宋_GB2312" w:hAnsi="仿宋_GB2312" w:eastAsia="仿宋_GB2312" w:cs="仿宋_GB2312"/>
          <w:color w:val="auto"/>
          <w:highlight w:val="none"/>
        </w:rPr>
        <w:t>（一）单位概况</w:t>
      </w:r>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lang w:eastAsia="zh-CN"/>
        </w:rPr>
      </w:pPr>
      <w:r>
        <w:rPr>
          <w:rFonts w:hint="eastAsia" w:ascii="楷体" w:hAnsi="楷体" w:eastAsia="楷体" w:cs="楷体"/>
          <w:color w:val="auto"/>
          <w:highlight w:val="none"/>
        </w:rPr>
        <w:t>1.单位概</w:t>
      </w:r>
      <w:r>
        <w:rPr>
          <w:rFonts w:hint="eastAsia" w:ascii="楷体" w:hAnsi="楷体" w:eastAsia="楷体" w:cs="楷体"/>
          <w:color w:val="auto"/>
          <w:highlight w:val="none"/>
          <w:lang w:eastAsia="zh-CN"/>
        </w:rPr>
        <w:t>况</w:t>
      </w:r>
    </w:p>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color w:val="auto"/>
          <w:szCs w:val="32"/>
          <w:highlight w:val="none"/>
        </w:rPr>
      </w:pPr>
      <w:r>
        <w:rPr>
          <w:rFonts w:hint="eastAsia" w:ascii="仿宋" w:hAnsi="仿宋" w:cs="仿宋"/>
          <w:color w:val="auto"/>
          <w:szCs w:val="32"/>
          <w:highlight w:val="none"/>
        </w:rPr>
        <w:t>遂宁高新区</w:t>
      </w:r>
      <w:r>
        <w:rPr>
          <w:rFonts w:hint="eastAsia" w:ascii="仿宋" w:hAnsi="仿宋" w:cs="仿宋"/>
          <w:color w:val="auto"/>
          <w:spacing w:val="5"/>
          <w:szCs w:val="32"/>
          <w:highlight w:val="none"/>
        </w:rPr>
        <w:t>经济合作中心</w:t>
      </w:r>
      <w:r>
        <w:rPr>
          <w:rFonts w:hint="eastAsia" w:ascii="仿宋" w:hAnsi="仿宋" w:cs="仿宋"/>
          <w:color w:val="auto"/>
          <w:spacing w:val="5"/>
          <w:szCs w:val="32"/>
          <w:highlight w:val="none"/>
          <w:lang w:eastAsia="zh-CN"/>
        </w:rPr>
        <w:t>（</w:t>
      </w:r>
      <w:r>
        <w:rPr>
          <w:rFonts w:hint="eastAsia" w:ascii="仿宋" w:hAnsi="仿宋" w:cs="仿宋"/>
          <w:color w:val="auto"/>
          <w:szCs w:val="32"/>
          <w:highlight w:val="none"/>
        </w:rPr>
        <w:t>以下简称“高新区经合中心”</w:t>
      </w:r>
      <w:r>
        <w:rPr>
          <w:rFonts w:hint="eastAsia" w:ascii="仿宋" w:hAnsi="仿宋" w:cs="仿宋"/>
          <w:color w:val="auto"/>
          <w:szCs w:val="32"/>
          <w:highlight w:val="none"/>
          <w:lang w:eastAsia="zh-CN"/>
        </w:rPr>
        <w:t>）</w:t>
      </w:r>
      <w:r>
        <w:rPr>
          <w:rFonts w:hint="eastAsia" w:ascii="仿宋" w:hAnsi="仿宋" w:cs="仿宋"/>
          <w:color w:val="auto"/>
          <w:szCs w:val="32"/>
          <w:highlight w:val="none"/>
          <w:lang w:bidi="ar"/>
        </w:rPr>
        <w:t>为遂宁高新区所属正科级公益一类事业单位。</w:t>
      </w:r>
      <w:r>
        <w:rPr>
          <w:rFonts w:hint="eastAsia" w:ascii="仿宋" w:hAnsi="仿宋" w:cs="仿宋"/>
          <w:color w:val="auto"/>
          <w:szCs w:val="32"/>
          <w:highlight w:val="none"/>
        </w:rPr>
        <w:t>主要承担园区招商和投资服务等方面的事务性工作，</w:t>
      </w:r>
      <w:r>
        <w:rPr>
          <w:rFonts w:hint="eastAsia" w:ascii="仿宋" w:hAnsi="仿宋" w:cs="仿宋"/>
          <w:color w:val="auto"/>
          <w:highlight w:val="none"/>
        </w:rPr>
        <w:t>单位办公地址：四川省遂宁市船山区健坤大道68号。</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2.单位机构设置</w:t>
      </w:r>
    </w:p>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color w:val="auto"/>
          <w:sz w:val="32"/>
          <w:szCs w:val="32"/>
          <w:highlight w:val="none"/>
          <w:lang w:val="zh-CN"/>
        </w:rPr>
      </w:pPr>
      <w:r>
        <w:rPr>
          <w:rFonts w:hint="eastAsia" w:ascii="仿宋" w:hAnsi="仿宋" w:cs="仿宋"/>
          <w:color w:val="auto"/>
          <w:sz w:val="32"/>
          <w:szCs w:val="32"/>
          <w:highlight w:val="none"/>
        </w:rPr>
        <w:t>高新区经合中心</w:t>
      </w:r>
      <w:r>
        <w:rPr>
          <w:rFonts w:hint="eastAsia" w:ascii="仿宋" w:hAnsi="仿宋" w:cs="仿宋"/>
          <w:color w:val="auto"/>
          <w:sz w:val="32"/>
          <w:szCs w:val="32"/>
          <w:highlight w:val="none"/>
          <w:lang w:val="zh-CN"/>
        </w:rPr>
        <w:t>内设综合组、</w:t>
      </w:r>
      <w:r>
        <w:rPr>
          <w:rFonts w:hint="eastAsia" w:ascii="仿宋" w:hAnsi="仿宋" w:cs="仿宋"/>
          <w:color w:val="auto"/>
          <w:sz w:val="32"/>
          <w:szCs w:val="32"/>
          <w:highlight w:val="none"/>
        </w:rPr>
        <w:t>产业组、统计组</w:t>
      </w:r>
      <w:r>
        <w:rPr>
          <w:rFonts w:hint="eastAsia" w:ascii="仿宋" w:hAnsi="仿宋" w:cs="仿宋"/>
          <w:color w:val="auto"/>
          <w:sz w:val="32"/>
          <w:szCs w:val="32"/>
          <w:highlight w:val="none"/>
          <w:lang w:eastAsia="zh-CN"/>
        </w:rPr>
        <w:t>、</w:t>
      </w:r>
      <w:r>
        <w:rPr>
          <w:rFonts w:hint="eastAsia" w:ascii="仿宋" w:hAnsi="仿宋" w:cs="仿宋"/>
          <w:b w:val="0"/>
          <w:bCs w:val="0"/>
          <w:color w:val="auto"/>
          <w:sz w:val="32"/>
          <w:szCs w:val="32"/>
          <w:highlight w:val="none"/>
        </w:rPr>
        <w:t>历史遗留问题</w:t>
      </w:r>
      <w:r>
        <w:rPr>
          <w:rFonts w:hint="eastAsia" w:ascii="仿宋" w:hAnsi="仿宋" w:cs="仿宋"/>
          <w:b w:val="0"/>
          <w:bCs w:val="0"/>
          <w:color w:val="auto"/>
          <w:sz w:val="32"/>
          <w:szCs w:val="32"/>
          <w:highlight w:val="none"/>
          <w:lang w:eastAsia="zh-CN"/>
        </w:rPr>
        <w:t>小</w:t>
      </w:r>
      <w:r>
        <w:rPr>
          <w:rFonts w:hint="eastAsia" w:ascii="仿宋" w:hAnsi="仿宋" w:cs="仿宋"/>
          <w:b w:val="0"/>
          <w:bCs w:val="0"/>
          <w:color w:val="auto"/>
          <w:sz w:val="32"/>
          <w:szCs w:val="32"/>
          <w:highlight w:val="none"/>
        </w:rPr>
        <w:t>组</w:t>
      </w:r>
      <w:r>
        <w:rPr>
          <w:rFonts w:hint="eastAsia" w:ascii="仿宋" w:hAnsi="仿宋" w:cs="仿宋"/>
          <w:color w:val="auto"/>
          <w:sz w:val="32"/>
          <w:szCs w:val="32"/>
          <w:highlight w:val="none"/>
          <w:lang w:val="en-US" w:eastAsia="zh-CN"/>
        </w:rPr>
        <w:t>4</w:t>
      </w:r>
      <w:r>
        <w:rPr>
          <w:rFonts w:hint="eastAsia" w:ascii="仿宋" w:hAnsi="仿宋" w:cs="仿宋"/>
          <w:color w:val="auto"/>
          <w:sz w:val="32"/>
          <w:szCs w:val="32"/>
          <w:highlight w:val="none"/>
          <w:lang w:val="zh-CN"/>
        </w:rPr>
        <w:t>个职能</w:t>
      </w:r>
      <w:r>
        <w:rPr>
          <w:rFonts w:hint="eastAsia" w:ascii="仿宋" w:hAnsi="仿宋" w:cs="仿宋"/>
          <w:color w:val="auto"/>
          <w:sz w:val="32"/>
          <w:szCs w:val="32"/>
          <w:highlight w:val="none"/>
          <w:lang w:val="zh-CN" w:eastAsia="zh-CN"/>
        </w:rPr>
        <w:t>组</w:t>
      </w:r>
      <w:r>
        <w:rPr>
          <w:rFonts w:hint="eastAsia" w:ascii="仿宋" w:hAnsi="仿宋" w:cs="仿宋"/>
          <w:color w:val="auto"/>
          <w:sz w:val="32"/>
          <w:szCs w:val="32"/>
          <w:highlight w:val="none"/>
          <w:lang w:val="zh-CN"/>
        </w:rPr>
        <w:t>室。各组室职责如下：</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 w:val="32"/>
          <w:szCs w:val="32"/>
          <w:highlight w:val="none"/>
        </w:rPr>
      </w:pPr>
      <w:r>
        <w:rPr>
          <w:rFonts w:hint="eastAsia" w:ascii="仿宋" w:hAnsi="仿宋" w:cs="仿宋"/>
          <w:b w:val="0"/>
          <w:bCs w:val="0"/>
          <w:color w:val="auto"/>
          <w:sz w:val="32"/>
          <w:szCs w:val="32"/>
          <w:highlight w:val="none"/>
        </w:rPr>
        <w:t>（1）综合组</w:t>
      </w:r>
      <w:r>
        <w:rPr>
          <w:rFonts w:hint="eastAsia" w:ascii="仿宋" w:hAnsi="仿宋" w:cs="仿宋"/>
          <w:b w:val="0"/>
          <w:bCs w:val="0"/>
          <w:color w:val="auto"/>
          <w:sz w:val="32"/>
          <w:szCs w:val="32"/>
          <w:highlight w:val="none"/>
          <w:lang w:eastAsia="zh-CN"/>
        </w:rPr>
        <w:t>：</w:t>
      </w:r>
      <w:r>
        <w:rPr>
          <w:rFonts w:hint="eastAsia" w:ascii="仿宋" w:hAnsi="仿宋" w:cs="仿宋"/>
          <w:color w:val="auto"/>
          <w:sz w:val="32"/>
          <w:szCs w:val="32"/>
          <w:highlight w:val="none"/>
        </w:rPr>
        <w:t>负责统筹协调各组工作；负责目标绩效督办及考核工作；负责综合性文稿起草工作；负责公文运转</w:t>
      </w:r>
      <w:r>
        <w:rPr>
          <w:rStyle w:val="24"/>
          <w:rFonts w:hint="eastAsia" w:ascii="Times New Roman" w:hAnsi="Times New Roman" w:cs="Times New Roman"/>
          <w:color w:val="auto"/>
          <w:kern w:val="2"/>
          <w:sz w:val="32"/>
          <w:szCs w:val="32"/>
          <w:highlight w:val="none"/>
          <w:lang w:val="en-US" w:eastAsia="zh-CN"/>
        </w:rPr>
        <w:t>、</w:t>
      </w:r>
      <w:r>
        <w:rPr>
          <w:rFonts w:hint="eastAsia" w:ascii="仿宋" w:hAnsi="仿宋" w:cs="仿宋"/>
          <w:color w:val="auto"/>
          <w:sz w:val="32"/>
          <w:szCs w:val="32"/>
          <w:highlight w:val="none"/>
        </w:rPr>
        <w:t>会议通知、对外宣传等综合事务；负责档案管理工作；负责财务及国有资产管理工作；负责党建工作；负责12345热线办理工作；负责乡村振兴、禁毒、保密、国安等工作；完成领导交办的其他工作。</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 w:val="32"/>
          <w:szCs w:val="32"/>
          <w:highlight w:val="none"/>
        </w:rPr>
      </w:pPr>
      <w:r>
        <w:rPr>
          <w:rFonts w:hint="eastAsia" w:ascii="仿宋" w:hAnsi="仿宋" w:cs="仿宋"/>
          <w:b w:val="0"/>
          <w:bCs w:val="0"/>
          <w:color w:val="auto"/>
          <w:sz w:val="32"/>
          <w:szCs w:val="32"/>
          <w:highlight w:val="none"/>
        </w:rPr>
        <w:t>（2）产业组</w:t>
      </w:r>
      <w:r>
        <w:rPr>
          <w:rFonts w:hint="eastAsia" w:ascii="仿宋" w:hAnsi="仿宋" w:cs="仿宋"/>
          <w:b w:val="0"/>
          <w:bCs w:val="0"/>
          <w:color w:val="auto"/>
          <w:sz w:val="32"/>
          <w:szCs w:val="32"/>
          <w:highlight w:val="none"/>
          <w:lang w:eastAsia="zh-CN"/>
        </w:rPr>
        <w:t>：</w:t>
      </w:r>
      <w:r>
        <w:rPr>
          <w:rFonts w:hint="eastAsia" w:ascii="仿宋" w:hAnsi="仿宋" w:cs="仿宋"/>
          <w:color w:val="auto"/>
          <w:sz w:val="32"/>
          <w:szCs w:val="32"/>
          <w:highlight w:val="none"/>
        </w:rPr>
        <w:t>负责组织各类招商引资活动；负责招商引资项目谈判、合同的起草工作；负责产业调研分析工作；负责商务接待等后勤保障工作；完成领导交办的其他工作。</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 w:val="32"/>
          <w:szCs w:val="32"/>
          <w:highlight w:val="none"/>
        </w:rPr>
      </w:pPr>
      <w:r>
        <w:rPr>
          <w:rFonts w:hint="eastAsia" w:ascii="仿宋" w:hAnsi="仿宋" w:cs="仿宋"/>
          <w:b w:val="0"/>
          <w:bCs w:val="0"/>
          <w:color w:val="auto"/>
          <w:sz w:val="32"/>
          <w:szCs w:val="32"/>
          <w:highlight w:val="none"/>
        </w:rPr>
        <w:t>（3）统计组</w:t>
      </w:r>
      <w:r>
        <w:rPr>
          <w:rFonts w:hint="eastAsia" w:ascii="仿宋" w:hAnsi="仿宋" w:cs="仿宋"/>
          <w:b w:val="0"/>
          <w:bCs w:val="0"/>
          <w:color w:val="auto"/>
          <w:sz w:val="32"/>
          <w:szCs w:val="32"/>
          <w:highlight w:val="none"/>
          <w:lang w:eastAsia="zh-CN"/>
        </w:rPr>
        <w:t>：</w:t>
      </w:r>
      <w:r>
        <w:rPr>
          <w:rFonts w:hint="eastAsia" w:ascii="仿宋" w:hAnsi="仿宋" w:cs="仿宋"/>
          <w:color w:val="auto"/>
          <w:sz w:val="32"/>
          <w:szCs w:val="32"/>
          <w:highlight w:val="none"/>
        </w:rPr>
        <w:t>负责重点项目数据统计报送、情况反馈工作；负责项目系统填报和管理工作；负责招商引资目标任务工作；协助产业组开展招商引资工作；完成领导交办的其他工作。</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pacing w:val="3"/>
          <w:sz w:val="32"/>
          <w:szCs w:val="32"/>
          <w:highlight w:val="none"/>
        </w:rPr>
      </w:pPr>
      <w:r>
        <w:rPr>
          <w:rFonts w:hint="eastAsia" w:ascii="仿宋" w:hAnsi="仿宋" w:cs="仿宋"/>
          <w:b w:val="0"/>
          <w:bCs w:val="0"/>
          <w:color w:val="auto"/>
          <w:sz w:val="32"/>
          <w:szCs w:val="32"/>
          <w:highlight w:val="none"/>
        </w:rPr>
        <w:t>（4）历史遗留问题</w:t>
      </w:r>
      <w:r>
        <w:rPr>
          <w:rFonts w:hint="eastAsia" w:ascii="仿宋" w:hAnsi="仿宋" w:cs="仿宋"/>
          <w:b w:val="0"/>
          <w:bCs w:val="0"/>
          <w:color w:val="auto"/>
          <w:sz w:val="32"/>
          <w:szCs w:val="32"/>
          <w:highlight w:val="none"/>
          <w:lang w:eastAsia="zh-CN"/>
        </w:rPr>
        <w:t>小</w:t>
      </w:r>
      <w:r>
        <w:rPr>
          <w:rFonts w:hint="eastAsia" w:ascii="仿宋" w:hAnsi="仿宋" w:cs="仿宋"/>
          <w:b w:val="0"/>
          <w:bCs w:val="0"/>
          <w:color w:val="auto"/>
          <w:sz w:val="32"/>
          <w:szCs w:val="32"/>
          <w:highlight w:val="none"/>
        </w:rPr>
        <w:t>组</w:t>
      </w:r>
      <w:r>
        <w:rPr>
          <w:rFonts w:hint="eastAsia" w:ascii="仿宋" w:hAnsi="仿宋" w:cs="仿宋"/>
          <w:color w:val="auto"/>
          <w:sz w:val="32"/>
          <w:szCs w:val="32"/>
          <w:highlight w:val="none"/>
          <w:lang w:eastAsia="zh-CN"/>
        </w:rPr>
        <w:t>：</w:t>
      </w:r>
      <w:r>
        <w:rPr>
          <w:rFonts w:hint="eastAsia" w:ascii="仿宋" w:hAnsi="仿宋" w:cs="仿宋"/>
          <w:color w:val="auto"/>
          <w:sz w:val="32"/>
          <w:szCs w:val="32"/>
          <w:highlight w:val="none"/>
        </w:rPr>
        <w:t>负责历史遗留问题处理工作；帮助产业组开展招商引资工作；完成领导交办的</w:t>
      </w:r>
      <w:r>
        <w:rPr>
          <w:rFonts w:hint="eastAsia" w:ascii="仿宋" w:hAnsi="仿宋" w:cs="仿宋"/>
          <w:color w:val="auto"/>
          <w:spacing w:val="-7"/>
          <w:sz w:val="32"/>
          <w:szCs w:val="32"/>
          <w:highlight w:val="none"/>
        </w:rPr>
        <w:t>其</w:t>
      </w:r>
      <w:r>
        <w:rPr>
          <w:rFonts w:hint="eastAsia" w:ascii="仿宋" w:hAnsi="仿宋" w:cs="仿宋"/>
          <w:color w:val="auto"/>
          <w:spacing w:val="3"/>
          <w:sz w:val="32"/>
          <w:szCs w:val="32"/>
          <w:highlight w:val="none"/>
        </w:rPr>
        <w:t>他工作。</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55" w:firstLineChars="200"/>
        <w:jc w:val="both"/>
        <w:textAlignment w:val="baseline"/>
        <w:rPr>
          <w:rFonts w:hint="eastAsia" w:ascii="楷体" w:hAnsi="楷体" w:eastAsia="楷体" w:cs="楷体"/>
          <w:color w:val="auto"/>
          <w:spacing w:val="3"/>
          <w:highlight w:val="none"/>
        </w:rPr>
      </w:pPr>
      <w:r>
        <w:rPr>
          <w:rFonts w:hint="eastAsia" w:ascii="楷体" w:hAnsi="楷体" w:eastAsia="楷体" w:cs="楷体"/>
          <w:color w:val="auto"/>
          <w:spacing w:val="3"/>
          <w:highlight w:val="none"/>
        </w:rPr>
        <w:t>3.</w:t>
      </w:r>
      <w:r>
        <w:rPr>
          <w:rFonts w:hint="eastAsia" w:ascii="楷体" w:hAnsi="楷体" w:eastAsia="楷体" w:cs="楷体"/>
          <w:color w:val="auto"/>
          <w:highlight w:val="none"/>
        </w:rPr>
        <w:t>人员编制</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eastAsia="仿宋" w:cs="仿宋"/>
          <w:color w:val="auto"/>
          <w:highlight w:val="none"/>
          <w:lang w:val="en-US" w:eastAsia="zh-CN"/>
        </w:rPr>
      </w:pPr>
      <w:r>
        <w:rPr>
          <w:rFonts w:hint="eastAsia"/>
          <w:color w:val="auto"/>
          <w:highlight w:val="none"/>
          <w:lang w:eastAsia="zh-CN"/>
        </w:rPr>
        <w:t>根据</w:t>
      </w:r>
      <w:r>
        <w:rPr>
          <w:rFonts w:hint="eastAsia" w:ascii="仿宋" w:hAnsi="仿宋" w:eastAsia="仿宋" w:cs="仿宋"/>
          <w:b w:val="0"/>
          <w:bCs/>
          <w:color w:val="auto"/>
          <w:sz w:val="32"/>
          <w:szCs w:val="32"/>
          <w:highlight w:val="none"/>
          <w:lang w:val="en-US" w:eastAsia="zh-CN"/>
        </w:rPr>
        <w:t>《</w:t>
      </w:r>
      <w:r>
        <w:rPr>
          <w:rFonts w:hint="eastAsia" w:ascii="仿宋" w:hAnsi="仿宋" w:eastAsia="仿宋" w:cs="仿宋"/>
          <w:b w:val="0"/>
          <w:bCs/>
          <w:color w:val="auto"/>
          <w:sz w:val="32"/>
          <w:szCs w:val="32"/>
          <w:highlight w:val="none"/>
        </w:rPr>
        <w:t>中共遂宁市委机构编制委员会关于调整遂宁高新区有关机构编制事项的批复</w:t>
      </w:r>
      <w:r>
        <w:rPr>
          <w:rFonts w:hint="eastAsia" w:ascii="仿宋" w:hAnsi="仿宋" w:eastAsia="仿宋" w:cs="仿宋"/>
          <w:b w:val="0"/>
          <w:bCs/>
          <w:color w:val="auto"/>
          <w:sz w:val="32"/>
          <w:szCs w:val="32"/>
          <w:highlight w:val="none"/>
          <w:lang w:val="en-US" w:eastAsia="zh-CN"/>
        </w:rPr>
        <w:t>》（</w:t>
      </w:r>
      <w:r>
        <w:rPr>
          <w:rFonts w:hint="eastAsia" w:ascii="仿宋" w:hAnsi="仿宋" w:eastAsia="仿宋" w:cs="仿宋"/>
          <w:b w:val="0"/>
          <w:bCs/>
          <w:color w:val="auto"/>
          <w:sz w:val="32"/>
          <w:szCs w:val="32"/>
          <w:highlight w:val="none"/>
        </w:rPr>
        <w:t>遂编委发〔2022〕13号</w:t>
      </w:r>
      <w:r>
        <w:rPr>
          <w:rFonts w:hint="eastAsia" w:ascii="仿宋" w:hAnsi="仿宋" w:eastAsia="仿宋" w:cs="仿宋"/>
          <w:b w:val="0"/>
          <w:bCs/>
          <w:color w:val="auto"/>
          <w:sz w:val="32"/>
          <w:szCs w:val="32"/>
          <w:highlight w:val="none"/>
          <w:lang w:eastAsia="zh-CN"/>
        </w:rPr>
        <w:t>）</w:t>
      </w:r>
      <w:r>
        <w:rPr>
          <w:rFonts w:hint="eastAsia" w:ascii="仿宋" w:hAnsi="仿宋" w:cs="仿宋"/>
          <w:b w:val="0"/>
          <w:bCs/>
          <w:color w:val="auto"/>
          <w:sz w:val="32"/>
          <w:szCs w:val="32"/>
          <w:highlight w:val="none"/>
          <w:lang w:eastAsia="zh-CN"/>
        </w:rPr>
        <w:t>，</w:t>
      </w:r>
      <w:r>
        <w:rPr>
          <w:rFonts w:hint="eastAsia" w:ascii="仿宋" w:hAnsi="仿宋" w:cs="仿宋"/>
          <w:color w:val="auto"/>
          <w:szCs w:val="32"/>
          <w:highlight w:val="none"/>
        </w:rPr>
        <w:t>核定事业编制16名。其中</w:t>
      </w:r>
      <w:r>
        <w:rPr>
          <w:rFonts w:hint="eastAsia" w:ascii="仿宋" w:hAnsi="仿宋" w:cs="仿宋"/>
          <w:color w:val="auto"/>
          <w:szCs w:val="32"/>
          <w:highlight w:val="none"/>
          <w:lang w:eastAsia="zh-CN"/>
        </w:rPr>
        <w:t>，</w:t>
      </w:r>
      <w:r>
        <w:rPr>
          <w:rFonts w:hint="eastAsia" w:ascii="仿宋" w:hAnsi="仿宋" w:cs="仿宋"/>
          <w:color w:val="auto"/>
          <w:szCs w:val="32"/>
          <w:highlight w:val="none"/>
        </w:rPr>
        <w:t>主任1名（正科级）</w:t>
      </w:r>
      <w:r>
        <w:rPr>
          <w:rFonts w:hint="eastAsia" w:ascii="仿宋" w:hAnsi="仿宋" w:cs="仿宋"/>
          <w:color w:val="auto"/>
          <w:szCs w:val="32"/>
          <w:highlight w:val="none"/>
          <w:lang w:eastAsia="zh-CN"/>
        </w:rPr>
        <w:t>，</w:t>
      </w:r>
      <w:r>
        <w:rPr>
          <w:rFonts w:hint="eastAsia" w:ascii="仿宋" w:hAnsi="仿宋" w:cs="仿宋"/>
          <w:color w:val="auto"/>
          <w:szCs w:val="32"/>
          <w:highlight w:val="none"/>
        </w:rPr>
        <w:t>副主任2名（</w:t>
      </w:r>
      <w:r>
        <w:rPr>
          <w:rFonts w:hint="eastAsia"/>
          <w:color w:val="auto"/>
          <w:highlight w:val="none"/>
          <w:lang w:eastAsia="zh-CN"/>
        </w:rPr>
        <w:t>副科级）。</w:t>
      </w:r>
      <w:bookmarkStart w:id="1831" w:name="_Toc4465"/>
      <w:bookmarkStart w:id="1832" w:name="_Toc8466"/>
      <w:bookmarkStart w:id="1833" w:name="_Toc9469"/>
      <w:bookmarkStart w:id="1834" w:name="_Toc17395"/>
      <w:bookmarkStart w:id="1835" w:name="_Toc25112"/>
      <w:bookmarkStart w:id="1836" w:name="_Toc31435"/>
      <w:bookmarkStart w:id="1837" w:name="_Toc4935"/>
      <w:bookmarkStart w:id="1838" w:name="_Toc23305"/>
      <w:r>
        <w:rPr>
          <w:rFonts w:hint="eastAsia" w:ascii="仿宋" w:hAnsi="仿宋" w:eastAsia="仿宋" w:cs="仿宋"/>
          <w:color w:val="auto"/>
          <w:highlight w:val="none"/>
          <w:lang w:val="en-US" w:eastAsia="zh-CN"/>
        </w:rPr>
        <w:t>2023</w:t>
      </w:r>
      <w:r>
        <w:rPr>
          <w:rFonts w:hint="eastAsia" w:ascii="仿宋" w:hAnsi="仿宋" w:cs="仿宋"/>
          <w:color w:val="auto"/>
          <w:highlight w:val="none"/>
          <w:lang w:val="en-US" w:eastAsia="zh-CN"/>
        </w:rPr>
        <w:t>年</w:t>
      </w:r>
      <w:r>
        <w:rPr>
          <w:rFonts w:hint="eastAsia" w:ascii="仿宋" w:hAnsi="仿宋" w:eastAsia="仿宋" w:cs="仿宋"/>
          <w:color w:val="auto"/>
          <w:highlight w:val="none"/>
          <w:lang w:val="en-US" w:eastAsia="zh-CN"/>
        </w:rPr>
        <w:t>实际</w:t>
      </w:r>
      <w:r>
        <w:rPr>
          <w:rFonts w:hint="eastAsia" w:ascii="仿宋" w:hAnsi="仿宋" w:cs="仿宋"/>
          <w:color w:val="auto"/>
          <w:highlight w:val="none"/>
          <w:lang w:val="en-US" w:eastAsia="zh-CN"/>
        </w:rPr>
        <w:t>在职</w:t>
      </w:r>
      <w:r>
        <w:rPr>
          <w:rFonts w:hint="eastAsia" w:ascii="仿宋" w:hAnsi="仿宋" w:eastAsia="仿宋" w:cs="仿宋"/>
          <w:color w:val="auto"/>
          <w:highlight w:val="none"/>
          <w:lang w:val="en-US" w:eastAsia="zh-CN"/>
        </w:rPr>
        <w:t>人数10人</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其中</w:t>
      </w: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行政人员6名，事业人员4人。</w:t>
      </w:r>
    </w:p>
    <w:p>
      <w:pPr>
        <w:pStyle w:val="3"/>
        <w:keepNext/>
        <w:keepLines/>
        <w:pageBreakBefore w:val="0"/>
        <w:widowControl/>
        <w:kinsoku w:val="0"/>
        <w:wordWrap/>
        <w:overflowPunct/>
        <w:topLinePunct w:val="0"/>
        <w:autoSpaceDE w:val="0"/>
        <w:autoSpaceDN w:val="0"/>
        <w:bidi w:val="0"/>
        <w:adjustRightInd w:val="0"/>
        <w:snapToGrid w:val="0"/>
        <w:spacing w:before="0" w:beforeLines="0" w:after="0" w:afterLines="0"/>
        <w:ind w:left="0" w:leftChars="0" w:firstLine="643" w:firstLineChars="200"/>
        <w:jc w:val="both"/>
        <w:textAlignment w:val="baseline"/>
        <w:rPr>
          <w:rFonts w:hint="eastAsia"/>
        </w:rPr>
      </w:pPr>
      <w:bookmarkStart w:id="1839" w:name="_Toc22357"/>
      <w:bookmarkStart w:id="1840" w:name="_Toc29063"/>
      <w:r>
        <w:rPr>
          <w:rFonts w:hint="eastAsia"/>
        </w:rPr>
        <w:t>（二）单位管理制度</w:t>
      </w:r>
      <w:bookmarkEnd w:id="1831"/>
      <w:bookmarkEnd w:id="1832"/>
      <w:bookmarkEnd w:id="1833"/>
      <w:bookmarkEnd w:id="1834"/>
      <w:bookmarkEnd w:id="1835"/>
      <w:bookmarkEnd w:id="1836"/>
      <w:bookmarkEnd w:id="1837"/>
      <w:bookmarkEnd w:id="1838"/>
      <w:bookmarkEnd w:id="1839"/>
      <w:bookmarkEnd w:id="1840"/>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2"/>
        <w:rPr>
          <w:rFonts w:hint="eastAsia" w:ascii="楷体" w:hAnsi="楷体" w:eastAsia="楷体" w:cs="楷体"/>
          <w:b/>
          <w:bCs/>
          <w:color w:val="auto"/>
          <w:highlight w:val="none"/>
        </w:rPr>
      </w:pPr>
      <w:r>
        <w:rPr>
          <w:rFonts w:hint="eastAsia" w:ascii="楷体" w:hAnsi="楷体" w:eastAsia="楷体" w:cs="楷体"/>
          <w:b/>
          <w:bCs/>
          <w:color w:val="auto"/>
          <w:highlight w:val="none"/>
        </w:rPr>
        <w:t>1.内部制度</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lang w:bidi="ar"/>
        </w:rPr>
        <w:t>为进一步</w:t>
      </w:r>
      <w:r>
        <w:rPr>
          <w:rFonts w:hint="eastAsia" w:ascii="仿宋" w:hAnsi="仿宋" w:cs="仿宋"/>
          <w:color w:val="auto"/>
          <w:szCs w:val="32"/>
          <w:highlight w:val="none"/>
        </w:rPr>
        <w:t>提升</w:t>
      </w:r>
      <w:r>
        <w:rPr>
          <w:rFonts w:hint="eastAsia" w:ascii="仿宋" w:hAnsi="仿宋" w:cs="仿宋"/>
          <w:color w:val="auto"/>
          <w:szCs w:val="32"/>
          <w:highlight w:val="none"/>
          <w:shd w:val="clear" w:color="auto" w:fill="FFFFFF"/>
        </w:rPr>
        <w:t>高新区经合中心</w:t>
      </w:r>
      <w:r>
        <w:rPr>
          <w:rFonts w:hint="eastAsia" w:ascii="仿宋" w:hAnsi="仿宋" w:cs="仿宋"/>
          <w:color w:val="auto"/>
          <w:szCs w:val="32"/>
          <w:highlight w:val="none"/>
        </w:rPr>
        <w:t>议事决策的科学性和规范性，增强工作的透明度，加强对决策重大事项的风险防控和监督管理，为了规范各个业务环节的管理，高新区经合中心制定了《遂宁高新区高新区经济合作中心“三重一大”事项决策制度（试行）》《遂宁高新区经济合作中心财务管理制度（试行）》《遂宁高新区经济合作中心档案管理制度（试行）》《遂宁高新区经济合作中心督查督办制度（试行）》《遂宁高新区经济合作中心公章使用管理制度（试行）》《遂宁高新区经济合作中心领导班子成员及干部职工职责分工（试行）》《遂宁高新区经济合作中心内部会议制度（试行）》《遂宁高新区经济合作中心政府采购内部控制管理制度（试行）》等管理制度；其他管理参照《高新区机关差旅费管理办法》《高新区机关接待经费管理办法》《高新区会议经费管理办法》等文件规定。</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2.业务管理</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color w:val="auto"/>
          <w:szCs w:val="32"/>
          <w:highlight w:val="none"/>
        </w:rPr>
      </w:pPr>
      <w:r>
        <w:rPr>
          <w:rFonts w:hint="eastAsia" w:ascii="仿宋" w:hAnsi="仿宋" w:cs="仿宋"/>
          <w:color w:val="auto"/>
          <w:szCs w:val="32"/>
          <w:highlight w:val="none"/>
        </w:rPr>
        <w:t>为规范商务接待工作，更好地展示园区投资环境，服务招商引资工作，促进经济社会全面协调发展，高新区经合中心开展招商引资的业务参照《党政机关厉行节约反对浪费条例》《党政机关国内公务接待管理规定》《四川省党政机关国内公务接待管理办法》《四川省省级单位外宾接待经费管理办法》《遂宁市经济合作局商务接待管理办法》（遂经合发〔</w:t>
      </w:r>
      <w:r>
        <w:rPr>
          <w:rFonts w:hint="eastAsia" w:ascii="仿宋" w:hAnsi="仿宋" w:cs="仿宋"/>
          <w:color w:val="auto"/>
          <w:szCs w:val="32"/>
          <w:highlight w:val="none"/>
          <w:lang w:bidi="ar"/>
        </w:rPr>
        <w:t>2019</w:t>
      </w:r>
      <w:r>
        <w:rPr>
          <w:rFonts w:hint="eastAsia" w:ascii="仿宋" w:hAnsi="仿宋" w:cs="仿宋"/>
          <w:color w:val="auto"/>
          <w:szCs w:val="32"/>
          <w:highlight w:val="none"/>
        </w:rPr>
        <w:t>〕</w:t>
      </w:r>
      <w:r>
        <w:rPr>
          <w:rFonts w:hint="eastAsia" w:ascii="仿宋" w:hAnsi="仿宋" w:cs="仿宋"/>
          <w:color w:val="auto"/>
          <w:szCs w:val="32"/>
          <w:highlight w:val="none"/>
          <w:lang w:bidi="ar"/>
        </w:rPr>
        <w:t>22号）</w:t>
      </w:r>
      <w:r>
        <w:rPr>
          <w:rFonts w:hint="eastAsia" w:ascii="仿宋" w:hAnsi="仿宋" w:cs="仿宋"/>
          <w:color w:val="auto"/>
          <w:szCs w:val="32"/>
          <w:highlight w:val="none"/>
        </w:rPr>
        <w:t>等有关规定执行。</w:t>
      </w:r>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1841" w:name="_Toc17697"/>
      <w:bookmarkStart w:id="1842" w:name="_Toc8091"/>
      <w:bookmarkStart w:id="1843" w:name="_Toc15084"/>
      <w:bookmarkStart w:id="1844" w:name="_Toc5752"/>
      <w:bookmarkStart w:id="1845" w:name="_Toc4769"/>
      <w:bookmarkStart w:id="1846" w:name="_Toc20588"/>
      <w:bookmarkStart w:id="1847" w:name="_Toc30107"/>
      <w:bookmarkStart w:id="1848" w:name="_Toc5939"/>
      <w:bookmarkStart w:id="1849" w:name="_Toc8216"/>
      <w:bookmarkStart w:id="1850" w:name="_Toc9678"/>
      <w:bookmarkStart w:id="1851" w:name="_Toc17342"/>
      <w:bookmarkStart w:id="1852" w:name="_Toc31285"/>
      <w:bookmarkStart w:id="1853" w:name="_Toc18609"/>
      <w:bookmarkStart w:id="1854" w:name="_Toc550"/>
      <w:bookmarkStart w:id="1855" w:name="_Toc604"/>
      <w:bookmarkStart w:id="1856" w:name="_Toc11408"/>
      <w:bookmarkStart w:id="1857" w:name="_Toc28753"/>
      <w:r>
        <w:rPr>
          <w:rFonts w:hint="eastAsia"/>
          <w:color w:val="auto"/>
          <w:highlight w:val="none"/>
        </w:rPr>
        <w:t>（三）单位预算资金</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1.预算安排和执行情况</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eastAsia="仿宋" w:cs="仿宋"/>
          <w:color w:val="auto"/>
          <w:sz w:val="32"/>
          <w:szCs w:val="32"/>
          <w:highlight w:val="none"/>
        </w:rPr>
      </w:pPr>
      <w:bookmarkStart w:id="1858" w:name="_Toc28397"/>
      <w:r>
        <w:rPr>
          <w:rFonts w:hint="eastAsia" w:ascii="仿宋" w:hAnsi="仿宋" w:eastAsia="仿宋" w:cs="仿宋"/>
          <w:color w:val="auto"/>
          <w:sz w:val="32"/>
          <w:szCs w:val="32"/>
          <w:highlight w:val="none"/>
        </w:rPr>
        <w:t>2023年，高新区经合中心年初预算总额411.04万元，其中资金来源于一般公共预算411.04万元，其他收入0万元。后经预算调整，预算总额为1</w:t>
      </w:r>
      <w:r>
        <w:rPr>
          <w:rStyle w:val="24"/>
          <w:rFonts w:hint="eastAsia" w:ascii="仿宋" w:hAnsi="仿宋" w:eastAsia="仿宋" w:cs="仿宋"/>
          <w:color w:val="auto"/>
          <w:kern w:val="2"/>
          <w:sz w:val="32"/>
          <w:szCs w:val="32"/>
          <w:highlight w:val="none"/>
          <w:lang w:val="en-US" w:eastAsia="zh-CN"/>
        </w:rPr>
        <w:t>,</w:t>
      </w:r>
      <w:r>
        <w:rPr>
          <w:rFonts w:hint="eastAsia" w:ascii="仿宋" w:hAnsi="仿宋" w:eastAsia="仿宋" w:cs="仿宋"/>
          <w:color w:val="auto"/>
          <w:sz w:val="32"/>
          <w:szCs w:val="32"/>
          <w:highlight w:val="none"/>
        </w:rPr>
        <w:t>364.78万元，其中基本支出55.75万元（人员经费43.35万元、公用经费12.40万元），项目支出1</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309.03万元。2023年高新区经合中心全年共支出</w:t>
      </w:r>
      <w:r>
        <w:rPr>
          <w:rFonts w:hint="eastAsia" w:ascii="仿宋" w:hAnsi="仿宋" w:eastAsia="仿宋" w:cs="仿宋"/>
          <w:color w:val="auto"/>
          <w:sz w:val="32"/>
          <w:szCs w:val="32"/>
          <w:highlight w:val="none"/>
          <w:lang w:val="en-US" w:eastAsia="zh-CN"/>
        </w:rPr>
        <w:t>1,364.78</w:t>
      </w:r>
      <w:r>
        <w:rPr>
          <w:rFonts w:hint="eastAsia" w:ascii="仿宋" w:hAnsi="仿宋" w:eastAsia="仿宋" w:cs="仿宋"/>
          <w:color w:val="auto"/>
          <w:sz w:val="32"/>
          <w:szCs w:val="32"/>
          <w:highlight w:val="none"/>
        </w:rPr>
        <w:t>万元，其中人员经费支出43.35万元，占总支出的3.18%；公用经费支出12.40万元，占总支出的0.91%；项目支出</w:t>
      </w:r>
      <w:r>
        <w:rPr>
          <w:rFonts w:hint="eastAsia" w:ascii="仿宋" w:hAnsi="仿宋" w:eastAsia="仿宋" w:cs="仿宋"/>
          <w:color w:val="auto"/>
          <w:sz w:val="32"/>
          <w:szCs w:val="32"/>
          <w:highlight w:val="none"/>
          <w:lang w:val="en-US" w:eastAsia="zh-CN"/>
        </w:rPr>
        <w:t>1,309.03</w:t>
      </w:r>
      <w:r>
        <w:rPr>
          <w:rFonts w:hint="eastAsia" w:ascii="仿宋" w:hAnsi="仿宋" w:eastAsia="仿宋" w:cs="仿宋"/>
          <w:color w:val="auto"/>
          <w:sz w:val="32"/>
          <w:szCs w:val="32"/>
          <w:highlight w:val="none"/>
        </w:rPr>
        <w:t>万元，占总支出的95.91%。</w:t>
      </w:r>
    </w:p>
    <w:p>
      <w:pPr>
        <w:keepNext w:val="0"/>
        <w:keepLines w:val="0"/>
        <w:pageBreakBefore w:val="0"/>
        <w:widowControl w:val="0"/>
        <w:kinsoku/>
        <w:wordWrap/>
        <w:overflowPunct w:val="0"/>
        <w:topLinePunct w:val="0"/>
        <w:autoSpaceDE w:val="0"/>
        <w:autoSpaceDN w:val="0"/>
        <w:bidi w:val="0"/>
        <w:adjustRightInd w:val="0"/>
        <w:snapToGrid w:val="0"/>
        <w:spacing w:before="0" w:after="0" w:line="560" w:lineRule="exact"/>
        <w:ind w:left="320" w:leftChars="100" w:firstLine="562" w:firstLineChars="200"/>
        <w:jc w:val="center"/>
        <w:textAlignment w:val="baseline"/>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预算安排与执行情况表</w:t>
      </w:r>
    </w:p>
    <w:p>
      <w:pPr>
        <w:keepNext w:val="0"/>
        <w:keepLines w:val="0"/>
        <w:pageBreakBefore w:val="0"/>
        <w:widowControl w:val="0"/>
        <w:kinsoku/>
        <w:wordWrap/>
        <w:overflowPunct w:val="0"/>
        <w:topLinePunct w:val="0"/>
        <w:autoSpaceDE w:val="0"/>
        <w:autoSpaceDN w:val="0"/>
        <w:bidi w:val="0"/>
        <w:adjustRightInd w:val="0"/>
        <w:snapToGrid w:val="0"/>
        <w:spacing w:after="0" w:line="560" w:lineRule="exact"/>
        <w:ind w:left="0" w:leftChars="0" w:right="0" w:rightChars="0" w:firstLine="480" w:firstLineChars="200"/>
        <w:jc w:val="center"/>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1"/>
          <w:szCs w:val="21"/>
          <w:highlight w:val="none"/>
          <w:lang w:eastAsia="zh-CN"/>
        </w:rPr>
        <w:t>单位：万元</w:t>
      </w:r>
    </w:p>
    <w:tbl>
      <w:tblPr>
        <w:tblStyle w:val="18"/>
        <w:tblW w:w="78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350"/>
        <w:gridCol w:w="1008"/>
        <w:gridCol w:w="1260"/>
        <w:gridCol w:w="1304"/>
        <w:gridCol w:w="1168"/>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37" w:type="dxa"/>
            <w:vMerge w:val="restart"/>
            <w:shd w:val="clear" w:color="auto" w:fill="auto"/>
            <w:vAlign w:val="center"/>
          </w:tcPr>
          <w:p>
            <w:pPr>
              <w:keepLines w:val="0"/>
              <w:pageBreakBefore w:val="0"/>
              <w:widowControl w:val="0"/>
              <w:tabs>
                <w:tab w:val="left" w:pos="6213"/>
              </w:tabs>
              <w:kinsoku/>
              <w:wordWrap/>
              <w:overflowPunct w:val="0"/>
              <w:topLinePunct w:val="0"/>
              <w:autoSpaceDE w:val="0"/>
              <w:autoSpaceDN w:val="0"/>
              <w:bidi w:val="0"/>
              <w:jc w:val="center"/>
              <w:rPr>
                <w:rFonts w:hint="eastAsia" w:ascii="宋体" w:hAnsi="宋体" w:eastAsia="宋体" w:cs="宋体"/>
                <w:b/>
                <w:bCs/>
                <w:color w:val="auto"/>
                <w:sz w:val="21"/>
                <w:szCs w:val="21"/>
                <w:highlight w:val="none"/>
                <w:lang w:bidi="ar"/>
              </w:rPr>
            </w:pPr>
            <w:r>
              <w:rPr>
                <w:rFonts w:hint="eastAsia" w:ascii="宋体" w:hAnsi="宋体" w:eastAsia="宋体" w:cs="宋体"/>
                <w:b/>
                <w:bCs/>
                <w:snapToGrid w:val="0"/>
                <w:color w:val="auto"/>
                <w:sz w:val="21"/>
                <w:szCs w:val="21"/>
                <w:highlight w:val="none"/>
                <w:lang w:val="en-US" w:eastAsia="zh-CN" w:bidi="ar-SA"/>
              </w:rPr>
              <w:t>支出</w:t>
            </w:r>
            <w:r>
              <w:rPr>
                <w:rFonts w:hint="eastAsia" w:ascii="宋体" w:hAnsi="宋体" w:eastAsia="宋体" w:cs="宋体"/>
                <w:b/>
                <w:bCs/>
                <w:snapToGrid w:val="0"/>
                <w:color w:val="auto"/>
                <w:sz w:val="21"/>
                <w:szCs w:val="21"/>
                <w:highlight w:val="none"/>
                <w:lang w:val="en-US" w:eastAsia="zh-CN" w:bidi="ar-SA"/>
              </w:rPr>
              <w:tab/>
            </w:r>
            <w:r>
              <w:rPr>
                <w:rFonts w:hint="eastAsia" w:ascii="宋体" w:hAnsi="宋体" w:eastAsia="宋体" w:cs="宋体"/>
                <w:b/>
                <w:bCs/>
                <w:color w:val="auto"/>
                <w:sz w:val="21"/>
                <w:szCs w:val="21"/>
                <w:highlight w:val="none"/>
                <w:lang w:val="en-US" w:eastAsia="zh-CN"/>
              </w:rPr>
              <w:tab/>
            </w:r>
            <w:r>
              <w:rPr>
                <w:rFonts w:hint="eastAsia" w:ascii="宋体" w:hAnsi="宋体" w:eastAsia="宋体" w:cs="宋体"/>
                <w:b/>
                <w:bCs/>
                <w:color w:val="auto"/>
                <w:sz w:val="21"/>
                <w:szCs w:val="21"/>
                <w:highlight w:val="none"/>
                <w:lang w:bidi="ar"/>
              </w:rPr>
              <w:t>支出</w:t>
            </w:r>
          </w:p>
          <w:p>
            <w:pPr>
              <w:keepNext w:val="0"/>
              <w:keepLines w:val="0"/>
              <w:pageBreakBefore w:val="0"/>
              <w:widowControl w:val="0"/>
              <w:kinsoku/>
              <w:wordWrap/>
              <w:overflowPunct w:val="0"/>
              <w:topLinePunct w:val="0"/>
              <w:autoSpaceDE w:val="0"/>
              <w:autoSpaceDN w:val="0"/>
              <w:bidi w:val="0"/>
              <w:adjustRightInd w:val="0"/>
              <w:snapToGrid w:val="0"/>
              <w:spacing w:line="240" w:lineRule="auto"/>
              <w:jc w:val="both"/>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类别</w:t>
            </w:r>
          </w:p>
        </w:tc>
        <w:tc>
          <w:tcPr>
            <w:tcW w:w="1350" w:type="dxa"/>
            <w:vMerge w:val="restart"/>
            <w:shd w:val="clear" w:color="auto" w:fill="auto"/>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项目名称</w:t>
            </w:r>
          </w:p>
        </w:tc>
        <w:tc>
          <w:tcPr>
            <w:tcW w:w="1008" w:type="dxa"/>
            <w:vMerge w:val="restart"/>
            <w:shd w:val="clear" w:color="auto" w:fill="auto"/>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lang w:bidi="ar"/>
              </w:rPr>
            </w:pPr>
            <w:r>
              <w:rPr>
                <w:rFonts w:hint="eastAsia" w:ascii="宋体" w:hAnsi="宋体" w:eastAsia="宋体" w:cs="宋体"/>
                <w:b/>
                <w:bCs/>
                <w:color w:val="auto"/>
                <w:sz w:val="21"/>
                <w:szCs w:val="21"/>
                <w:highlight w:val="none"/>
                <w:lang w:bidi="ar"/>
              </w:rPr>
              <w:t>年初</w:t>
            </w:r>
          </w:p>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预算</w:t>
            </w:r>
          </w:p>
        </w:tc>
        <w:tc>
          <w:tcPr>
            <w:tcW w:w="1260" w:type="dxa"/>
            <w:vMerge w:val="restart"/>
            <w:shd w:val="clear" w:color="auto" w:fill="auto"/>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lang w:bidi="ar"/>
              </w:rPr>
            </w:pPr>
            <w:r>
              <w:rPr>
                <w:rFonts w:hint="eastAsia" w:ascii="宋体" w:hAnsi="宋体" w:eastAsia="宋体" w:cs="宋体"/>
                <w:b/>
                <w:bCs/>
                <w:color w:val="auto"/>
                <w:sz w:val="21"/>
                <w:szCs w:val="21"/>
                <w:highlight w:val="none"/>
                <w:lang w:bidi="ar"/>
              </w:rPr>
              <w:t>调整后</w:t>
            </w:r>
          </w:p>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预算</w:t>
            </w:r>
          </w:p>
        </w:tc>
        <w:tc>
          <w:tcPr>
            <w:tcW w:w="1304" w:type="dxa"/>
            <w:vMerge w:val="restart"/>
            <w:shd w:val="clear" w:color="auto" w:fill="auto"/>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lang w:bidi="ar"/>
              </w:rPr>
            </w:pPr>
            <w:r>
              <w:rPr>
                <w:rFonts w:hint="eastAsia" w:ascii="宋体" w:hAnsi="宋体" w:eastAsia="宋体" w:cs="宋体"/>
                <w:b/>
                <w:bCs/>
                <w:color w:val="auto"/>
                <w:sz w:val="21"/>
                <w:szCs w:val="21"/>
                <w:highlight w:val="none"/>
                <w:lang w:bidi="ar"/>
              </w:rPr>
              <w:t>预算调</w:t>
            </w:r>
          </w:p>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整率</w:t>
            </w:r>
          </w:p>
        </w:tc>
        <w:tc>
          <w:tcPr>
            <w:tcW w:w="1168" w:type="dxa"/>
            <w:vMerge w:val="restart"/>
            <w:shd w:val="clear" w:color="auto" w:fill="auto"/>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lang w:bidi="ar"/>
              </w:rPr>
            </w:pPr>
            <w:r>
              <w:rPr>
                <w:rFonts w:hint="eastAsia" w:ascii="宋体" w:hAnsi="宋体" w:eastAsia="宋体" w:cs="宋体"/>
                <w:b/>
                <w:bCs/>
                <w:color w:val="auto"/>
                <w:sz w:val="21"/>
                <w:szCs w:val="21"/>
                <w:highlight w:val="none"/>
                <w:lang w:bidi="ar"/>
              </w:rPr>
              <w:t>执行</w:t>
            </w:r>
          </w:p>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金额</w:t>
            </w:r>
          </w:p>
        </w:tc>
        <w:tc>
          <w:tcPr>
            <w:tcW w:w="1050" w:type="dxa"/>
            <w:vMerge w:val="restart"/>
            <w:shd w:val="clear" w:color="auto" w:fill="auto"/>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37"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350"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008"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260"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304"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168"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050"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737" w:type="dxa"/>
            <w:vMerge w:val="restart"/>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lang w:bidi="ar"/>
              </w:rPr>
            </w:pPr>
            <w:r>
              <w:rPr>
                <w:rFonts w:hint="eastAsia" w:ascii="宋体" w:hAnsi="宋体" w:eastAsia="宋体" w:cs="宋体"/>
                <w:b w:val="0"/>
                <w:bCs w:val="0"/>
                <w:color w:val="auto"/>
                <w:sz w:val="21"/>
                <w:szCs w:val="21"/>
                <w:highlight w:val="none"/>
                <w:lang w:bidi="ar"/>
              </w:rPr>
              <w:t>基本</w:t>
            </w:r>
          </w:p>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支出</w:t>
            </w:r>
          </w:p>
        </w:tc>
        <w:tc>
          <w:tcPr>
            <w:tcW w:w="13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人员经费</w:t>
            </w:r>
          </w:p>
        </w:tc>
        <w:tc>
          <w:tcPr>
            <w:tcW w:w="100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127.57</w:t>
            </w:r>
          </w:p>
        </w:tc>
        <w:tc>
          <w:tcPr>
            <w:tcW w:w="1260"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43.35</w:t>
            </w:r>
          </w:p>
        </w:tc>
        <w:tc>
          <w:tcPr>
            <w:tcW w:w="1304"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66.02%</w:t>
            </w:r>
          </w:p>
        </w:tc>
        <w:tc>
          <w:tcPr>
            <w:tcW w:w="116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43.35</w:t>
            </w:r>
          </w:p>
        </w:tc>
        <w:tc>
          <w:tcPr>
            <w:tcW w:w="10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737"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3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公用经费</w:t>
            </w:r>
          </w:p>
        </w:tc>
        <w:tc>
          <w:tcPr>
            <w:tcW w:w="100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29.47</w:t>
            </w:r>
          </w:p>
        </w:tc>
        <w:tc>
          <w:tcPr>
            <w:tcW w:w="1260"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12.40</w:t>
            </w:r>
          </w:p>
        </w:tc>
        <w:tc>
          <w:tcPr>
            <w:tcW w:w="1304"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57.93%</w:t>
            </w:r>
          </w:p>
        </w:tc>
        <w:tc>
          <w:tcPr>
            <w:tcW w:w="116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12.40</w:t>
            </w:r>
          </w:p>
        </w:tc>
        <w:tc>
          <w:tcPr>
            <w:tcW w:w="10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37"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3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小计</w:t>
            </w:r>
          </w:p>
        </w:tc>
        <w:tc>
          <w:tcPr>
            <w:tcW w:w="1008"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157.04</w:t>
            </w:r>
          </w:p>
        </w:tc>
        <w:tc>
          <w:tcPr>
            <w:tcW w:w="126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55.75</w:t>
            </w:r>
          </w:p>
        </w:tc>
        <w:tc>
          <w:tcPr>
            <w:tcW w:w="1304"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64.50%</w:t>
            </w:r>
          </w:p>
        </w:tc>
        <w:tc>
          <w:tcPr>
            <w:tcW w:w="1168"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55.75</w:t>
            </w:r>
          </w:p>
        </w:tc>
        <w:tc>
          <w:tcPr>
            <w:tcW w:w="10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737" w:type="dxa"/>
            <w:vMerge w:val="restart"/>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lang w:bidi="ar"/>
              </w:rPr>
            </w:pPr>
            <w:r>
              <w:rPr>
                <w:rFonts w:hint="eastAsia" w:ascii="宋体" w:hAnsi="宋体" w:eastAsia="宋体" w:cs="宋体"/>
                <w:b w:val="0"/>
                <w:bCs w:val="0"/>
                <w:color w:val="auto"/>
                <w:sz w:val="21"/>
                <w:szCs w:val="21"/>
                <w:highlight w:val="none"/>
                <w:lang w:bidi="ar"/>
              </w:rPr>
              <w:t>项目</w:t>
            </w:r>
          </w:p>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支出</w:t>
            </w:r>
          </w:p>
        </w:tc>
        <w:tc>
          <w:tcPr>
            <w:tcW w:w="13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招商引资</w:t>
            </w:r>
          </w:p>
        </w:tc>
        <w:tc>
          <w:tcPr>
            <w:tcW w:w="100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254.00</w:t>
            </w:r>
          </w:p>
        </w:tc>
        <w:tc>
          <w:tcPr>
            <w:tcW w:w="1260"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w:t>
            </w: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309.03</w:t>
            </w:r>
          </w:p>
        </w:tc>
        <w:tc>
          <w:tcPr>
            <w:tcW w:w="1304"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415.36%</w:t>
            </w:r>
          </w:p>
        </w:tc>
        <w:tc>
          <w:tcPr>
            <w:tcW w:w="116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w:t>
            </w: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309.03</w:t>
            </w:r>
          </w:p>
        </w:tc>
        <w:tc>
          <w:tcPr>
            <w:tcW w:w="1050" w:type="dxa"/>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37" w:type="dxa"/>
            <w:vMerge w:val="continue"/>
            <w:shd w:val="clear" w:color="auto" w:fill="auto"/>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20" w:firstLineChars="200"/>
              <w:jc w:val="center"/>
              <w:rPr>
                <w:rFonts w:hint="eastAsia" w:ascii="宋体" w:hAnsi="宋体" w:eastAsia="宋体" w:cs="宋体"/>
                <w:b w:val="0"/>
                <w:bCs w:val="0"/>
                <w:color w:val="auto"/>
                <w:sz w:val="21"/>
                <w:szCs w:val="21"/>
                <w:highlight w:val="none"/>
              </w:rPr>
            </w:pPr>
          </w:p>
        </w:tc>
        <w:tc>
          <w:tcPr>
            <w:tcW w:w="1350"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小计</w:t>
            </w:r>
          </w:p>
        </w:tc>
        <w:tc>
          <w:tcPr>
            <w:tcW w:w="100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254.00</w:t>
            </w:r>
          </w:p>
        </w:tc>
        <w:tc>
          <w:tcPr>
            <w:tcW w:w="1260"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w:t>
            </w: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309.03</w:t>
            </w:r>
          </w:p>
        </w:tc>
        <w:tc>
          <w:tcPr>
            <w:tcW w:w="1304"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415.36%</w:t>
            </w:r>
          </w:p>
        </w:tc>
        <w:tc>
          <w:tcPr>
            <w:tcW w:w="1168"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righ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w:t>
            </w:r>
            <w:r>
              <w:rPr>
                <w:rFonts w:hint="eastAsia" w:ascii="宋体" w:hAnsi="宋体" w:eastAsia="宋体" w:cs="宋体"/>
                <w:b w:val="0"/>
                <w:bCs w:val="0"/>
                <w:color w:val="auto"/>
                <w:sz w:val="21"/>
                <w:szCs w:val="21"/>
                <w:highlight w:val="none"/>
                <w:lang w:val="en-US" w:eastAsia="zh-CN" w:bidi="ar"/>
              </w:rPr>
              <w:t>,</w:t>
            </w:r>
            <w:r>
              <w:rPr>
                <w:rFonts w:hint="eastAsia" w:ascii="宋体" w:hAnsi="宋体" w:eastAsia="宋体" w:cs="宋体"/>
                <w:b w:val="0"/>
                <w:bCs w:val="0"/>
                <w:color w:val="auto"/>
                <w:sz w:val="21"/>
                <w:szCs w:val="21"/>
                <w:highlight w:val="none"/>
                <w:lang w:bidi="ar"/>
              </w:rPr>
              <w:t>309.03</w:t>
            </w:r>
          </w:p>
        </w:tc>
        <w:tc>
          <w:tcPr>
            <w:tcW w:w="1050" w:type="dxa"/>
            <w:shd w:val="clear" w:color="auto" w:fill="auto"/>
            <w:noWrap/>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center"/>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2087" w:type="dxa"/>
            <w:gridSpan w:val="2"/>
            <w:shd w:val="clear" w:color="auto" w:fill="auto"/>
            <w:noWrap/>
            <w:vAlign w:val="center"/>
          </w:tcPr>
          <w:p>
            <w:pPr>
              <w:keepNext w:val="0"/>
              <w:keepLines w:val="0"/>
              <w:pageBreakBefore w:val="0"/>
              <w:widowControl w:val="0"/>
              <w:kinsoku/>
              <w:wordWrap/>
              <w:overflowPunct w:val="0"/>
              <w:topLinePunct w:val="0"/>
              <w:autoSpaceDE w:val="0"/>
              <w:autoSpaceDN w:val="0"/>
              <w:bidi w:val="0"/>
              <w:adjustRightInd w:val="0"/>
              <w:snapToGrid w:val="0"/>
              <w:spacing w:line="560" w:lineRule="exact"/>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合</w:t>
            </w:r>
            <w:r>
              <w:rPr>
                <w:rFonts w:hint="eastAsia" w:ascii="宋体" w:hAnsi="宋体" w:eastAsia="宋体" w:cs="宋体"/>
                <w:b/>
                <w:bCs/>
                <w:color w:val="auto"/>
                <w:sz w:val="21"/>
                <w:szCs w:val="21"/>
                <w:highlight w:val="none"/>
                <w:lang w:val="en-US" w:eastAsia="zh-CN" w:bidi="ar"/>
              </w:rPr>
              <w:t xml:space="preserve">  </w:t>
            </w:r>
            <w:r>
              <w:rPr>
                <w:rFonts w:hint="eastAsia" w:ascii="宋体" w:hAnsi="宋体" w:eastAsia="宋体" w:cs="宋体"/>
                <w:b/>
                <w:bCs/>
                <w:color w:val="auto"/>
                <w:sz w:val="21"/>
                <w:szCs w:val="21"/>
                <w:highlight w:val="none"/>
                <w:lang w:bidi="ar"/>
              </w:rPr>
              <w:t>计</w:t>
            </w:r>
          </w:p>
        </w:tc>
        <w:tc>
          <w:tcPr>
            <w:tcW w:w="1008" w:type="dxa"/>
            <w:shd w:val="clear" w:color="auto" w:fill="auto"/>
            <w:noWrap/>
            <w:vAlign w:val="center"/>
          </w:tcPr>
          <w:p>
            <w:pPr>
              <w:keepNext w:val="0"/>
              <w:keepLines w:val="0"/>
              <w:pageBreakBefore w:val="0"/>
              <w:widowControl w:val="0"/>
              <w:kinsoku/>
              <w:wordWrap/>
              <w:overflowPunct w:val="0"/>
              <w:topLinePunct w:val="0"/>
              <w:autoSpaceDE w:val="0"/>
              <w:autoSpaceDN w:val="0"/>
              <w:bidi w:val="0"/>
              <w:adjustRightInd w:val="0"/>
              <w:snapToGrid w:val="0"/>
              <w:spacing w:line="560" w:lineRule="exact"/>
              <w:jc w:val="right"/>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411.04</w:t>
            </w:r>
          </w:p>
        </w:tc>
        <w:tc>
          <w:tcPr>
            <w:tcW w:w="1260" w:type="dxa"/>
            <w:shd w:val="clear" w:color="auto" w:fill="auto"/>
            <w:noWrap/>
            <w:vAlign w:val="center"/>
          </w:tcPr>
          <w:p>
            <w:pPr>
              <w:keepNext w:val="0"/>
              <w:keepLines w:val="0"/>
              <w:pageBreakBefore w:val="0"/>
              <w:widowControl w:val="0"/>
              <w:kinsoku/>
              <w:wordWrap/>
              <w:overflowPunct w:val="0"/>
              <w:topLinePunct w:val="0"/>
              <w:autoSpaceDE w:val="0"/>
              <w:autoSpaceDN w:val="0"/>
              <w:bidi w:val="0"/>
              <w:adjustRightInd w:val="0"/>
              <w:snapToGrid w:val="0"/>
              <w:spacing w:line="560" w:lineRule="exact"/>
              <w:jc w:val="right"/>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1</w:t>
            </w:r>
            <w:r>
              <w:rPr>
                <w:rFonts w:hint="eastAsia" w:ascii="宋体" w:hAnsi="宋体" w:eastAsia="宋体" w:cs="宋体"/>
                <w:b/>
                <w:bCs/>
                <w:color w:val="auto"/>
                <w:sz w:val="21"/>
                <w:szCs w:val="21"/>
                <w:highlight w:val="none"/>
                <w:lang w:val="en-US" w:eastAsia="zh-CN" w:bidi="ar"/>
              </w:rPr>
              <w:t>,</w:t>
            </w:r>
            <w:r>
              <w:rPr>
                <w:rFonts w:hint="eastAsia" w:ascii="宋体" w:hAnsi="宋体" w:eastAsia="宋体" w:cs="宋体"/>
                <w:b/>
                <w:bCs/>
                <w:color w:val="auto"/>
                <w:sz w:val="21"/>
                <w:szCs w:val="21"/>
                <w:highlight w:val="none"/>
                <w:lang w:bidi="ar"/>
              </w:rPr>
              <w:t>364.78</w:t>
            </w:r>
          </w:p>
        </w:tc>
        <w:tc>
          <w:tcPr>
            <w:tcW w:w="1304" w:type="dxa"/>
            <w:shd w:val="clear" w:color="auto" w:fill="auto"/>
            <w:noWrap/>
            <w:vAlign w:val="center"/>
          </w:tcPr>
          <w:p>
            <w:pPr>
              <w:keepNext w:val="0"/>
              <w:keepLines w:val="0"/>
              <w:pageBreakBefore w:val="0"/>
              <w:widowControl w:val="0"/>
              <w:kinsoku/>
              <w:wordWrap/>
              <w:overflowPunct w:val="0"/>
              <w:topLinePunct w:val="0"/>
              <w:autoSpaceDE w:val="0"/>
              <w:autoSpaceDN w:val="0"/>
              <w:bidi w:val="0"/>
              <w:adjustRightInd w:val="0"/>
              <w:snapToGrid w:val="0"/>
              <w:spacing w:line="560" w:lineRule="exact"/>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232.03%</w:t>
            </w:r>
          </w:p>
        </w:tc>
        <w:tc>
          <w:tcPr>
            <w:tcW w:w="1168" w:type="dxa"/>
            <w:shd w:val="clear" w:color="auto" w:fill="auto"/>
            <w:noWrap/>
            <w:vAlign w:val="center"/>
          </w:tcPr>
          <w:p>
            <w:pPr>
              <w:keepNext w:val="0"/>
              <w:keepLines w:val="0"/>
              <w:pageBreakBefore w:val="0"/>
              <w:widowControl w:val="0"/>
              <w:kinsoku/>
              <w:wordWrap/>
              <w:overflowPunct w:val="0"/>
              <w:topLinePunct w:val="0"/>
              <w:autoSpaceDE w:val="0"/>
              <w:autoSpaceDN w:val="0"/>
              <w:bidi w:val="0"/>
              <w:adjustRightInd w:val="0"/>
              <w:snapToGrid w:val="0"/>
              <w:spacing w:line="560" w:lineRule="exact"/>
              <w:jc w:val="right"/>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1</w:t>
            </w:r>
            <w:r>
              <w:rPr>
                <w:rFonts w:hint="eastAsia" w:ascii="宋体" w:hAnsi="宋体" w:eastAsia="宋体" w:cs="宋体"/>
                <w:b/>
                <w:bCs/>
                <w:color w:val="auto"/>
                <w:sz w:val="21"/>
                <w:szCs w:val="21"/>
                <w:highlight w:val="none"/>
                <w:lang w:val="en-US" w:eastAsia="zh-CN" w:bidi="ar"/>
              </w:rPr>
              <w:t>,</w:t>
            </w:r>
            <w:r>
              <w:rPr>
                <w:rFonts w:hint="eastAsia" w:ascii="宋体" w:hAnsi="宋体" w:eastAsia="宋体" w:cs="宋体"/>
                <w:b/>
                <w:bCs/>
                <w:color w:val="auto"/>
                <w:sz w:val="21"/>
                <w:szCs w:val="21"/>
                <w:highlight w:val="none"/>
                <w:lang w:bidi="ar"/>
              </w:rPr>
              <w:t>364.78</w:t>
            </w:r>
          </w:p>
        </w:tc>
        <w:tc>
          <w:tcPr>
            <w:tcW w:w="1050" w:type="dxa"/>
            <w:shd w:val="clear" w:color="auto" w:fill="auto"/>
            <w:noWrap/>
            <w:vAlign w:val="center"/>
          </w:tcPr>
          <w:p>
            <w:pPr>
              <w:keepNext w:val="0"/>
              <w:keepLines w:val="0"/>
              <w:pageBreakBefore w:val="0"/>
              <w:widowControl w:val="0"/>
              <w:kinsoku/>
              <w:wordWrap/>
              <w:overflowPunct w:val="0"/>
              <w:topLinePunct w:val="0"/>
              <w:autoSpaceDE w:val="0"/>
              <w:autoSpaceDN w:val="0"/>
              <w:bidi w:val="0"/>
              <w:adjustRightInd w:val="0"/>
              <w:snapToGrid w:val="0"/>
              <w:spacing w:line="560" w:lineRule="exact"/>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bidi="ar"/>
              </w:rPr>
              <w:t>100.00%</w:t>
            </w:r>
          </w:p>
        </w:tc>
      </w:tr>
    </w:tbl>
    <w:p>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643" w:firstLineChars="200"/>
        <w:jc w:val="both"/>
        <w:textAlignment w:val="baseline"/>
        <w:rPr>
          <w:rFonts w:hint="eastAsia" w:ascii="楷体" w:hAnsi="楷体" w:eastAsia="楷体" w:cs="楷体"/>
          <w:b/>
          <w:bCs/>
          <w:color w:val="auto"/>
          <w:highlight w:val="none"/>
        </w:rPr>
      </w:pPr>
      <w:bookmarkStart w:id="1859" w:name="_Toc13476"/>
      <w:bookmarkStart w:id="1860" w:name="_Toc3517"/>
      <w:r>
        <w:rPr>
          <w:rFonts w:hint="eastAsia" w:ascii="楷体" w:hAnsi="楷体" w:eastAsia="楷体" w:cs="楷体"/>
          <w:b/>
          <w:bCs/>
          <w:color w:val="auto"/>
          <w:highlight w:val="none"/>
        </w:rPr>
        <w:t>2.预算调整情况</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2023年</w:t>
      </w:r>
      <w:r>
        <w:rPr>
          <w:rFonts w:hint="eastAsia" w:ascii="仿宋" w:hAnsi="仿宋" w:cs="仿宋"/>
          <w:color w:val="auto"/>
          <w:szCs w:val="32"/>
          <w:highlight w:val="none"/>
          <w:shd w:val="clear" w:color="auto" w:fill="FFFFFF"/>
        </w:rPr>
        <w:t>高新区经合中心</w:t>
      </w:r>
      <w:r>
        <w:rPr>
          <w:rFonts w:hint="eastAsia" w:ascii="仿宋" w:hAnsi="仿宋" w:cs="仿宋"/>
          <w:color w:val="auto"/>
          <w:szCs w:val="32"/>
          <w:highlight w:val="none"/>
        </w:rPr>
        <w:t>年初预算总额411.04万元，调整后预算总额</w:t>
      </w:r>
      <w:r>
        <w:rPr>
          <w:rFonts w:hint="eastAsia" w:ascii="仿宋" w:hAnsi="仿宋" w:cs="仿宋"/>
          <w:color w:val="auto"/>
          <w:szCs w:val="32"/>
          <w:highlight w:val="none"/>
          <w:lang w:val="en-US" w:eastAsia="zh-CN" w:bidi="ar"/>
        </w:rPr>
        <w:t>1,364.78</w:t>
      </w:r>
      <w:r>
        <w:rPr>
          <w:rFonts w:hint="eastAsia" w:ascii="仿宋" w:hAnsi="仿宋" w:cs="仿宋"/>
          <w:color w:val="auto"/>
          <w:szCs w:val="32"/>
          <w:highlight w:val="none"/>
        </w:rPr>
        <w:t>万元，</w:t>
      </w:r>
      <w:r>
        <w:rPr>
          <w:rFonts w:hint="eastAsia" w:ascii="仿宋" w:hAnsi="仿宋" w:cs="仿宋"/>
          <w:color w:val="auto"/>
          <w:szCs w:val="32"/>
          <w:highlight w:val="none"/>
          <w:lang w:eastAsia="zh-CN"/>
        </w:rPr>
        <w:t>预算</w:t>
      </w:r>
      <w:r>
        <w:rPr>
          <w:rFonts w:hint="eastAsia" w:ascii="仿宋" w:hAnsi="仿宋" w:cs="仿宋"/>
          <w:color w:val="auto"/>
          <w:szCs w:val="32"/>
          <w:highlight w:val="none"/>
        </w:rPr>
        <w:t>调整率为232.03%，其中主要调整项为：</w:t>
      </w:r>
      <w:r>
        <w:rPr>
          <w:rFonts w:hint="eastAsia" w:ascii="仿宋" w:hAnsi="仿宋" w:cs="仿宋"/>
          <w:color w:val="auto"/>
          <w:szCs w:val="32"/>
          <w:highlight w:val="none"/>
          <w:lang w:eastAsia="zh-CN"/>
        </w:rPr>
        <w:t>人员经费调减</w:t>
      </w:r>
      <w:r>
        <w:rPr>
          <w:rFonts w:hint="eastAsia" w:ascii="仿宋" w:hAnsi="仿宋" w:cs="仿宋"/>
          <w:color w:val="auto"/>
          <w:szCs w:val="32"/>
          <w:highlight w:val="none"/>
          <w:lang w:val="en-US" w:eastAsia="zh-CN"/>
        </w:rPr>
        <w:t>84.22万元，预算调整率为66.02%，公用经费调减17.07万元，预算调整率为57.93%，</w:t>
      </w:r>
      <w:r>
        <w:rPr>
          <w:rFonts w:hint="eastAsia" w:ascii="仿宋" w:hAnsi="仿宋" w:cs="仿宋"/>
          <w:color w:val="auto"/>
          <w:szCs w:val="32"/>
          <w:highlight w:val="none"/>
        </w:rPr>
        <w:t>招商引资项目预算</w:t>
      </w:r>
      <w:r>
        <w:rPr>
          <w:rFonts w:hint="eastAsia" w:ascii="仿宋" w:hAnsi="仿宋" w:cs="仿宋"/>
          <w:color w:val="auto"/>
          <w:szCs w:val="32"/>
          <w:highlight w:val="none"/>
          <w:lang w:eastAsia="zh-CN"/>
        </w:rPr>
        <w:t>调增</w:t>
      </w:r>
      <w:r>
        <w:rPr>
          <w:rFonts w:hint="eastAsia" w:ascii="仿宋" w:hAnsi="仿宋" w:cs="仿宋"/>
          <w:color w:val="auto"/>
          <w:szCs w:val="32"/>
          <w:highlight w:val="none"/>
          <w:lang w:val="en-US" w:eastAsia="zh-CN"/>
        </w:rPr>
        <w:t>1,055.03</w:t>
      </w:r>
      <w:r>
        <w:rPr>
          <w:rFonts w:hint="eastAsia" w:ascii="仿宋" w:hAnsi="仿宋" w:cs="仿宋"/>
          <w:color w:val="auto"/>
          <w:szCs w:val="32"/>
          <w:highlight w:val="none"/>
        </w:rPr>
        <w:t>万元，预算调整率为415.36%。</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b/>
          <w:bCs/>
          <w:snapToGrid w:val="0"/>
          <w:color w:val="auto"/>
          <w:sz w:val="32"/>
          <w:szCs w:val="32"/>
          <w:highlight w:val="none"/>
          <w:lang w:val="zh-CN" w:eastAsia="zh-CN" w:bidi="ar-SA"/>
        </w:rPr>
      </w:pPr>
      <w:r>
        <w:rPr>
          <w:rFonts w:hint="eastAsia" w:ascii="楷体" w:hAnsi="楷体" w:eastAsia="楷体" w:cs="楷体"/>
          <w:b/>
          <w:bCs/>
          <w:color w:val="auto"/>
          <w:highlight w:val="none"/>
        </w:rPr>
        <w:t>3.预算结余情况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b w:val="0"/>
          <w:bCs w:val="0"/>
          <w:snapToGrid w:val="0"/>
          <w:color w:val="auto"/>
          <w:sz w:val="32"/>
          <w:szCs w:val="32"/>
          <w:highlight w:val="none"/>
          <w:lang w:val="zh-CN" w:eastAsia="zh-CN" w:bidi="ar-SA"/>
        </w:rPr>
      </w:pPr>
      <w:r>
        <w:rPr>
          <w:rFonts w:hint="eastAsia" w:ascii="仿宋" w:hAnsi="仿宋" w:eastAsia="仿宋" w:cs="仿宋"/>
          <w:b w:val="0"/>
          <w:bCs w:val="0"/>
          <w:snapToGrid w:val="0"/>
          <w:color w:val="auto"/>
          <w:sz w:val="32"/>
          <w:szCs w:val="32"/>
          <w:highlight w:val="none"/>
          <w:lang w:val="zh-CN" w:eastAsia="zh-CN" w:bidi="ar-SA"/>
        </w:rPr>
        <w:t>2023年年初收入预算411.04万元，调整后预算为</w:t>
      </w:r>
      <w:r>
        <w:rPr>
          <w:rFonts w:hint="eastAsia" w:ascii="仿宋" w:hAnsi="仿宋" w:eastAsia="仿宋" w:cs="仿宋"/>
          <w:b w:val="0"/>
          <w:bCs w:val="0"/>
          <w:snapToGrid w:val="0"/>
          <w:color w:val="auto"/>
          <w:sz w:val="32"/>
          <w:szCs w:val="32"/>
          <w:highlight w:val="none"/>
          <w:lang w:val="en-US" w:eastAsia="zh-CN" w:bidi="ar-SA"/>
        </w:rPr>
        <w:t>1</w:t>
      </w:r>
      <w:r>
        <w:rPr>
          <w:rFonts w:hint="eastAsia" w:ascii="仿宋" w:hAnsi="仿宋" w:cs="仿宋"/>
          <w:b w:val="0"/>
          <w:bCs w:val="0"/>
          <w:snapToGrid w:val="0"/>
          <w:color w:val="auto"/>
          <w:sz w:val="32"/>
          <w:szCs w:val="32"/>
          <w:highlight w:val="none"/>
          <w:lang w:val="en-US" w:eastAsia="zh-CN" w:bidi="ar-SA"/>
        </w:rPr>
        <w:t>,</w:t>
      </w:r>
      <w:r>
        <w:rPr>
          <w:rFonts w:hint="eastAsia" w:ascii="仿宋" w:hAnsi="仿宋" w:eastAsia="仿宋" w:cs="仿宋"/>
          <w:b w:val="0"/>
          <w:bCs w:val="0"/>
          <w:snapToGrid w:val="0"/>
          <w:color w:val="auto"/>
          <w:sz w:val="32"/>
          <w:szCs w:val="32"/>
          <w:highlight w:val="none"/>
          <w:lang w:val="en-US" w:eastAsia="zh-CN" w:bidi="ar-SA"/>
        </w:rPr>
        <w:t>364.78</w:t>
      </w:r>
      <w:r>
        <w:rPr>
          <w:rFonts w:hint="eastAsia" w:ascii="仿宋" w:hAnsi="仿宋" w:eastAsia="仿宋" w:cs="仿宋"/>
          <w:b w:val="0"/>
          <w:bCs w:val="0"/>
          <w:snapToGrid w:val="0"/>
          <w:color w:val="auto"/>
          <w:sz w:val="32"/>
          <w:szCs w:val="32"/>
          <w:highlight w:val="none"/>
          <w:lang w:val="zh-CN" w:eastAsia="zh-CN" w:bidi="ar-SA"/>
        </w:rPr>
        <w:t>万元。本年度实际支出1,364.78万元，2023年年底无结余。</w:t>
      </w:r>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1861" w:name="_Toc24960"/>
      <w:bookmarkStart w:id="1862" w:name="_Toc28427"/>
      <w:bookmarkStart w:id="1863" w:name="_Toc22989"/>
      <w:bookmarkStart w:id="1864" w:name="_Toc30088"/>
      <w:bookmarkStart w:id="1865" w:name="_Toc10471"/>
      <w:bookmarkStart w:id="1866" w:name="_Toc20263"/>
      <w:bookmarkStart w:id="1867" w:name="_Toc29116"/>
      <w:bookmarkStart w:id="1868" w:name="_Toc20508"/>
      <w:bookmarkStart w:id="1869" w:name="_Toc11575"/>
      <w:bookmarkStart w:id="1870" w:name="_Toc24367"/>
      <w:bookmarkStart w:id="1871" w:name="_Toc9361"/>
      <w:bookmarkStart w:id="1872" w:name="_Toc24268"/>
      <w:r>
        <w:rPr>
          <w:rFonts w:hint="eastAsia"/>
          <w:color w:val="auto"/>
          <w:highlight w:val="none"/>
        </w:rPr>
        <w:t>（四）单位资产情况</w:t>
      </w:r>
      <w:bookmarkEnd w:id="1861"/>
      <w:bookmarkEnd w:id="1862"/>
      <w:bookmarkEnd w:id="1863"/>
      <w:bookmarkEnd w:id="1864"/>
      <w:bookmarkEnd w:id="1865"/>
      <w:bookmarkEnd w:id="1866"/>
      <w:bookmarkEnd w:id="1867"/>
      <w:bookmarkEnd w:id="1868"/>
      <w:bookmarkEnd w:id="1869"/>
      <w:bookmarkEnd w:id="1870"/>
      <w:bookmarkEnd w:id="1871"/>
      <w:bookmarkEnd w:id="1872"/>
    </w:p>
    <w:bookmarkEnd w:id="1859"/>
    <w:bookmarkEnd w:id="1860"/>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1.流动资产</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highlight w:val="none"/>
        </w:rPr>
      </w:pPr>
      <w:r>
        <w:rPr>
          <w:rFonts w:hint="eastAsia" w:ascii="仿宋" w:hAnsi="仿宋" w:eastAsia="仿宋" w:cs="仿宋"/>
          <w:color w:val="auto"/>
          <w:szCs w:val="32"/>
          <w:highlight w:val="none"/>
        </w:rPr>
        <w:t>经查看高新区经合中心2023年度日记账、科目余额表、往来账和财务报表，</w:t>
      </w:r>
      <w:r>
        <w:rPr>
          <w:rFonts w:hint="eastAsia" w:ascii="仿宋" w:hAnsi="仿宋" w:eastAsia="仿宋" w:cs="仿宋"/>
          <w:color w:val="auto"/>
          <w:szCs w:val="32"/>
          <w:highlight w:val="none"/>
          <w:lang w:eastAsia="zh-CN"/>
        </w:rPr>
        <w:t>截至</w:t>
      </w:r>
      <w:r>
        <w:rPr>
          <w:rFonts w:hint="eastAsia" w:ascii="仿宋" w:hAnsi="仿宋" w:eastAsia="仿宋" w:cs="仿宋"/>
          <w:color w:val="auto"/>
          <w:szCs w:val="32"/>
          <w:highlight w:val="none"/>
          <w:lang w:val="en-US" w:eastAsia="zh-CN"/>
        </w:rPr>
        <w:t>2023年12月31日，</w:t>
      </w:r>
      <w:r>
        <w:rPr>
          <w:rFonts w:hint="eastAsia" w:ascii="仿宋" w:hAnsi="仿宋" w:eastAsia="仿宋" w:cs="仿宋"/>
          <w:color w:val="auto"/>
          <w:highlight w:val="none"/>
        </w:rPr>
        <w:t>高新区经合中心流动资产余额0.01万元</w:t>
      </w:r>
      <w:r>
        <w:rPr>
          <w:rFonts w:hint="eastAsia" w:ascii="仿宋" w:hAnsi="仿宋" w:eastAsia="仿宋" w:cs="仿宋"/>
          <w:color w:val="auto"/>
          <w:szCs w:val="32"/>
          <w:highlight w:val="none"/>
        </w:rPr>
        <w:t>，主要是银行存款。</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2.固定资产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shd w:val="clear" w:color="auto" w:fill="FFFFFF"/>
        </w:rPr>
        <w:t>高新区经合中心</w:t>
      </w:r>
      <w:r>
        <w:rPr>
          <w:rFonts w:hint="eastAsia"/>
          <w:color w:val="auto"/>
          <w:highlight w:val="none"/>
          <w:lang w:eastAsia="zh-CN"/>
        </w:rPr>
        <w:t>综合组工作</w:t>
      </w:r>
      <w:r>
        <w:rPr>
          <w:rFonts w:hint="eastAsia" w:ascii="仿宋" w:hAnsi="仿宋" w:cs="仿宋"/>
          <w:bCs/>
          <w:color w:val="auto"/>
          <w:szCs w:val="18"/>
          <w:highlight w:val="none"/>
        </w:rPr>
        <w:t>人员对高新区经合中心的固定资产负有管理责任。截至2023年12月31日，高新区经合中心固定资产实有净值共计3.91万元，其中通用设备2.27万元；家具、用具、装具及动植物1.64万元。经实际盘点和查看，高新区经合中心未发现报废固定资产，资产利用率为100.00%。</w:t>
      </w:r>
      <w:r>
        <w:rPr>
          <w:rFonts w:hint="eastAsia" w:ascii="仿宋" w:hAnsi="仿宋" w:cs="仿宋"/>
          <w:color w:val="auto"/>
          <w:szCs w:val="32"/>
          <w:highlight w:val="none"/>
        </w:rPr>
        <w:t>但发现该部门存在账外资产，且相关资产未落实使用人，未做到账实相符</w:t>
      </w:r>
      <w:r>
        <w:rPr>
          <w:rFonts w:hint="eastAsia" w:ascii="仿宋" w:hAnsi="仿宋" w:cs="仿宋"/>
          <w:color w:val="auto"/>
          <w:szCs w:val="32"/>
          <w:highlight w:val="none"/>
          <w:lang w:eastAsia="zh-CN"/>
        </w:rPr>
        <w:t>，</w:t>
      </w:r>
      <w:r>
        <w:rPr>
          <w:rFonts w:hint="eastAsia" w:ascii="仿宋" w:hAnsi="仿宋" w:cs="仿宋"/>
          <w:color w:val="auto"/>
          <w:szCs w:val="32"/>
          <w:highlight w:val="none"/>
        </w:rPr>
        <w:t>存在账外资产</w:t>
      </w:r>
      <w:r>
        <w:rPr>
          <w:rFonts w:hint="eastAsia" w:ascii="仿宋" w:hAnsi="仿宋" w:cs="仿宋"/>
          <w:color w:val="auto"/>
          <w:szCs w:val="32"/>
          <w:highlight w:val="none"/>
          <w:lang w:eastAsia="zh-CN"/>
        </w:rPr>
        <w:t>，资产管理工作</w:t>
      </w:r>
      <w:r>
        <w:rPr>
          <w:rFonts w:hint="eastAsia"/>
          <w:color w:val="auto"/>
          <w:highlight w:val="none"/>
        </w:rPr>
        <w:t>有待进一步加强</w:t>
      </w:r>
      <w:r>
        <w:rPr>
          <w:rFonts w:hint="eastAsia" w:ascii="仿宋" w:hAnsi="仿宋" w:cs="仿宋"/>
          <w:color w:val="auto"/>
          <w:szCs w:val="32"/>
          <w:highlight w:val="none"/>
        </w:rPr>
        <w:t>。</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rPr>
          <w:b w:val="0"/>
          <w:bCs w:val="0"/>
          <w:color w:val="auto"/>
          <w:highlight w:val="none"/>
        </w:rPr>
      </w:pPr>
      <w:bookmarkStart w:id="1873" w:name="_Toc23387"/>
      <w:bookmarkStart w:id="1874" w:name="_Toc13127"/>
      <w:bookmarkStart w:id="1875" w:name="_Toc10218"/>
      <w:bookmarkStart w:id="1876" w:name="_Toc10421"/>
      <w:bookmarkStart w:id="1877" w:name="_Toc13030"/>
      <w:bookmarkStart w:id="1878" w:name="_Toc6645"/>
      <w:bookmarkStart w:id="1879" w:name="_Toc21158"/>
      <w:bookmarkStart w:id="1880" w:name="_Toc4148"/>
      <w:bookmarkStart w:id="1881" w:name="_Toc6652"/>
      <w:bookmarkStart w:id="1882" w:name="_Toc25908"/>
      <w:bookmarkStart w:id="1883" w:name="_Toc6066"/>
      <w:bookmarkStart w:id="1884" w:name="_Toc15274"/>
      <w:bookmarkStart w:id="1885" w:name="_Toc12403"/>
      <w:bookmarkStart w:id="1886" w:name="_Toc6178"/>
      <w:bookmarkStart w:id="1887" w:name="_Toc18390"/>
      <w:r>
        <w:rPr>
          <w:b w:val="0"/>
          <w:bCs w:val="0"/>
          <w:color w:val="auto"/>
          <w:highlight w:val="none"/>
        </w:rPr>
        <w:t>二、单位绩效目标</w:t>
      </w:r>
      <w:bookmarkEnd w:id="1858"/>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1888" w:name="_Toc9868"/>
      <w:bookmarkStart w:id="1889" w:name="_Toc13058"/>
      <w:bookmarkStart w:id="1890" w:name="_Toc2257"/>
      <w:bookmarkStart w:id="1891" w:name="_Toc29989"/>
      <w:bookmarkStart w:id="1892" w:name="_Toc24608"/>
      <w:bookmarkStart w:id="1893" w:name="_Toc1822"/>
      <w:bookmarkStart w:id="1894" w:name="_Toc22432"/>
      <w:bookmarkStart w:id="1895" w:name="_Toc20698"/>
      <w:bookmarkStart w:id="1896" w:name="_Toc10238"/>
      <w:bookmarkStart w:id="1897" w:name="_Toc27266"/>
      <w:bookmarkStart w:id="1898" w:name="_Toc18279"/>
      <w:bookmarkStart w:id="1899" w:name="_Toc13353"/>
      <w:bookmarkStart w:id="1900" w:name="_Toc25893"/>
      <w:bookmarkStart w:id="1901" w:name="_Toc7679"/>
      <w:bookmarkStart w:id="1902" w:name="_Toc18715"/>
      <w:r>
        <w:rPr>
          <w:color w:val="auto"/>
          <w:highlight w:val="none"/>
        </w:rPr>
        <w:t>（一）单位战略目标</w:t>
      </w:r>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p>
    <w:p>
      <w:pPr>
        <w:keepNext w:val="0"/>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bCs/>
          <w:color w:val="auto"/>
          <w:szCs w:val="18"/>
          <w:highlight w:val="none"/>
        </w:rPr>
      </w:pPr>
      <w:r>
        <w:rPr>
          <w:rFonts w:hint="eastAsia" w:ascii="仿宋" w:hAnsi="仿宋" w:cs="仿宋"/>
          <w:bCs/>
          <w:color w:val="auto"/>
          <w:szCs w:val="18"/>
          <w:highlight w:val="none"/>
        </w:rPr>
        <w:t>高新区经合中心将按照“目标不减、任务不降，延续十三五的招商势头”的总体要求，围绕“422”产业体系，紧盯“绿色、高端、先进、数字”重点方向，大力引进“高精尖”优质项目，为创建国家级高新区奠定坚实的产业基础。十四五总体目标</w:t>
      </w:r>
      <w:r>
        <w:rPr>
          <w:rFonts w:hint="eastAsia" w:ascii="仿宋" w:hAnsi="仿宋" w:cs="仿宋"/>
          <w:color w:val="auto"/>
          <w:highlight w:val="none"/>
        </w:rPr>
        <w:t>到位国内外资金404亿元，引进投资1亿元以上产业项目80个，其中30亿元以上制造业项目8个，工业类项目50个。</w:t>
      </w:r>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1903" w:name="_Toc15405"/>
      <w:bookmarkStart w:id="1904" w:name="_Toc32468"/>
      <w:bookmarkStart w:id="1905" w:name="_Toc18885"/>
      <w:bookmarkStart w:id="1906" w:name="_Toc29031"/>
      <w:bookmarkStart w:id="1907" w:name="_Toc18067"/>
      <w:bookmarkStart w:id="1908" w:name="_Toc3344"/>
      <w:bookmarkStart w:id="1909" w:name="_Toc1994"/>
      <w:bookmarkStart w:id="1910" w:name="_Toc19526"/>
      <w:bookmarkStart w:id="1911" w:name="_Toc15114"/>
      <w:bookmarkStart w:id="1912" w:name="_Toc15782"/>
      <w:bookmarkStart w:id="1913" w:name="_Toc11868"/>
      <w:bookmarkStart w:id="1914" w:name="_Toc12312"/>
      <w:bookmarkStart w:id="1915" w:name="_Toc23461"/>
      <w:bookmarkStart w:id="1916" w:name="_Toc11668"/>
      <w:bookmarkStart w:id="1917" w:name="_Toc4833"/>
      <w:bookmarkStart w:id="1918" w:name="_Toc23914"/>
      <w:bookmarkStart w:id="1919" w:name="_Toc6658"/>
      <w:r>
        <w:rPr>
          <w:color w:val="auto"/>
          <w:highlight w:val="none"/>
        </w:rPr>
        <w:t>（二）</w:t>
      </w:r>
      <w:r>
        <w:rPr>
          <w:color w:val="auto"/>
          <w:spacing w:val="8"/>
          <w:highlight w:val="none"/>
        </w:rPr>
        <w:t>单位</w:t>
      </w:r>
      <w:r>
        <w:rPr>
          <w:color w:val="auto"/>
          <w:highlight w:val="none"/>
        </w:rPr>
        <w:t>中长期规划</w:t>
      </w:r>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1.解放思想、强化规划，抓好顶层设计</w:t>
      </w:r>
    </w:p>
    <w:p>
      <w:pPr>
        <w:keepNext w:val="0"/>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bCs/>
          <w:color w:val="auto"/>
          <w:szCs w:val="18"/>
          <w:highlight w:val="none"/>
        </w:rPr>
      </w:pPr>
      <w:r>
        <w:rPr>
          <w:rFonts w:hint="eastAsia" w:ascii="仿宋" w:hAnsi="仿宋" w:cs="仿宋"/>
          <w:bCs/>
          <w:color w:val="auto"/>
          <w:szCs w:val="18"/>
          <w:highlight w:val="none"/>
        </w:rPr>
        <w:t>十四五期间，</w:t>
      </w:r>
      <w:r>
        <w:rPr>
          <w:rFonts w:hint="eastAsia" w:ascii="仿宋" w:hAnsi="仿宋" w:cs="仿宋"/>
          <w:bCs/>
          <w:color w:val="auto"/>
          <w:szCs w:val="18"/>
          <w:highlight w:val="none"/>
          <w:lang w:eastAsia="zh-CN"/>
        </w:rPr>
        <w:t>高新区经合中心</w:t>
      </w:r>
      <w:r>
        <w:rPr>
          <w:rFonts w:hint="eastAsia" w:ascii="仿宋" w:hAnsi="仿宋" w:cs="仿宋"/>
          <w:bCs/>
          <w:color w:val="auto"/>
          <w:szCs w:val="18"/>
          <w:highlight w:val="none"/>
        </w:rPr>
        <w:t>将进一步解放思想，结合园区产业招商特点和产业发展要求，认真部署谋划每一年的招商引资工作。抓住中、省、市、园区各级层面实施的战略部署，完善实施招商引资规划工作，强化招商工作的顶层设计工作，推动十四五期间招商引资工作提质增量。</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2.科学统筹、压实责任，抓牢发展机遇</w:t>
      </w:r>
    </w:p>
    <w:p>
      <w:pPr>
        <w:pStyle w:val="25"/>
        <w:keepNext w:val="0"/>
        <w:keepLines w:val="0"/>
        <w:pageBreakBefore w:val="0"/>
        <w:widowControl w:val="0"/>
        <w:tabs>
          <w:tab w:val="left" w:pos="2429"/>
        </w:tabs>
        <w:kinsoku/>
        <w:wordWrap/>
        <w:overflowPunct w:val="0"/>
        <w:topLinePunct w:val="0"/>
        <w:autoSpaceDE w:val="0"/>
        <w:autoSpaceDN w:val="0"/>
        <w:bidi w:val="0"/>
        <w:adjustRightInd w:val="0"/>
        <w:snapToGrid w:val="0"/>
        <w:spacing w:line="560" w:lineRule="exact"/>
        <w:ind w:left="0" w:leftChars="0" w:firstLine="640" w:firstLineChars="200"/>
        <w:jc w:val="both"/>
        <w:textAlignment w:val="auto"/>
        <w:rPr>
          <w:rFonts w:hint="eastAsia" w:ascii="仿宋" w:hAnsi="仿宋" w:cs="仿宋"/>
          <w:bCs/>
          <w:color w:val="auto"/>
          <w:sz w:val="32"/>
          <w:szCs w:val="32"/>
          <w:highlight w:val="none"/>
        </w:rPr>
      </w:pPr>
      <w:r>
        <w:rPr>
          <w:rFonts w:hint="eastAsia" w:ascii="仿宋" w:hAnsi="仿宋" w:cs="仿宋"/>
          <w:bCs/>
          <w:color w:val="auto"/>
          <w:sz w:val="32"/>
          <w:szCs w:val="18"/>
          <w:highlight w:val="none"/>
        </w:rPr>
        <w:t>一是压实工作目标任务。高新区经合中心将对照上级下达的招商引资任务，认真分析研判，科学统筹全年工作目标任务，进一步细化招商目标任务，建立完善招商引资可落实、可检查、可考评的机制，形成园区通力推进招商引资工作的强大合力，压实招商主体责任。二是</w:t>
      </w:r>
      <w:r>
        <w:rPr>
          <w:rFonts w:hint="eastAsia" w:ascii="仿宋" w:hAnsi="仿宋" w:cs="仿宋"/>
          <w:bCs/>
          <w:color w:val="auto"/>
          <w:sz w:val="32"/>
          <w:szCs w:val="32"/>
          <w:highlight w:val="none"/>
        </w:rPr>
        <w:t>抢抓成渝地区双城经济圈建设战略机遇，进一步谋划一批与成渝优势互补项目，推动区域创新合作与产业协作，推动高新区成为全市融入成渝地区双城经济圈建设的“主阵地”。加强与潼南高新区合作，深入落实《遂潼高新区一体化发展合作协议》，建立产业发展战线常态化交流合作机制，务实推进产业布局和发展等方面合作事宜。加强与成渝地区高新区的交流合作，积极加入成渝地区高新区产业联盟，加快聚集高端要素资源。</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3.积极创新、不断探索，拓宽招商模式</w:t>
      </w:r>
    </w:p>
    <w:p>
      <w:pPr>
        <w:pStyle w:val="25"/>
        <w:keepNext w:val="0"/>
        <w:keepLines w:val="0"/>
        <w:pageBreakBefore w:val="0"/>
        <w:widowControl w:val="0"/>
        <w:tabs>
          <w:tab w:val="left" w:pos="2429"/>
        </w:tabs>
        <w:kinsoku/>
        <w:wordWrap/>
        <w:overflowPunct w:val="0"/>
        <w:topLinePunct w:val="0"/>
        <w:autoSpaceDE w:val="0"/>
        <w:autoSpaceDN w:val="0"/>
        <w:bidi w:val="0"/>
        <w:adjustRightInd w:val="0"/>
        <w:snapToGrid w:val="0"/>
        <w:spacing w:line="560" w:lineRule="exact"/>
        <w:ind w:left="0" w:leftChars="0" w:firstLine="640" w:firstLineChars="200"/>
        <w:jc w:val="both"/>
        <w:textAlignment w:val="auto"/>
        <w:rPr>
          <w:rFonts w:hint="eastAsia" w:ascii="仿宋" w:hAnsi="仿宋" w:cs="仿宋"/>
          <w:bCs/>
          <w:color w:val="auto"/>
          <w:sz w:val="32"/>
          <w:szCs w:val="32"/>
          <w:highlight w:val="none"/>
        </w:rPr>
      </w:pPr>
      <w:r>
        <w:rPr>
          <w:rFonts w:hint="eastAsia" w:ascii="仿宋" w:hAnsi="仿宋" w:cs="仿宋"/>
          <w:bCs/>
          <w:color w:val="auto"/>
          <w:sz w:val="32"/>
          <w:szCs w:val="32"/>
          <w:highlight w:val="none"/>
        </w:rPr>
        <w:t>充分利用招商引资十步曲，积极创新，不断探索招商引资的新模式，加强与商会、企业的合作，完善以商招商、委托招商工作机制，持续深入对接优质资源，集中突破承接落地，进一步强化产业链招商、驻点招商等。建立专业招商队伍，在招大引强、招新引高、招才引智实现新突破，不断提高招商成功率，并形成长效机制，为园区招商引资提供内生动力。</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4.补齐短板，强大链条，加快产业发展</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bCs/>
          <w:color w:val="auto"/>
          <w:szCs w:val="32"/>
          <w:highlight w:val="none"/>
        </w:rPr>
      </w:pPr>
      <w:r>
        <w:rPr>
          <w:rFonts w:hint="eastAsia" w:ascii="仿宋" w:hAnsi="仿宋" w:cs="仿宋"/>
          <w:bCs/>
          <w:color w:val="auto"/>
          <w:szCs w:val="32"/>
          <w:highlight w:val="none"/>
        </w:rPr>
        <w:t>高新区经合中心将继续围绕“422”产业体系，以“建链”“补链”“强链”为抓手，着力抓龙头、引总部、聚相关，形成上中下游配套的产业集群，实现链条更加完善、项目更加集聚，不断培育发展新动力，加快建设以高科技、高成长性、高附加值为特征的现代产业体系。一是以锂电新能源和智能制造为方向，加强锂电终端产业化布局，重点引进新能源电动车整车生产，电池、驱动电机等核心零部件等产业，全力突破新能源电动车核心零部件及配套技术，有力地促进新能源、新技术、新业态、新模式相结合。二是壮大电子电器产业链条，抓</w:t>
      </w:r>
      <w:r>
        <w:rPr>
          <w:rFonts w:hint="eastAsia"/>
          <w:color w:val="auto"/>
          <w:highlight w:val="none"/>
        </w:rPr>
        <w:t>住</w:t>
      </w:r>
      <w:r>
        <w:rPr>
          <w:rFonts w:hint="eastAsia" w:ascii="仿宋" w:hAnsi="仿宋" w:cs="仿宋"/>
          <w:bCs/>
          <w:color w:val="auto"/>
          <w:szCs w:val="32"/>
          <w:highlight w:val="none"/>
        </w:rPr>
        <w:t>成渝地区加快打造国际一流、国内最大新型显示产业基地的发展机遇，梳理产业链条短板，瞄准京东方、中电熊猫、信利等企业上游配套产业，重点招引金属部件、电子元件、包装材料、家用视听产品、个人电子产品、车载电子产品、智能家电产品等生产链和供应链，不断发展壮大电子信息产业。三是深入开展现代物流专题招商工作，引入第三方物流、冷链物流等产业项目，努力完善</w:t>
      </w:r>
      <w:r>
        <w:rPr>
          <w:rFonts w:hint="eastAsia" w:ascii="仿宋" w:hAnsi="仿宋" w:cs="仿宋"/>
          <w:bCs/>
          <w:color w:val="auto"/>
          <w:szCs w:val="32"/>
          <w:highlight w:val="none"/>
          <w:lang w:eastAsia="zh-CN"/>
        </w:rPr>
        <w:t>高新区</w:t>
      </w:r>
      <w:r>
        <w:rPr>
          <w:rFonts w:hint="eastAsia" w:ascii="仿宋" w:hAnsi="仿宋" w:cs="仿宋"/>
          <w:bCs/>
          <w:color w:val="auto"/>
          <w:szCs w:val="32"/>
          <w:highlight w:val="none"/>
        </w:rPr>
        <w:t>物流体系发展，加快由“中转”变“直通”的进度，加快建设国家级陆港型物流枢纽承载城市。四是围绕机场，加快推动临空经济产业布局，大力招引临空物流、通航制造、运营、航空服务等项目，积极补充临空产业空白。</w:t>
      </w:r>
      <w:bookmarkStart w:id="1920" w:name="_Toc7574"/>
      <w:bookmarkStart w:id="1921" w:name="_Toc21392"/>
      <w:bookmarkStart w:id="1922" w:name="_Toc1526"/>
      <w:bookmarkStart w:id="1923" w:name="_Toc29530"/>
      <w:bookmarkStart w:id="1924" w:name="_Toc15398"/>
      <w:bookmarkStart w:id="1925" w:name="_Toc18426"/>
    </w:p>
    <w:bookmarkEnd w:id="1920"/>
    <w:p>
      <w:pPr>
        <w:pStyle w:val="3"/>
        <w:keepNext/>
        <w:keepLines/>
        <w:pageBreakBefore w:val="0"/>
        <w:widowControl/>
        <w:kinsoku w:val="0"/>
        <w:wordWrap/>
        <w:overflowPunct/>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outlineLvl w:val="1"/>
      </w:pPr>
      <w:bookmarkStart w:id="1926" w:name="_Toc31029"/>
      <w:bookmarkStart w:id="1927" w:name="_Toc29259"/>
      <w:bookmarkStart w:id="1928" w:name="_Toc211"/>
      <w:bookmarkStart w:id="1929" w:name="_Toc11753"/>
      <w:bookmarkStart w:id="1930" w:name="_Toc19575"/>
      <w:bookmarkStart w:id="1931" w:name="_Toc5650"/>
      <w:r>
        <w:rPr>
          <w:rFonts w:hint="eastAsia"/>
          <w:lang w:val="en-US" w:eastAsia="zh-CN"/>
        </w:rPr>
        <w:t>（三）</w:t>
      </w:r>
      <w:r>
        <w:rPr>
          <w:rFonts w:hint="eastAsia"/>
        </w:rPr>
        <w:t>单位分年度工作计划及重点项目</w:t>
      </w:r>
      <w:bookmarkEnd w:id="1921"/>
      <w:bookmarkEnd w:id="1922"/>
      <w:bookmarkEnd w:id="1923"/>
      <w:bookmarkEnd w:id="1924"/>
      <w:bookmarkEnd w:id="1925"/>
      <w:bookmarkEnd w:id="1926"/>
      <w:bookmarkEnd w:id="1927"/>
      <w:bookmarkEnd w:id="1928"/>
      <w:bookmarkEnd w:id="1929"/>
      <w:bookmarkEnd w:id="1930"/>
      <w:bookmarkEnd w:id="1931"/>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1.聚焦重点开展精准招商</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color w:val="auto"/>
          <w:szCs w:val="32"/>
          <w:highlight w:val="none"/>
        </w:rPr>
      </w:pPr>
      <w:r>
        <w:rPr>
          <w:rFonts w:hint="eastAsia" w:ascii="仿宋" w:hAnsi="仿宋" w:cs="仿宋"/>
          <w:bCs/>
          <w:color w:val="auto"/>
          <w:szCs w:val="32"/>
          <w:highlight w:val="none"/>
        </w:rPr>
        <w:t>紧盯“2+2”主导产业以及预制菜、数字经济等新兴产业，坚持靶向发力、精准招商，深度对接重点城市，面向发达国家和地区及新兴市场，着力招引一批带动性、引领性、支撑性强的大项目、好项目。</w:t>
      </w:r>
      <w:r>
        <w:rPr>
          <w:rFonts w:hint="eastAsia" w:ascii="仿宋" w:hAnsi="仿宋" w:cs="仿宋"/>
          <w:color w:val="auto"/>
          <w:szCs w:val="32"/>
          <w:highlight w:val="none"/>
        </w:rPr>
        <w:t>目前，已储备锂源新能源、浩泰卫星通讯设备、同福食品等重点在谈项目13个，下一步将加大</w:t>
      </w:r>
      <w:r>
        <w:rPr>
          <w:rFonts w:hint="eastAsia" w:ascii="仿宋" w:hAnsi="仿宋" w:cs="仿宋"/>
          <w:color w:val="auto"/>
          <w:kern w:val="2"/>
          <w:szCs w:val="32"/>
          <w:highlight w:val="none"/>
        </w:rPr>
        <w:t>祥龙制药设备、粮油加工、柔性集装袋等</w:t>
      </w:r>
      <w:r>
        <w:rPr>
          <w:rFonts w:hint="eastAsia" w:ascii="仿宋" w:hAnsi="仿宋" w:cs="仿宋"/>
          <w:color w:val="auto"/>
          <w:szCs w:val="32"/>
          <w:highlight w:val="none"/>
        </w:rPr>
        <w:t>近期重点在谈项目</w:t>
      </w:r>
      <w:r>
        <w:rPr>
          <w:rFonts w:hint="eastAsia" w:ascii="仿宋" w:hAnsi="仿宋" w:cs="仿宋"/>
          <w:color w:val="auto"/>
          <w:kern w:val="2"/>
          <w:szCs w:val="32"/>
          <w:highlight w:val="none"/>
        </w:rPr>
        <w:t>对接力度</w:t>
      </w:r>
      <w:r>
        <w:rPr>
          <w:rFonts w:hint="eastAsia" w:ascii="仿宋" w:hAnsi="仿宋" w:cs="仿宋"/>
          <w:color w:val="auto"/>
          <w:szCs w:val="32"/>
          <w:highlight w:val="none"/>
        </w:rPr>
        <w:t>，力争到年底再签约3—4个项目，为园区2024年开局起步注入强劲动力。</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2.借助资源拓宽招商渠道</w:t>
      </w:r>
    </w:p>
    <w:p>
      <w:pPr>
        <w:pStyle w:val="7"/>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auto"/>
        <w:rPr>
          <w:rFonts w:hint="eastAsia" w:ascii="仿宋" w:hAnsi="仿宋" w:eastAsia="仿宋" w:cs="仿宋"/>
          <w:color w:val="auto"/>
          <w:szCs w:val="22"/>
          <w:highlight w:val="none"/>
        </w:rPr>
      </w:pPr>
      <w:r>
        <w:rPr>
          <w:rFonts w:hint="eastAsia" w:ascii="仿宋" w:hAnsi="仿宋" w:eastAsia="仿宋" w:cs="仿宋"/>
          <w:color w:val="auto"/>
          <w:szCs w:val="32"/>
          <w:highlight w:val="none"/>
        </w:rPr>
        <w:t>充分</w:t>
      </w:r>
      <w:r>
        <w:rPr>
          <w:rFonts w:hint="eastAsia" w:ascii="仿宋" w:hAnsi="仿宋" w:eastAsia="仿宋" w:cs="仿宋"/>
          <w:bCs/>
          <w:color w:val="auto"/>
          <w:szCs w:val="32"/>
          <w:highlight w:val="none"/>
        </w:rPr>
        <w:t>利用</w:t>
      </w:r>
      <w:r>
        <w:rPr>
          <w:rFonts w:hint="eastAsia" w:ascii="仿宋" w:hAnsi="仿宋" w:eastAsia="仿宋" w:cs="仿宋"/>
          <w:color w:val="auto"/>
          <w:szCs w:val="32"/>
          <w:highlight w:val="none"/>
        </w:rPr>
        <w:t>“中外知名企业四川行”“</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"http://www.baidu.com/link?url=jseo3u8Poup1ctAdd8ZSd5mu3YNCoqBZSvSA7uTKyWtz5mlotlTAxxr1SkQKq5BPB0QH-n6Vo_kEHmLVkkqN8kVQDSJIesWWeE0Pe2A0oRNzzFXmUPxUrX5ijxpzYH2C" \t "https://www.baidu.com/_blank" </w:instrText>
      </w:r>
      <w:r>
        <w:rPr>
          <w:rFonts w:hint="eastAsia" w:ascii="仿宋" w:hAnsi="仿宋" w:eastAsia="仿宋" w:cs="仿宋"/>
          <w:color w:val="auto"/>
          <w:highlight w:val="none"/>
        </w:rPr>
        <w:fldChar w:fldCharType="separate"/>
      </w:r>
      <w:r>
        <w:rPr>
          <w:rFonts w:hint="eastAsia" w:ascii="仿宋" w:hAnsi="仿宋" w:eastAsia="仿宋" w:cs="仿宋"/>
          <w:color w:val="auto"/>
          <w:szCs w:val="32"/>
          <w:highlight w:val="none"/>
        </w:rPr>
        <w:t>中国（遂宁）国际锂电产业大会</w:t>
      </w:r>
      <w:r>
        <w:rPr>
          <w:rFonts w:hint="eastAsia" w:ascii="仿宋" w:hAnsi="仿宋" w:eastAsia="仿宋" w:cs="仿宋"/>
          <w:color w:val="auto"/>
          <w:szCs w:val="32"/>
          <w:highlight w:val="none"/>
        </w:rPr>
        <w:fldChar w:fldCharType="end"/>
      </w:r>
      <w:r>
        <w:rPr>
          <w:rFonts w:hint="eastAsia" w:ascii="仿宋" w:hAnsi="仿宋" w:eastAsia="仿宋" w:cs="仿宋"/>
          <w:color w:val="auto"/>
          <w:szCs w:val="32"/>
          <w:highlight w:val="none"/>
        </w:rPr>
        <w:t>”等各类活动资源优势</w:t>
      </w:r>
      <w:r>
        <w:rPr>
          <w:rFonts w:hint="eastAsia" w:ascii="仿宋" w:hAnsi="仿宋" w:eastAsia="仿宋" w:cs="仿宋"/>
          <w:bCs/>
          <w:color w:val="auto"/>
          <w:szCs w:val="32"/>
          <w:highlight w:val="none"/>
        </w:rPr>
        <w:t>，做好宣传推介，广泛接触客商，交流并收集有价值的投资信息，重点跟踪符合园区产业定位、发展前景好、税收和就业贡献大的好项目。加快推进以商招商，围绕已扎根园区的企业深入开展工作，加快促进中科华联、净平、美宁、托璞勒等企业二次创业。</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3.成立重大项目研判小组</w:t>
      </w:r>
    </w:p>
    <w:p>
      <w:pPr>
        <w:pStyle w:val="7"/>
        <w:keepLines w:val="0"/>
        <w:pageBreakBefore w:val="0"/>
        <w:widowControl w:val="0"/>
        <w:kinsoku/>
        <w:wordWrap/>
        <w:overflowPunct w:val="0"/>
        <w:topLinePunct w:val="0"/>
        <w:autoSpaceDE w:val="0"/>
        <w:autoSpaceDN w:val="0"/>
        <w:bidi w:val="0"/>
        <w:spacing w:line="560" w:lineRule="exact"/>
        <w:ind w:left="0" w:leftChars="0" w:firstLine="640" w:firstLineChars="200"/>
        <w:jc w:val="both"/>
        <w:textAlignment w:val="auto"/>
        <w:rPr>
          <w:rFonts w:hint="eastAsia" w:ascii="仿宋" w:hAnsi="仿宋" w:eastAsia="仿宋" w:cs="仿宋"/>
          <w:bCs/>
          <w:color w:val="auto"/>
          <w:szCs w:val="32"/>
          <w:highlight w:val="none"/>
        </w:rPr>
      </w:pPr>
      <w:r>
        <w:rPr>
          <w:rFonts w:hint="eastAsia" w:ascii="仿宋" w:hAnsi="仿宋" w:eastAsia="仿宋" w:cs="仿宋"/>
          <w:bCs/>
          <w:color w:val="auto"/>
          <w:szCs w:val="32"/>
          <w:highlight w:val="none"/>
        </w:rPr>
        <w:t>坚持全员招商制度，定期组织学习、培训，提高干部的综合能力，组织相关职能部门成立园区重大项目研判小组，在召开项目专题会之前由各成员结合自身专业领域优势对重大项目落地可行性进行深入、专业的分析，为领导</w:t>
      </w:r>
      <w:r>
        <w:rPr>
          <w:rFonts w:hint="eastAsia" w:ascii="仿宋" w:hAnsi="仿宋" w:eastAsia="仿宋" w:cs="仿宋"/>
          <w:color w:val="auto"/>
          <w:highlight w:val="none"/>
        </w:rPr>
        <w:t>决策</w:t>
      </w:r>
      <w:r>
        <w:rPr>
          <w:rFonts w:hint="eastAsia" w:ascii="仿宋" w:hAnsi="仿宋" w:eastAsia="仿宋" w:cs="仿宋"/>
          <w:bCs/>
          <w:color w:val="auto"/>
          <w:szCs w:val="32"/>
          <w:highlight w:val="none"/>
        </w:rPr>
        <w:t>部署提供超前性、科学性和可操作性的对策建议，切实提升招商引资项目的科学研判和决策质效。</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4.攻坚外资取得重大突破</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bCs/>
          <w:color w:val="auto"/>
          <w:szCs w:val="32"/>
          <w:highlight w:val="none"/>
        </w:rPr>
      </w:pPr>
      <w:r>
        <w:rPr>
          <w:rFonts w:hint="eastAsia" w:ascii="仿宋" w:hAnsi="仿宋" w:cs="仿宋"/>
          <w:bCs/>
          <w:color w:val="auto"/>
          <w:szCs w:val="32"/>
          <w:highlight w:val="none"/>
        </w:rPr>
        <w:t>重点关注和挖掘外商投资信息，加强学习、拓展思维、创新方法，努力推动外资项目落地。进一步拓宽利用外资渠道，根据企业需求，策划、包装一批有针对性的项目，推动形成新的外资增长点。充分借力服务平台，助力园区引进落地外资科创平台和制造业项目，力争外资任务完成突破。</w:t>
      </w:r>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1932" w:name="_Toc13858"/>
      <w:bookmarkStart w:id="1933" w:name="_Toc24031"/>
      <w:bookmarkStart w:id="1934" w:name="_Toc12448"/>
      <w:bookmarkStart w:id="1935" w:name="_Toc7579"/>
      <w:bookmarkStart w:id="1936" w:name="_Toc11053"/>
      <w:bookmarkStart w:id="1937" w:name="_Toc29716"/>
      <w:bookmarkStart w:id="1938" w:name="_Toc19045"/>
      <w:bookmarkStart w:id="1939" w:name="_Toc30829"/>
      <w:bookmarkStart w:id="1940" w:name="_Toc17274"/>
      <w:bookmarkStart w:id="1941" w:name="_Toc10314"/>
      <w:bookmarkStart w:id="1942" w:name="_Toc29873"/>
      <w:bookmarkStart w:id="1943" w:name="_Toc27604"/>
      <w:bookmarkStart w:id="1944" w:name="_Toc4362"/>
      <w:bookmarkStart w:id="1945" w:name="_Toc25153"/>
      <w:bookmarkStart w:id="1946" w:name="_Toc14263"/>
      <w:bookmarkStart w:id="1947" w:name="_Toc4088"/>
      <w:r>
        <w:rPr>
          <w:color w:val="auto"/>
          <w:highlight w:val="none"/>
        </w:rPr>
        <w:t>（</w:t>
      </w:r>
      <w:r>
        <w:rPr>
          <w:rFonts w:hint="eastAsia"/>
          <w:color w:val="auto"/>
          <w:highlight w:val="none"/>
        </w:rPr>
        <w:t>四</w:t>
      </w:r>
      <w:r>
        <w:rPr>
          <w:color w:val="auto"/>
          <w:highlight w:val="none"/>
        </w:rPr>
        <w:t>）</w:t>
      </w:r>
      <w:r>
        <w:rPr>
          <w:color w:val="auto"/>
          <w:spacing w:val="5"/>
          <w:highlight w:val="none"/>
        </w:rPr>
        <w:t>单位</w:t>
      </w:r>
      <w:r>
        <w:rPr>
          <w:color w:val="auto"/>
          <w:highlight w:val="none"/>
        </w:rPr>
        <w:t>整体支出绩效目标</w:t>
      </w:r>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1.总体目标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2023年度高新区经合中心整体支出绩效总体目标为：高新区经合中心认真贯彻落实党工委、管委会决策部署，围绕“全力拼经济合力搞建设”工作要求，抢抓机遇，积极行动，全力开展招商引资工作，为园区经济发展大局注入了强大的生机和活力。</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lang w:val="en-US" w:eastAsia="zh-CN"/>
        </w:rPr>
        <w:t>2.</w:t>
      </w:r>
      <w:r>
        <w:rPr>
          <w:rFonts w:hint="eastAsia" w:ascii="楷体" w:hAnsi="楷体" w:eastAsia="楷体" w:cs="楷体"/>
          <w:color w:val="auto"/>
          <w:highlight w:val="none"/>
        </w:rPr>
        <w:t>具体目标</w:t>
      </w:r>
    </w:p>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ascii="仿宋" w:hAnsi="仿宋" w:eastAsia="仿宋" w:cs="仿宋"/>
          <w:i w:val="0"/>
          <w:iCs w:val="0"/>
          <w:caps w:val="0"/>
          <w:color w:val="auto"/>
          <w:spacing w:val="0"/>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Style w:val="21"/>
          <w:rFonts w:hint="eastAsia" w:ascii="仿宋" w:hAnsi="仿宋" w:eastAsia="仿宋" w:cs="仿宋"/>
          <w:b/>
          <w:bCs/>
          <w:i w:val="0"/>
          <w:iCs w:val="0"/>
          <w:caps w:val="0"/>
          <w:color w:val="auto"/>
          <w:spacing w:val="0"/>
          <w:sz w:val="32"/>
          <w:szCs w:val="32"/>
          <w:highlight w:val="none"/>
        </w:rPr>
        <w:t>招商引资数量与质量</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val="0"/>
        <w:topLinePunct w:val="0"/>
        <w:autoSpaceDE w:val="0"/>
        <w:autoSpaceDN w:val="0"/>
        <w:bidi w:val="0"/>
        <w:adjustRightInd w:val="0"/>
        <w:snapToGrid w:val="0"/>
        <w:spacing w:beforeAutospacing="0" w:afterAutospacing="0" w:line="560" w:lineRule="exact"/>
        <w:ind w:left="0" w:leftChars="0" w:right="0" w:rightChars="0" w:firstLine="640" w:firstLineChars="200"/>
        <w:jc w:val="both"/>
        <w:textAlignment w:val="baseline"/>
        <w:rPr>
          <w:rFonts w:hint="eastAsia" w:ascii="仿宋" w:hAnsi="仿宋" w:eastAsia="仿宋" w:cs="仿宋"/>
          <w:color w:val="auto"/>
          <w:sz w:val="32"/>
          <w:szCs w:val="32"/>
          <w:highlight w:val="none"/>
          <w:lang w:eastAsia="zh-CN"/>
        </w:rPr>
      </w:pPr>
      <w:r>
        <w:rPr>
          <w:rFonts w:hint="eastAsia" w:ascii="仿宋" w:hAnsi="仿宋" w:eastAsia="仿宋" w:cs="仿宋"/>
          <w:i w:val="0"/>
          <w:iCs w:val="0"/>
          <w:caps w:val="0"/>
          <w:color w:val="auto"/>
          <w:spacing w:val="0"/>
          <w:sz w:val="32"/>
          <w:szCs w:val="32"/>
          <w:highlight w:val="none"/>
        </w:rPr>
        <w:t>2023年，计划累计组织外出招商引资活动不低于50次，旨在通过高频次、多渠道的交流互动，拓宽招商引资的广度与深度。预计拜访行业内具有领先地位或显著发展潜力的目标企业80家，精选符合</w:t>
      </w:r>
      <w:r>
        <w:rPr>
          <w:rFonts w:hint="eastAsia" w:ascii="仿宋" w:hAnsi="仿宋" w:cs="仿宋"/>
          <w:i w:val="0"/>
          <w:iCs w:val="0"/>
          <w:caps w:val="0"/>
          <w:color w:val="auto"/>
          <w:spacing w:val="0"/>
          <w:sz w:val="32"/>
          <w:szCs w:val="32"/>
          <w:highlight w:val="none"/>
          <w:lang w:eastAsia="zh-CN"/>
        </w:rPr>
        <w:t>我市</w:t>
      </w:r>
      <w:r>
        <w:rPr>
          <w:rFonts w:hint="eastAsia" w:ascii="仿宋" w:hAnsi="仿宋" w:eastAsia="仿宋" w:cs="仿宋"/>
          <w:i w:val="0"/>
          <w:iCs w:val="0"/>
          <w:caps w:val="0"/>
          <w:color w:val="auto"/>
          <w:spacing w:val="0"/>
          <w:sz w:val="32"/>
          <w:szCs w:val="32"/>
          <w:highlight w:val="none"/>
        </w:rPr>
        <w:t>区域发展需求的优质企业，进行深度对接与洽谈</w:t>
      </w:r>
      <w:r>
        <w:rPr>
          <w:rFonts w:hint="eastAsia" w:ascii="仿宋" w:hAnsi="仿宋" w:cs="仿宋"/>
          <w:i w:val="0"/>
          <w:iCs w:val="0"/>
          <w:caps w:val="0"/>
          <w:color w:val="auto"/>
          <w:spacing w:val="0"/>
          <w:sz w:val="32"/>
          <w:szCs w:val="32"/>
          <w:highlight w:val="none"/>
          <w:lang w:eastAsia="zh-CN"/>
        </w:rPr>
        <w:t>，</w:t>
      </w:r>
      <w:r>
        <w:rPr>
          <w:rFonts w:hint="eastAsia" w:ascii="仿宋" w:hAnsi="仿宋" w:eastAsia="仿宋" w:cs="仿宋"/>
          <w:i w:val="0"/>
          <w:iCs w:val="0"/>
          <w:caps w:val="0"/>
          <w:color w:val="auto"/>
          <w:spacing w:val="0"/>
          <w:sz w:val="32"/>
          <w:szCs w:val="32"/>
          <w:highlight w:val="none"/>
        </w:rPr>
        <w:t>力争引进高质量、高标准的</w:t>
      </w:r>
      <w:r>
        <w:rPr>
          <w:rFonts w:hint="eastAsia" w:ascii="仿宋" w:hAnsi="仿宋" w:cs="仿宋"/>
          <w:i w:val="0"/>
          <w:iCs w:val="0"/>
          <w:caps w:val="0"/>
          <w:color w:val="auto"/>
          <w:spacing w:val="0"/>
          <w:sz w:val="32"/>
          <w:szCs w:val="32"/>
          <w:highlight w:val="none"/>
          <w:lang w:eastAsia="zh-CN"/>
        </w:rPr>
        <w:t>科技型</w:t>
      </w:r>
      <w:r>
        <w:rPr>
          <w:rFonts w:hint="eastAsia" w:ascii="仿宋" w:hAnsi="仿宋" w:eastAsia="仿宋" w:cs="仿宋"/>
          <w:i w:val="0"/>
          <w:iCs w:val="0"/>
          <w:caps w:val="0"/>
          <w:color w:val="auto"/>
          <w:spacing w:val="0"/>
          <w:sz w:val="32"/>
          <w:szCs w:val="32"/>
          <w:highlight w:val="none"/>
        </w:rPr>
        <w:t>项目达到20个，且每个项目投资规模均需亿元以上，确保项目质量的同时，提升区域科技创新能力和经济核心竞争力。</w:t>
      </w:r>
    </w:p>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项目投资总额与重大项目引进</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val="0"/>
        <w:topLinePunct w:val="0"/>
        <w:autoSpaceDE w:val="0"/>
        <w:autoSpaceDN w:val="0"/>
        <w:bidi w:val="0"/>
        <w:adjustRightInd w:val="0"/>
        <w:snapToGrid w:val="0"/>
        <w:spacing w:beforeAutospacing="0" w:afterAutospacing="0" w:line="560" w:lineRule="exact"/>
        <w:ind w:left="0" w:leftChars="0" w:right="0" w:rightChars="0" w:firstLine="640" w:firstLineChars="200"/>
        <w:jc w:val="both"/>
        <w:textAlignment w:val="baseline"/>
        <w:rPr>
          <w:rFonts w:hint="eastAsia" w:ascii="仿宋" w:hAnsi="仿宋" w:eastAsia="仿宋" w:cs="仿宋"/>
          <w:color w:val="auto"/>
          <w:sz w:val="32"/>
          <w:szCs w:val="32"/>
          <w:highlight w:val="none"/>
        </w:rPr>
      </w:pPr>
      <w:r>
        <w:rPr>
          <w:rFonts w:hint="eastAsia" w:ascii="仿宋" w:hAnsi="仿宋" w:eastAsia="仿宋" w:cs="仿宋"/>
          <w:i w:val="0"/>
          <w:iCs w:val="0"/>
          <w:caps w:val="0"/>
          <w:color w:val="auto"/>
          <w:spacing w:val="0"/>
          <w:sz w:val="32"/>
          <w:szCs w:val="32"/>
          <w:highlight w:val="none"/>
        </w:rPr>
        <w:t>全年完成协议总投资额需达到100亿元，通过精心筛选与洽谈，确保项目投资的总量与质量并重。特别注重引进投资规模超过20亿元的重大项目，</w:t>
      </w:r>
      <w:r>
        <w:rPr>
          <w:rFonts w:hint="eastAsia" w:ascii="仿宋" w:hAnsi="仿宋" w:cs="仿宋"/>
          <w:i w:val="0"/>
          <w:iCs w:val="0"/>
          <w:caps w:val="0"/>
          <w:color w:val="auto"/>
          <w:spacing w:val="0"/>
          <w:sz w:val="32"/>
          <w:szCs w:val="32"/>
          <w:highlight w:val="none"/>
          <w:lang w:eastAsia="zh-CN"/>
        </w:rPr>
        <w:t>希望</w:t>
      </w:r>
      <w:r>
        <w:rPr>
          <w:rFonts w:hint="eastAsia" w:ascii="仿宋" w:hAnsi="仿宋" w:eastAsia="仿宋" w:cs="仿宋"/>
          <w:i w:val="0"/>
          <w:iCs w:val="0"/>
          <w:caps w:val="0"/>
          <w:color w:val="auto"/>
          <w:spacing w:val="0"/>
          <w:sz w:val="32"/>
          <w:szCs w:val="32"/>
          <w:highlight w:val="none"/>
        </w:rPr>
        <w:t>通过大型项目的落地，有效带动区域产业链上下游协同发展，增强区域经济发展的稳定性与可持续性力争通过招商引资项目，实现年税收贡献不低于2亿元，为地方财政提供坚实支撑。</w:t>
      </w:r>
    </w:p>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ascii="仿宋" w:hAnsi="仿宋" w:eastAsia="仿宋" w:cs="仿宋"/>
          <w:i w:val="0"/>
          <w:iCs w:val="0"/>
          <w:caps w:val="0"/>
          <w:color w:val="auto"/>
          <w:spacing w:val="0"/>
          <w:sz w:val="32"/>
          <w:szCs w:val="32"/>
          <w:highlight w:val="none"/>
        </w:rPr>
      </w:pPr>
      <w:r>
        <w:rPr>
          <w:rStyle w:val="21"/>
          <w:rFonts w:hint="eastAsia" w:ascii="仿宋" w:hAnsi="仿宋" w:cs="仿宋"/>
          <w:b/>
          <w:bCs/>
          <w:i w:val="0"/>
          <w:iCs w:val="0"/>
          <w:caps w:val="0"/>
          <w:color w:val="auto"/>
          <w:spacing w:val="0"/>
          <w:sz w:val="32"/>
          <w:szCs w:val="32"/>
          <w:highlight w:val="none"/>
          <w:lang w:val="en-US" w:eastAsia="zh-CN"/>
        </w:rPr>
        <w:t>（3）</w:t>
      </w:r>
      <w:r>
        <w:rPr>
          <w:rStyle w:val="21"/>
          <w:rFonts w:hint="eastAsia" w:ascii="仿宋" w:hAnsi="仿宋" w:eastAsia="仿宋" w:cs="仿宋"/>
          <w:b/>
          <w:bCs/>
          <w:i w:val="0"/>
          <w:iCs w:val="0"/>
          <w:caps w:val="0"/>
          <w:color w:val="auto"/>
          <w:spacing w:val="0"/>
          <w:sz w:val="32"/>
          <w:szCs w:val="32"/>
          <w:highlight w:val="none"/>
        </w:rPr>
        <w:t>项目进展与成效管理</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val="0"/>
        <w:topLinePunct w:val="0"/>
        <w:autoSpaceDE w:val="0"/>
        <w:autoSpaceDN w:val="0"/>
        <w:bidi w:val="0"/>
        <w:adjustRightInd w:val="0"/>
        <w:snapToGrid w:val="0"/>
        <w:spacing w:beforeAutospacing="0" w:afterAutospacing="0" w:line="560" w:lineRule="exact"/>
        <w:ind w:left="0" w:leftChars="0" w:right="0" w:rightChars="0" w:firstLine="640" w:firstLineChars="200"/>
        <w:jc w:val="both"/>
        <w:textAlignment w:val="baseline"/>
        <w:rPr>
          <w:rFonts w:hint="eastAsia" w:ascii="仿宋" w:hAnsi="仿宋" w:eastAsia="仿宋" w:cs="仿宋"/>
          <w:color w:val="auto"/>
          <w:sz w:val="32"/>
          <w:szCs w:val="32"/>
          <w:highlight w:val="none"/>
        </w:rPr>
      </w:pPr>
      <w:r>
        <w:rPr>
          <w:rStyle w:val="21"/>
          <w:rFonts w:hint="eastAsia" w:ascii="仿宋" w:hAnsi="仿宋" w:eastAsia="仿宋" w:cs="仿宋"/>
          <w:b w:val="0"/>
          <w:bCs w:val="0"/>
          <w:i w:val="0"/>
          <w:iCs w:val="0"/>
          <w:caps w:val="0"/>
          <w:color w:val="auto"/>
          <w:spacing w:val="0"/>
          <w:sz w:val="32"/>
          <w:szCs w:val="32"/>
          <w:highlight w:val="none"/>
          <w:lang w:val="en-US" w:eastAsia="zh-CN"/>
        </w:rPr>
        <w:t>2023年加快对签约</w:t>
      </w:r>
      <w:r>
        <w:rPr>
          <w:rStyle w:val="21"/>
          <w:rFonts w:hint="eastAsia" w:ascii="仿宋" w:hAnsi="仿宋" w:eastAsia="仿宋" w:cs="仿宋"/>
          <w:b w:val="0"/>
          <w:bCs w:val="0"/>
          <w:i w:val="0"/>
          <w:iCs w:val="0"/>
          <w:caps w:val="0"/>
          <w:color w:val="auto"/>
          <w:spacing w:val="0"/>
          <w:sz w:val="32"/>
          <w:szCs w:val="32"/>
          <w:highlight w:val="none"/>
        </w:rPr>
        <w:t>项目落地与推进</w:t>
      </w:r>
      <w:r>
        <w:rPr>
          <w:rFonts w:hint="eastAsia" w:ascii="仿宋" w:hAnsi="仿宋" w:eastAsia="仿宋" w:cs="仿宋"/>
          <w:b w:val="0"/>
          <w:bCs w:val="0"/>
          <w:i w:val="0"/>
          <w:iCs w:val="0"/>
          <w:caps w:val="0"/>
          <w:color w:val="auto"/>
          <w:spacing w:val="0"/>
          <w:sz w:val="32"/>
          <w:szCs w:val="32"/>
          <w:highlight w:val="none"/>
        </w:rPr>
        <w:t>确保招商引资项目的实际落地率达到90</w:t>
      </w:r>
      <w:r>
        <w:rPr>
          <w:rFonts w:hint="eastAsia" w:ascii="仿宋" w:hAnsi="仿宋" w:cs="仿宋"/>
          <w:b w:val="0"/>
          <w:bCs w:val="0"/>
          <w:i w:val="0"/>
          <w:iCs w:val="0"/>
          <w:caps w:val="0"/>
          <w:color w:val="auto"/>
          <w:spacing w:val="0"/>
          <w:sz w:val="32"/>
          <w:szCs w:val="32"/>
          <w:highlight w:val="none"/>
          <w:lang w:val="en-US" w:eastAsia="zh-CN"/>
        </w:rPr>
        <w:t>.00</w:t>
      </w:r>
      <w:r>
        <w:rPr>
          <w:rFonts w:hint="eastAsia" w:ascii="仿宋" w:hAnsi="仿宋" w:eastAsia="仿宋" w:cs="仿宋"/>
          <w:b w:val="0"/>
          <w:bCs w:val="0"/>
          <w:i w:val="0"/>
          <w:iCs w:val="0"/>
          <w:caps w:val="0"/>
          <w:color w:val="auto"/>
          <w:spacing w:val="0"/>
          <w:sz w:val="32"/>
          <w:szCs w:val="32"/>
          <w:highlight w:val="none"/>
        </w:rPr>
        <w:t>%，开工率达到80</w:t>
      </w:r>
      <w:r>
        <w:rPr>
          <w:rFonts w:hint="eastAsia" w:ascii="仿宋" w:hAnsi="仿宋" w:cs="仿宋"/>
          <w:b w:val="0"/>
          <w:bCs w:val="0"/>
          <w:i w:val="0"/>
          <w:iCs w:val="0"/>
          <w:caps w:val="0"/>
          <w:color w:val="auto"/>
          <w:spacing w:val="0"/>
          <w:sz w:val="32"/>
          <w:szCs w:val="32"/>
          <w:highlight w:val="none"/>
          <w:lang w:val="en-US" w:eastAsia="zh-CN"/>
        </w:rPr>
        <w:t>.00</w:t>
      </w:r>
      <w:r>
        <w:rPr>
          <w:rFonts w:hint="eastAsia" w:ascii="仿宋" w:hAnsi="仿宋" w:eastAsia="仿宋" w:cs="仿宋"/>
          <w:b w:val="0"/>
          <w:bCs w:val="0"/>
          <w:i w:val="0"/>
          <w:iCs w:val="0"/>
          <w:caps w:val="0"/>
          <w:color w:val="auto"/>
          <w:spacing w:val="0"/>
          <w:sz w:val="32"/>
          <w:szCs w:val="32"/>
          <w:highlight w:val="none"/>
        </w:rPr>
        <w:t>%，投产率达到30</w:t>
      </w:r>
      <w:r>
        <w:rPr>
          <w:rFonts w:hint="eastAsia" w:ascii="仿宋" w:hAnsi="仿宋" w:cs="仿宋"/>
          <w:b w:val="0"/>
          <w:bCs w:val="0"/>
          <w:i w:val="0"/>
          <w:iCs w:val="0"/>
          <w:caps w:val="0"/>
          <w:color w:val="auto"/>
          <w:spacing w:val="0"/>
          <w:sz w:val="32"/>
          <w:szCs w:val="32"/>
          <w:highlight w:val="none"/>
          <w:lang w:val="en-US" w:eastAsia="zh-CN"/>
        </w:rPr>
        <w:t>.00</w:t>
      </w:r>
      <w:r>
        <w:rPr>
          <w:rFonts w:hint="eastAsia" w:ascii="仿宋" w:hAnsi="仿宋" w:eastAsia="仿宋" w:cs="仿宋"/>
          <w:b w:val="0"/>
          <w:bCs w:val="0"/>
          <w:i w:val="0"/>
          <w:iCs w:val="0"/>
          <w:caps w:val="0"/>
          <w:color w:val="auto"/>
          <w:spacing w:val="0"/>
          <w:sz w:val="32"/>
          <w:szCs w:val="32"/>
          <w:highlight w:val="none"/>
        </w:rPr>
        <w:t>%。通过强化项目跟踪服务，及时解决项目推进过程中的</w:t>
      </w:r>
      <w:r>
        <w:rPr>
          <w:rFonts w:hint="eastAsia" w:ascii="仿宋" w:hAnsi="仿宋" w:eastAsia="仿宋" w:cs="仿宋"/>
          <w:b w:val="0"/>
          <w:bCs w:val="0"/>
          <w:i w:val="0"/>
          <w:iCs w:val="0"/>
          <w:caps w:val="0"/>
          <w:color w:val="auto"/>
          <w:spacing w:val="0"/>
          <w:sz w:val="32"/>
          <w:szCs w:val="32"/>
          <w:highlight w:val="none"/>
          <w:lang w:eastAsia="zh-CN"/>
        </w:rPr>
        <w:t>存在</w:t>
      </w:r>
      <w:r>
        <w:rPr>
          <w:rFonts w:hint="eastAsia" w:ascii="仿宋" w:hAnsi="仿宋" w:eastAsia="仿宋" w:cs="仿宋"/>
          <w:b w:val="0"/>
          <w:bCs w:val="0"/>
          <w:i w:val="0"/>
          <w:iCs w:val="0"/>
          <w:caps w:val="0"/>
          <w:color w:val="auto"/>
          <w:spacing w:val="0"/>
          <w:sz w:val="32"/>
          <w:szCs w:val="32"/>
          <w:highlight w:val="none"/>
        </w:rPr>
        <w:t>问题，促进项目早落地、早开工、早投产加强政府各部门之间的协作与配合，形成合力，提升项目推进</w:t>
      </w:r>
      <w:r>
        <w:rPr>
          <w:rFonts w:hint="eastAsia" w:ascii="仿宋" w:hAnsi="仿宋" w:eastAsia="仿宋" w:cs="仿宋"/>
          <w:i w:val="0"/>
          <w:iCs w:val="0"/>
          <w:caps w:val="0"/>
          <w:color w:val="auto"/>
          <w:spacing w:val="0"/>
          <w:sz w:val="32"/>
          <w:szCs w:val="32"/>
          <w:highlight w:val="none"/>
        </w:rPr>
        <w:t>效率。通过建立项目协调推进机制，明确责任分工，确保项目各个环节顺畅衔接。</w:t>
      </w:r>
    </w:p>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ascii="仿宋" w:hAnsi="仿宋" w:eastAsia="仿宋" w:cs="仿宋"/>
          <w:i w:val="0"/>
          <w:iCs w:val="0"/>
          <w:caps w:val="0"/>
          <w:color w:val="auto"/>
          <w:spacing w:val="0"/>
          <w:sz w:val="32"/>
          <w:szCs w:val="32"/>
          <w:highlight w:val="none"/>
        </w:rPr>
      </w:pPr>
      <w:r>
        <w:rPr>
          <w:rStyle w:val="21"/>
          <w:rFonts w:hint="eastAsia" w:ascii="仿宋" w:hAnsi="仿宋" w:cs="仿宋"/>
          <w:b/>
          <w:bCs/>
          <w:i w:val="0"/>
          <w:iCs w:val="0"/>
          <w:caps w:val="0"/>
          <w:color w:val="auto"/>
          <w:spacing w:val="0"/>
          <w:sz w:val="32"/>
          <w:szCs w:val="32"/>
          <w:highlight w:val="none"/>
          <w:lang w:val="en-US" w:eastAsia="zh-CN"/>
        </w:rPr>
        <w:t>（</w:t>
      </w:r>
      <w:r>
        <w:rPr>
          <w:rStyle w:val="21"/>
          <w:rFonts w:hint="eastAsia" w:ascii="仿宋" w:hAnsi="仿宋" w:eastAsia="仿宋" w:cs="仿宋"/>
          <w:b/>
          <w:bCs/>
          <w:i w:val="0"/>
          <w:iCs w:val="0"/>
          <w:caps w:val="0"/>
          <w:color w:val="auto"/>
          <w:spacing w:val="0"/>
          <w:sz w:val="32"/>
          <w:szCs w:val="32"/>
          <w:highlight w:val="none"/>
          <w:lang w:val="en-US" w:eastAsia="zh-CN"/>
        </w:rPr>
        <w:t>4）</w:t>
      </w:r>
      <w:r>
        <w:rPr>
          <w:rStyle w:val="21"/>
          <w:rFonts w:hint="eastAsia" w:ascii="仿宋" w:hAnsi="仿宋" w:eastAsia="仿宋" w:cs="仿宋"/>
          <w:b/>
          <w:bCs/>
          <w:i w:val="0"/>
          <w:iCs w:val="0"/>
          <w:caps w:val="0"/>
          <w:color w:val="auto"/>
          <w:spacing w:val="0"/>
          <w:sz w:val="32"/>
          <w:szCs w:val="32"/>
          <w:highlight w:val="none"/>
        </w:rPr>
        <w:t>信息挖掘与机遇把握</w:t>
      </w:r>
    </w:p>
    <w:p>
      <w:pPr>
        <w:pStyle w:val="3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eastAsia="仿宋" w:cs="仿宋"/>
          <w:i w:val="0"/>
          <w:iCs w:val="0"/>
          <w:caps w:val="0"/>
          <w:snapToGrid w:val="0"/>
          <w:color w:val="auto"/>
          <w:spacing w:val="0"/>
          <w:sz w:val="32"/>
          <w:szCs w:val="32"/>
          <w:highlight w:val="none"/>
          <w:lang w:val="en-US" w:eastAsia="zh-CN" w:bidi="ar-SA"/>
        </w:rPr>
      </w:pPr>
      <w:r>
        <w:rPr>
          <w:rFonts w:hint="eastAsia" w:ascii="仿宋" w:hAnsi="仿宋" w:cs="仿宋"/>
          <w:i w:val="0"/>
          <w:iCs w:val="0"/>
          <w:caps w:val="0"/>
          <w:snapToGrid w:val="0"/>
          <w:color w:val="auto"/>
          <w:spacing w:val="0"/>
          <w:sz w:val="32"/>
          <w:szCs w:val="32"/>
          <w:highlight w:val="none"/>
          <w:lang w:val="en-US" w:eastAsia="zh-CN" w:bidi="ar-SA"/>
        </w:rPr>
        <w:t>充分</w:t>
      </w:r>
      <w:r>
        <w:rPr>
          <w:rFonts w:hint="eastAsia" w:ascii="仿宋" w:hAnsi="仿宋" w:eastAsia="仿宋" w:cs="仿宋"/>
          <w:i w:val="0"/>
          <w:iCs w:val="0"/>
          <w:caps w:val="0"/>
          <w:snapToGrid w:val="0"/>
          <w:color w:val="auto"/>
          <w:spacing w:val="0"/>
          <w:sz w:val="32"/>
          <w:szCs w:val="32"/>
          <w:highlight w:val="none"/>
          <w:lang w:val="en-US" w:eastAsia="zh-CN" w:bidi="ar-SA"/>
        </w:rPr>
        <w:t>利用经济活动平台展示区域优势，对接资源。发挥中介专业优势，搜集招商信息，支撑精准招商。抓住成渝双城经济圈和遂潼一体化建设机遇，参与协同发展，吸引定位相符产业项目落地。</w:t>
      </w:r>
    </w:p>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color w:val="auto"/>
          <w:sz w:val="32"/>
          <w:szCs w:val="32"/>
          <w:highlight w:val="none"/>
        </w:rPr>
      </w:pPr>
      <w:r>
        <w:rPr>
          <w:rFonts w:hint="eastAsia" w:ascii="仿宋" w:hAnsi="仿宋" w:cs="仿宋"/>
          <w:color w:val="auto"/>
          <w:sz w:val="32"/>
          <w:szCs w:val="32"/>
          <w:highlight w:val="none"/>
          <w:lang w:val="en-US" w:eastAsia="zh-CN"/>
        </w:rPr>
        <w:t>（5）</w:t>
      </w:r>
      <w:r>
        <w:rPr>
          <w:rFonts w:hint="eastAsia" w:ascii="仿宋" w:hAnsi="仿宋" w:eastAsia="仿宋" w:cs="仿宋"/>
          <w:color w:val="auto"/>
          <w:sz w:val="32"/>
          <w:szCs w:val="32"/>
          <w:highlight w:val="none"/>
        </w:rPr>
        <w:t>综合发展目标</w:t>
      </w:r>
    </w:p>
    <w:p>
      <w:pPr>
        <w:pStyle w:val="30"/>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color w:val="auto"/>
          <w:sz w:val="32"/>
          <w:szCs w:val="32"/>
          <w:highlight w:val="none"/>
          <w:lang w:val="en-US" w:eastAsia="zh-CN"/>
        </w:rPr>
      </w:pPr>
      <w:r>
        <w:rPr>
          <w:rFonts w:hint="eastAsia" w:ascii="仿宋" w:hAnsi="仿宋" w:eastAsia="仿宋" w:cs="仿宋"/>
          <w:color w:val="auto"/>
          <w:sz w:val="32"/>
          <w:szCs w:val="32"/>
          <w:highlight w:val="none"/>
          <w:lang w:val="en-US" w:eastAsia="zh-CN"/>
        </w:rPr>
        <w:t>期望通过吸引投资与招商活动，促进本区域经济的显著提升。积极引入新兴产业及服务业项目，以优化产业结构并提高产品附加值。精确地对产业发展进行定位，引导项目向高端化、集群化、绿色化方向发展，从而推动产业升级。持续进行招商引资工作，为经济发展注入活力。强化项目储备与服务工作，确保经济的稳定增长。确保满足群众就业需求超过800人，同时达到服务对象满意度超过90</w:t>
      </w:r>
      <w:r>
        <w:rPr>
          <w:rFonts w:hint="eastAsia" w:ascii="仿宋" w:hAnsi="仿宋" w:cs="仿宋"/>
          <w:color w:val="auto"/>
          <w:sz w:val="32"/>
          <w:szCs w:val="32"/>
          <w:highlight w:val="none"/>
          <w:lang w:val="en-US" w:eastAsia="zh-CN"/>
        </w:rPr>
        <w:t>.00</w:t>
      </w:r>
      <w:r>
        <w:rPr>
          <w:rFonts w:hint="eastAsia" w:ascii="仿宋" w:hAnsi="仿宋" w:eastAsia="仿宋" w:cs="仿宋"/>
          <w:color w:val="auto"/>
          <w:sz w:val="32"/>
          <w:szCs w:val="32"/>
          <w:highlight w:val="none"/>
          <w:lang w:val="en-US" w:eastAsia="zh-CN"/>
        </w:rPr>
        <w:t>%。</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textAlignment w:val="baseline"/>
        <w:rPr>
          <w:rFonts w:hint="eastAsia"/>
          <w:b w:val="0"/>
          <w:bCs w:val="0"/>
          <w:color w:val="auto"/>
          <w:highlight w:val="none"/>
          <w:lang w:val="en-US" w:eastAsia="zh-CN"/>
        </w:rPr>
      </w:pPr>
      <w:bookmarkStart w:id="1948" w:name="_Toc1961"/>
      <w:bookmarkStart w:id="1949" w:name="_Toc27159"/>
      <w:bookmarkStart w:id="1950" w:name="_Toc17935"/>
      <w:bookmarkStart w:id="1951" w:name="_Toc10900"/>
      <w:bookmarkStart w:id="1952" w:name="_Toc18740"/>
      <w:bookmarkStart w:id="1953" w:name="_Toc10171"/>
      <w:bookmarkStart w:id="1954" w:name="_Toc22904"/>
      <w:bookmarkStart w:id="1955" w:name="_Toc17116"/>
      <w:bookmarkStart w:id="1956" w:name="_Toc17206"/>
      <w:bookmarkStart w:id="1957" w:name="_Toc24101"/>
      <w:r>
        <w:rPr>
          <w:rFonts w:hint="eastAsia"/>
          <w:b w:val="0"/>
          <w:bCs w:val="0"/>
          <w:color w:val="auto"/>
          <w:highlight w:val="none"/>
          <w:lang w:val="en-US" w:eastAsia="zh-CN"/>
        </w:rPr>
        <w:t>三、评价思路</w:t>
      </w:r>
      <w:bookmarkEnd w:id="1948"/>
      <w:bookmarkEnd w:id="1949"/>
      <w:bookmarkEnd w:id="1950"/>
      <w:bookmarkEnd w:id="1951"/>
      <w:bookmarkEnd w:id="1952"/>
      <w:bookmarkEnd w:id="1953"/>
      <w:bookmarkEnd w:id="1954"/>
      <w:bookmarkEnd w:id="1955"/>
      <w:bookmarkEnd w:id="1956"/>
      <w:bookmarkEnd w:id="1957"/>
      <w:bookmarkStart w:id="1958" w:name="_Toc18978"/>
      <w:bookmarkStart w:id="1959" w:name="_Toc26340"/>
      <w:bookmarkStart w:id="1960" w:name="_Toc12807"/>
      <w:bookmarkStart w:id="1961" w:name="_Toc17742"/>
      <w:bookmarkStart w:id="1962" w:name="_Toc9485"/>
      <w:bookmarkStart w:id="1963" w:name="_Toc18394"/>
    </w:p>
    <w:p>
      <w:pPr>
        <w:pStyle w:val="3"/>
        <w:keepNext/>
        <w:keepLines/>
        <w:pageBreakBefore w:val="0"/>
        <w:widowControl/>
        <w:kinsoku w:val="0"/>
        <w:wordWrap/>
        <w:overflowPunct/>
        <w:topLinePunct w:val="0"/>
        <w:autoSpaceDE w:val="0"/>
        <w:autoSpaceDN w:val="0"/>
        <w:bidi w:val="0"/>
        <w:adjustRightInd w:val="0"/>
        <w:snapToGrid w:val="0"/>
        <w:spacing w:before="0" w:beforeLines="0" w:after="0" w:afterLines="0"/>
        <w:ind w:left="0" w:leftChars="0" w:firstLine="643" w:firstLineChars="200"/>
        <w:jc w:val="both"/>
        <w:textAlignment w:val="baseline"/>
        <w:rPr>
          <w:rFonts w:hint="eastAsia"/>
        </w:rPr>
      </w:pPr>
      <w:bookmarkStart w:id="1964" w:name="_Toc1177"/>
      <w:bookmarkStart w:id="1965" w:name="_Toc27722"/>
      <w:bookmarkStart w:id="1966" w:name="_Toc9259"/>
      <w:bookmarkStart w:id="1967" w:name="_Toc25915"/>
      <w:bookmarkStart w:id="1968" w:name="_Toc18901"/>
      <w:bookmarkStart w:id="1969" w:name="_Toc6791"/>
      <w:bookmarkStart w:id="1970" w:name="_Toc5818"/>
      <w:bookmarkStart w:id="1971" w:name="_Toc25316"/>
      <w:bookmarkStart w:id="1972" w:name="_Toc14121"/>
      <w:bookmarkStart w:id="1973" w:name="_Toc2887"/>
      <w:r>
        <w:rPr>
          <w:rFonts w:hint="eastAsia"/>
        </w:rPr>
        <w:t>（一）评价思路及</w:t>
      </w:r>
      <w:bookmarkEnd w:id="1958"/>
      <w:r>
        <w:rPr>
          <w:rFonts w:hint="eastAsia"/>
        </w:rPr>
        <w:t>关注</w:t>
      </w:r>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kern w:val="44"/>
          <w:szCs w:val="32"/>
          <w:highlight w:val="none"/>
        </w:rPr>
      </w:pPr>
      <w:r>
        <w:rPr>
          <w:rFonts w:hint="eastAsia" w:ascii="仿宋" w:hAnsi="仿宋" w:cs="仿宋"/>
          <w:color w:val="auto"/>
          <w:kern w:val="44"/>
          <w:szCs w:val="32"/>
          <w:highlight w:val="none"/>
        </w:rPr>
        <w:t>从部门整体出发，遵循“职责－规划计划－重点任务－项目－资金资源配置－管理效率－履职效能”并回溯的闭环逻辑，围绕高新区经合中心部门整体绩效目标设置、资金资源统筹配置、管理效率、运行成本、履职效能、可持续发展能力及满意度等，聚焦于部门履职及管理过程的重点环节。评价要素及评价重点如下：</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kern w:val="44"/>
          <w:szCs w:val="32"/>
          <w:highlight w:val="none"/>
        </w:rPr>
      </w:pPr>
      <w:r>
        <w:rPr>
          <w:rFonts w:hint="eastAsia" w:ascii="仿宋" w:hAnsi="仿宋" w:cs="仿宋"/>
          <w:color w:val="auto"/>
          <w:kern w:val="44"/>
          <w:szCs w:val="32"/>
          <w:highlight w:val="none"/>
        </w:rPr>
        <w:t>战略及职责目标：部门绩效目标与部门职能职责、事业发展规划、年度工作任务和正常业绩水平是否相符；部门绩效目标能否有效反映部门履职效果。</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kern w:val="44"/>
          <w:szCs w:val="32"/>
          <w:highlight w:val="none"/>
        </w:rPr>
      </w:pPr>
      <w:r>
        <w:rPr>
          <w:rFonts w:hint="eastAsia" w:ascii="仿宋" w:hAnsi="仿宋" w:cs="仿宋"/>
          <w:color w:val="auto"/>
          <w:kern w:val="44"/>
          <w:szCs w:val="32"/>
          <w:highlight w:val="none"/>
        </w:rPr>
        <w:t>资金资源统筹配置：预算支出结构与部门职能是否匹配，项目支出结构与履职需求是否相符，项目资金安排是否合理；收入预算编制是否完整。</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kern w:val="44"/>
          <w:szCs w:val="32"/>
          <w:highlight w:val="none"/>
        </w:rPr>
      </w:pPr>
      <w:r>
        <w:rPr>
          <w:rFonts w:hint="eastAsia" w:ascii="仿宋" w:hAnsi="仿宋" w:cs="仿宋"/>
          <w:color w:val="auto"/>
          <w:kern w:val="44"/>
          <w:szCs w:val="32"/>
          <w:highlight w:val="none"/>
        </w:rPr>
        <w:t>管理效率：部门支出预算编制是否细化、完整，预算管理执行是否规范；部门资产管理是否规范及固定资产使用情况。</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kern w:val="44"/>
          <w:szCs w:val="32"/>
          <w:highlight w:val="none"/>
        </w:rPr>
      </w:pPr>
      <w:r>
        <w:rPr>
          <w:rFonts w:hint="eastAsia" w:ascii="仿宋" w:hAnsi="仿宋" w:cs="仿宋"/>
          <w:color w:val="auto"/>
          <w:kern w:val="44"/>
          <w:szCs w:val="32"/>
          <w:highlight w:val="none"/>
        </w:rPr>
        <w:t>运行成本：公用经费、三公经费、培训费、会议费、机关运行经费控制情况；高新区经合中心基金管理成本。</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kern w:val="44"/>
          <w:szCs w:val="32"/>
          <w:highlight w:val="none"/>
        </w:rPr>
      </w:pPr>
      <w:r>
        <w:rPr>
          <w:rFonts w:hint="eastAsia" w:ascii="仿宋" w:hAnsi="仿宋" w:cs="仿宋"/>
          <w:color w:val="auto"/>
          <w:kern w:val="44"/>
          <w:szCs w:val="32"/>
          <w:highlight w:val="none"/>
        </w:rPr>
        <w:t>履职工作效能：部门整体绩效目标及年度工作任务完成情况及效果；招商引资产出及效益；部门工作及社会服务能力。</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9"/>
        <w:rPr>
          <w:rFonts w:hint="eastAsia" w:ascii="仿宋" w:hAnsi="仿宋" w:cs="仿宋"/>
          <w:color w:val="auto"/>
          <w:szCs w:val="32"/>
          <w:highlight w:val="none"/>
          <w:lang w:bidi="ar"/>
        </w:rPr>
      </w:pPr>
      <w:bookmarkStart w:id="1974" w:name="_Toc25594"/>
      <w:bookmarkStart w:id="1975" w:name="_Toc14870"/>
      <w:bookmarkStart w:id="1976" w:name="_Toc13194"/>
      <w:bookmarkStart w:id="1977" w:name="_Toc8594"/>
      <w:bookmarkStart w:id="1978" w:name="_Toc4052"/>
      <w:r>
        <w:rPr>
          <w:rFonts w:hint="eastAsia" w:ascii="仿宋" w:hAnsi="仿宋" w:cs="仿宋"/>
          <w:color w:val="auto"/>
          <w:szCs w:val="32"/>
          <w:highlight w:val="none"/>
          <w:lang w:bidi="ar"/>
        </w:rPr>
        <w:t>可持续发展：信息化建设、服务中心人才队伍建设等方面可持续发展能力；部门中长期规划是否建立；满意度评价。</w:t>
      </w:r>
      <w:bookmarkEnd w:id="1974"/>
      <w:bookmarkEnd w:id="1975"/>
      <w:bookmarkEnd w:id="1976"/>
      <w:bookmarkEnd w:id="1977"/>
    </w:p>
    <w:p>
      <w:pPr>
        <w:pStyle w:val="3"/>
        <w:keepNext/>
        <w:keepLines/>
        <w:pageBreakBefore w:val="0"/>
        <w:widowControl/>
        <w:kinsoku w:val="0"/>
        <w:wordWrap/>
        <w:overflowPunct/>
        <w:topLinePunct w:val="0"/>
        <w:autoSpaceDE w:val="0"/>
        <w:autoSpaceDN w:val="0"/>
        <w:bidi w:val="0"/>
        <w:adjustRightInd w:val="0"/>
        <w:snapToGrid w:val="0"/>
        <w:spacing w:before="0" w:beforeLines="0" w:after="0" w:afterLines="0"/>
        <w:ind w:left="0" w:leftChars="0" w:firstLine="643" w:firstLineChars="200"/>
        <w:jc w:val="both"/>
        <w:textAlignment w:val="baseline"/>
        <w:rPr>
          <w:rFonts w:hint="eastAsia"/>
        </w:rPr>
      </w:pPr>
      <w:bookmarkStart w:id="1979" w:name="_Toc6364"/>
      <w:bookmarkStart w:id="1980" w:name="_Toc30115"/>
      <w:bookmarkStart w:id="1981" w:name="_Toc4759"/>
      <w:bookmarkStart w:id="1982" w:name="_Toc21734"/>
      <w:bookmarkStart w:id="1983" w:name="_Toc31243"/>
      <w:bookmarkStart w:id="1984" w:name="_Toc12079"/>
      <w:bookmarkStart w:id="1985" w:name="_Toc20375"/>
      <w:bookmarkStart w:id="1986" w:name="_Toc29226"/>
      <w:bookmarkStart w:id="1987" w:name="_Toc31434"/>
      <w:r>
        <w:rPr>
          <w:rFonts w:hint="eastAsia"/>
        </w:rPr>
        <w:t>（二）评价方法</w:t>
      </w:r>
      <w:bookmarkEnd w:id="1979"/>
      <w:bookmarkEnd w:id="1980"/>
      <w:bookmarkEnd w:id="1981"/>
      <w:bookmarkEnd w:id="1982"/>
      <w:bookmarkEnd w:id="1983"/>
      <w:bookmarkEnd w:id="1984"/>
      <w:bookmarkEnd w:id="1985"/>
      <w:bookmarkEnd w:id="1986"/>
      <w:bookmarkEnd w:id="1987"/>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1.案卷研究法</w:t>
      </w:r>
    </w:p>
    <w:p>
      <w:pPr>
        <w:keepNext w:val="0"/>
        <w:keepLines w:val="0"/>
        <w:pageBreakBefore w:val="0"/>
        <w:widowControl w:val="0"/>
        <w:tabs>
          <w:tab w:val="left" w:pos="3423"/>
        </w:tabs>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snapToGrid/>
          <w:color w:val="auto"/>
          <w:szCs w:val="32"/>
          <w:highlight w:val="none"/>
        </w:rPr>
      </w:pPr>
      <w:r>
        <w:rPr>
          <w:rFonts w:hint="eastAsia" w:ascii="仿宋" w:hAnsi="仿宋" w:cs="仿宋"/>
          <w:snapToGrid/>
          <w:color w:val="auto"/>
          <w:szCs w:val="32"/>
          <w:highlight w:val="none"/>
        </w:rPr>
        <w:t>对部门职能、中长期规划、部门年度工作计划及工作总结、部门资金使用管理情况等相关资料进行研究、比较、分析，提取重要信息。同时，查找财政管理方面政策文件及相关资料，了解</w:t>
      </w:r>
      <w:r>
        <w:rPr>
          <w:rFonts w:hint="eastAsia" w:ascii="仿宋" w:hAnsi="仿宋" w:cs="仿宋"/>
          <w:snapToGrid/>
          <w:color w:val="auto"/>
          <w:kern w:val="2"/>
          <w:szCs w:val="32"/>
          <w:highlight w:val="none"/>
        </w:rPr>
        <w:t>高新区经合中心</w:t>
      </w:r>
      <w:r>
        <w:rPr>
          <w:rFonts w:hint="eastAsia" w:ascii="仿宋" w:hAnsi="仿宋" w:cs="仿宋"/>
          <w:snapToGrid/>
          <w:color w:val="auto"/>
          <w:szCs w:val="32"/>
          <w:highlight w:val="none"/>
        </w:rPr>
        <w:t>在履行部门职能、实现职责目标方面的发展现状、面临的主要问题及未来发展趋势，支撑评价工作的开展和评价结论的得出。</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2.比较分析法</w:t>
      </w:r>
    </w:p>
    <w:p>
      <w:pPr>
        <w:keepLines w:val="0"/>
        <w:pageBreakBefore w:val="0"/>
        <w:widowControl w:val="0"/>
        <w:shd w:val="clear" w:color="auto" w:fill="FFFFFF"/>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snapToGrid/>
          <w:color w:val="auto"/>
          <w:szCs w:val="32"/>
          <w:highlight w:val="none"/>
        </w:rPr>
      </w:pPr>
      <w:r>
        <w:rPr>
          <w:rFonts w:hint="eastAsia" w:ascii="仿宋" w:hAnsi="仿宋" w:cs="仿宋"/>
          <w:snapToGrid/>
          <w:color w:val="auto"/>
          <w:szCs w:val="32"/>
          <w:highlight w:val="none"/>
        </w:rPr>
        <w:t>通过对年度目标与实际完成情况、预算安排与执行结果进行比较，综合分析部门整体开展的效率和效果。</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3.因素分析法</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snapToGrid/>
          <w:color w:val="auto"/>
          <w:kern w:val="2"/>
          <w:szCs w:val="32"/>
          <w:highlight w:val="none"/>
        </w:rPr>
      </w:pPr>
      <w:r>
        <w:rPr>
          <w:rFonts w:hint="eastAsia" w:ascii="仿宋" w:hAnsi="仿宋" w:cs="仿宋"/>
          <w:snapToGrid/>
          <w:color w:val="auto"/>
          <w:szCs w:val="32"/>
          <w:highlight w:val="none"/>
          <w:lang w:bidi="ar"/>
        </w:rPr>
        <w:t>通过对收集的高新区经合中心2023年部门整体支出有关资料进行分析，了解资金的使用范围和用途，查看预算绩效目标的设置情况，综合分析影响绩效目标实现、实施效果的内外因素，评价绩效目标实现程度。</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kern w:val="2"/>
          <w:highlight w:val="none"/>
        </w:rPr>
      </w:pPr>
      <w:r>
        <w:rPr>
          <w:rFonts w:hint="eastAsia" w:ascii="楷体" w:hAnsi="楷体" w:eastAsia="楷体" w:cs="楷体"/>
          <w:color w:val="auto"/>
          <w:highlight w:val="none"/>
        </w:rPr>
        <w:t>4.成本效益分析法</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snapToGrid/>
          <w:color w:val="auto"/>
          <w:szCs w:val="32"/>
          <w:highlight w:val="none"/>
          <w:lang w:bidi="ar"/>
        </w:rPr>
      </w:pPr>
      <w:r>
        <w:rPr>
          <w:rFonts w:hint="eastAsia" w:ascii="仿宋" w:hAnsi="仿宋" w:cs="仿宋"/>
          <w:snapToGrid/>
          <w:color w:val="auto"/>
          <w:szCs w:val="32"/>
          <w:highlight w:val="none"/>
          <w:lang w:bidi="ar"/>
        </w:rPr>
        <w:t>将一定时期内的支出与效益进行对比分析，以评价绩效目标实现程度。</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textAlignment w:val="baseline"/>
        <w:rPr>
          <w:rFonts w:hint="eastAsia" w:ascii="楷体" w:hAnsi="楷体" w:eastAsia="楷体" w:cs="楷体"/>
          <w:color w:val="auto"/>
          <w:highlight w:val="none"/>
        </w:rPr>
      </w:pPr>
      <w:r>
        <w:rPr>
          <w:rFonts w:hint="eastAsia" w:ascii="楷体" w:hAnsi="楷体" w:eastAsia="楷体" w:cs="楷体"/>
          <w:color w:val="auto"/>
          <w:highlight w:val="none"/>
        </w:rPr>
        <w:t>5.公众评判法</w:t>
      </w:r>
    </w:p>
    <w:p>
      <w:pPr>
        <w:keepNext w:val="0"/>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b/>
          <w:bCs/>
          <w:color w:val="auto"/>
          <w:highlight w:val="none"/>
        </w:rPr>
      </w:pPr>
      <w:bookmarkStart w:id="1988" w:name="_Toc21046"/>
      <w:bookmarkStart w:id="1989" w:name="_Toc31525"/>
      <w:r>
        <w:rPr>
          <w:rFonts w:hint="eastAsia" w:ascii="仿宋" w:hAnsi="仿宋" w:cs="仿宋"/>
          <w:snapToGrid/>
          <w:color w:val="auto"/>
          <w:szCs w:val="32"/>
          <w:highlight w:val="none"/>
          <w:lang w:bidi="ar"/>
        </w:rPr>
        <w:t>评价组根据单位职能、职责和2023年度绩效目标完成情况，制定对应的满意度调查问卷。通过对服务对象发放满意度调查问卷作答情况，对高新区经合中心履职情况进行评判；对工作完成效果进行摸底调查，评价绩效目标实现程度。</w:t>
      </w:r>
      <w:bookmarkEnd w:id="1978"/>
      <w:bookmarkEnd w:id="1988"/>
      <w:bookmarkEnd w:id="1989"/>
    </w:p>
    <w:p>
      <w:pPr>
        <w:pStyle w:val="3"/>
        <w:keepNext/>
        <w:keepLines/>
        <w:pageBreakBefore w:val="0"/>
        <w:widowControl/>
        <w:kinsoku w:val="0"/>
        <w:wordWrap/>
        <w:overflowPunct/>
        <w:topLinePunct w:val="0"/>
        <w:autoSpaceDE w:val="0"/>
        <w:autoSpaceDN w:val="0"/>
        <w:bidi w:val="0"/>
        <w:adjustRightInd w:val="0"/>
        <w:snapToGrid w:val="0"/>
        <w:spacing w:before="0" w:beforeLines="0" w:after="0" w:afterLines="0"/>
        <w:ind w:left="0" w:leftChars="0" w:firstLine="643" w:firstLineChars="200"/>
        <w:jc w:val="both"/>
        <w:textAlignment w:val="baseline"/>
        <w:rPr>
          <w:rFonts w:hint="eastAsia"/>
        </w:rPr>
      </w:pPr>
      <w:bookmarkStart w:id="1990" w:name="_Toc135"/>
      <w:bookmarkStart w:id="1991" w:name="_Toc11823"/>
      <w:bookmarkStart w:id="1992" w:name="_Toc30881"/>
      <w:bookmarkStart w:id="1993" w:name="_Toc16808"/>
      <w:bookmarkStart w:id="1994" w:name="_Toc14119"/>
      <w:bookmarkStart w:id="1995" w:name="_Toc27261"/>
      <w:bookmarkStart w:id="1996" w:name="_Toc32765"/>
      <w:bookmarkStart w:id="1997" w:name="_Toc415"/>
      <w:bookmarkStart w:id="1998" w:name="_Toc19022"/>
      <w:bookmarkStart w:id="1999" w:name="_Toc8205"/>
      <w:r>
        <w:rPr>
          <w:rFonts w:hint="eastAsia"/>
          <w:lang w:eastAsia="zh-CN"/>
        </w:rPr>
        <w:t>（</w:t>
      </w:r>
      <w:r>
        <w:rPr>
          <w:rFonts w:hint="eastAsia"/>
        </w:rPr>
        <w:t>三）评价过程</w:t>
      </w:r>
      <w:bookmarkEnd w:id="1990"/>
      <w:bookmarkEnd w:id="1991"/>
      <w:bookmarkEnd w:id="1992"/>
      <w:bookmarkEnd w:id="1993"/>
      <w:bookmarkEnd w:id="1994"/>
      <w:bookmarkEnd w:id="1995"/>
      <w:bookmarkEnd w:id="1996"/>
      <w:bookmarkEnd w:id="1997"/>
      <w:bookmarkEnd w:id="1998"/>
      <w:bookmarkEnd w:id="1999"/>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1.前期准备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lang w:bidi="ar"/>
        </w:rPr>
      </w:pPr>
      <w:r>
        <w:rPr>
          <w:rFonts w:hint="eastAsia" w:ascii="仿宋" w:hAnsi="仿宋" w:cs="仿宋"/>
          <w:color w:val="auto"/>
          <w:szCs w:val="32"/>
          <w:highlight w:val="none"/>
          <w:lang w:bidi="ar"/>
        </w:rPr>
        <w:t>为保障此次绩效评价工作的顺利开展，我们成立了绩效评价小组并召开评价工作启动会。对高新区经合中心部门整体支出绩效评价工作进行预调研，制定评价工作方案，设置评价指标体系及评分表。</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2.组织实施</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lang w:bidi="ar"/>
        </w:rPr>
        <w:t>绩效评价小组按绩效工作安排在遂宁高新区财政金融局领导带领下进驻被评价单位，开展进场评价工作会议，听取了高新区经合中心对本单位绩效目标设定及完成程度，组织管理制度建立健全及落实情况，预算支出执行情况，财务管理状况，资产管理情况和预算支出执行产生的效益效果等情况介绍。遂宁高新区财政金融局领导提出本次工作目的和工作要求，指示实地评价的科学性、规范性、客观性、公正性、独立性原则。</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lang w:bidi="ar"/>
        </w:rPr>
        <w:t>入场后，我方收取现场评价资料，进行现场资料分析，复核预算收支情况，查看部门工作现场，核实单位资产规模和管理情况，结合资料实地查看部门工作实际完成状态和规模，核实各项资产保存管理状况，评价部门管理状态，查验单位工作实施的真实性和规范性，检验已完成工作的运行效果。对各部门履行职责情况的公众满意度进行调查，对部门具有明确受益对象的评价项目，根据需要收集的评价数据设置调查表并认真做好调查表的发放与回收工作。</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3.分析评价</w:t>
      </w:r>
    </w:p>
    <w:p>
      <w:pPr>
        <w:pStyle w:val="9"/>
        <w:keepLines w:val="0"/>
        <w:pageBreakBefore w:val="0"/>
        <w:widowControl w:val="0"/>
        <w:kinsoku/>
        <w:wordWrap/>
        <w:overflowPunct w:val="0"/>
        <w:topLinePunct w:val="0"/>
        <w:autoSpaceDE w:val="0"/>
        <w:autoSpaceDN w:val="0"/>
        <w:bidi w:val="0"/>
        <w:adjustRightInd w:val="0"/>
        <w:snapToGrid w:val="0"/>
        <w:spacing w:line="560" w:lineRule="exact"/>
        <w:ind w:left="0" w:leftChars="0" w:firstLine="480" w:firstLineChars="200"/>
        <w:jc w:val="both"/>
        <w:textAlignment w:val="baseline"/>
        <w:rPr>
          <w:rFonts w:hint="eastAsia" w:ascii="仿宋" w:hAnsi="仿宋" w:cs="仿宋"/>
          <w:color w:val="auto"/>
          <w:szCs w:val="32"/>
          <w:highlight w:val="none"/>
        </w:rPr>
      </w:pPr>
      <w:r>
        <w:rPr>
          <w:rFonts w:hint="eastAsia" w:ascii="仿宋" w:hAnsi="仿宋" w:cs="仿宋"/>
          <w:color w:val="auto"/>
          <w:szCs w:val="32"/>
          <w:highlight w:val="none"/>
        </w:rPr>
        <w:t>一是合理设置评价指标体系。从决策、过程、产出、效益四个方面对部门支出总体实施成效情况进行评价。二是采取定性描述和定量分析的方法，对各项规划编制进行逐一评价核实，评价组对自评表相关数据进行分析，对资金的投入与产出的效果进行对比，初步形成绩效评价综合结论。</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4.绩效评价报告</w:t>
      </w:r>
    </w:p>
    <w:p>
      <w:pPr>
        <w:pStyle w:val="5"/>
        <w:keepNext/>
        <w:keepLines w:val="0"/>
        <w:pageBreakBefore w:val="0"/>
        <w:widowControl w:val="0"/>
        <w:kinsoku/>
        <w:wordWrap/>
        <w:overflowPunct w:val="0"/>
        <w:topLinePunct w:val="0"/>
        <w:autoSpaceDE w:val="0"/>
        <w:autoSpaceDN w:val="0"/>
        <w:bidi w:val="0"/>
        <w:adjustRightInd w:val="0"/>
        <w:snapToGrid w:val="0"/>
        <w:spacing w:before="0" w:beforeLines="0" w:after="0" w:line="560" w:lineRule="exact"/>
        <w:ind w:left="0" w:leftChars="0" w:firstLine="643" w:firstLineChars="200"/>
        <w:jc w:val="both"/>
        <w:textAlignment w:val="baseline"/>
        <w:outlineLvl w:val="3"/>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（1）撰写绩效评价报告</w:t>
      </w:r>
    </w:p>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color w:val="auto"/>
          <w:sz w:val="32"/>
          <w:szCs w:val="32"/>
          <w:highlight w:val="none"/>
        </w:rPr>
      </w:pPr>
      <w:r>
        <w:rPr>
          <w:rFonts w:hint="eastAsia" w:ascii="仿宋" w:hAnsi="仿宋" w:cs="仿宋"/>
          <w:color w:val="auto"/>
          <w:sz w:val="32"/>
          <w:szCs w:val="32"/>
          <w:highlight w:val="none"/>
        </w:rPr>
        <w:t>绩效评价报告的具体格式由财政部门统一制定，绩效评价人员按照规定的文本格式和协议要求撰写绩效评价报告，做到依据充分、数据真实、内容完整、客观公正、结论明确、建议可行。</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color w:val="auto"/>
          <w:szCs w:val="32"/>
          <w:highlight w:val="none"/>
        </w:rPr>
      </w:pPr>
      <w:r>
        <w:rPr>
          <w:rFonts w:hint="eastAsia" w:ascii="仿宋" w:hAnsi="仿宋" w:cs="仿宋"/>
          <w:b/>
          <w:bCs/>
          <w:color w:val="auto"/>
          <w:szCs w:val="32"/>
          <w:highlight w:val="none"/>
        </w:rPr>
        <w:t>（2）绩效评价报告交换意见</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绩效评价报告初稿完成后，根据反馈的有效意见对评价报告进行修改。如对评价报告存在意见分歧，经协商仍不能取得一致的，评价组在出具正式绩效评价报告时须同时提交被评价单位的不同意见。</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9"/>
        <w:rPr>
          <w:rFonts w:hint="eastAsia" w:ascii="仿宋" w:hAnsi="仿宋" w:cs="仿宋"/>
          <w:b/>
          <w:bCs/>
          <w:color w:val="auto"/>
          <w:szCs w:val="32"/>
          <w:highlight w:val="none"/>
        </w:rPr>
      </w:pPr>
      <w:r>
        <w:rPr>
          <w:rFonts w:hint="eastAsia" w:ascii="仿宋" w:hAnsi="仿宋" w:cs="仿宋"/>
          <w:b/>
          <w:bCs/>
          <w:color w:val="auto"/>
          <w:szCs w:val="32"/>
          <w:highlight w:val="none"/>
        </w:rPr>
        <w:t>（3）提交绩效评价报告</w:t>
      </w:r>
    </w:p>
    <w:p>
      <w:pPr>
        <w:keepNext w:val="0"/>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出具</w:t>
      </w:r>
      <w:bookmarkStart w:id="2000" w:name="_Toc15196"/>
      <w:bookmarkStart w:id="2001" w:name="_Toc5787"/>
      <w:bookmarkStart w:id="2002" w:name="_Toc7262"/>
      <w:bookmarkStart w:id="2003" w:name="_Toc8358"/>
      <w:bookmarkStart w:id="2004" w:name="_Toc29175"/>
      <w:bookmarkStart w:id="2005" w:name="_Toc6721"/>
      <w:r>
        <w:rPr>
          <w:rFonts w:hint="eastAsia" w:ascii="仿宋" w:hAnsi="仿宋" w:eastAsia="仿宋" w:cs="仿宋"/>
          <w:b w:val="0"/>
          <w:bCs w:val="0"/>
          <w:color w:val="auto"/>
          <w:sz w:val="32"/>
          <w:szCs w:val="32"/>
          <w:highlight w:val="none"/>
        </w:rPr>
        <w:t>遂宁高新区经济合作中心2023年度部门整体支出绩效评价报告</w:t>
      </w:r>
      <w:r>
        <w:rPr>
          <w:rFonts w:hint="eastAsia" w:ascii="仿宋" w:hAnsi="仿宋" w:cs="仿宋"/>
          <w:b w:val="0"/>
          <w:bCs w:val="0"/>
          <w:color w:val="auto"/>
          <w:sz w:val="32"/>
          <w:szCs w:val="32"/>
          <w:highlight w:val="none"/>
          <w:lang w:eastAsia="zh-CN"/>
        </w:rPr>
        <w:t>。</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rPr>
          <w:rFonts w:hint="eastAsia"/>
          <w:color w:val="auto"/>
          <w:highlight w:val="none"/>
        </w:rPr>
      </w:pPr>
      <w:bookmarkStart w:id="2006" w:name="_Toc9507"/>
      <w:bookmarkStart w:id="2007" w:name="_Toc9723"/>
      <w:bookmarkStart w:id="2008" w:name="_Toc20765"/>
      <w:bookmarkStart w:id="2009" w:name="_Toc16680"/>
      <w:bookmarkStart w:id="2010" w:name="_Toc15438"/>
      <w:bookmarkStart w:id="2011" w:name="_Toc7447"/>
      <w:bookmarkStart w:id="2012" w:name="_Toc22377"/>
      <w:bookmarkStart w:id="2013" w:name="_Toc32682"/>
      <w:bookmarkStart w:id="2014" w:name="_Toc23769"/>
      <w:bookmarkStart w:id="2015" w:name="_Toc23310"/>
      <w:r>
        <w:rPr>
          <w:rFonts w:hint="eastAsia"/>
          <w:color w:val="auto"/>
          <w:highlight w:val="none"/>
        </w:rPr>
        <w:t>四、指标体系</w:t>
      </w:r>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2016" w:name="_Toc24682"/>
      <w:bookmarkStart w:id="2017" w:name="_Toc27826"/>
      <w:bookmarkStart w:id="2018" w:name="_Toc11452"/>
      <w:bookmarkStart w:id="2019" w:name="_Toc17515"/>
      <w:bookmarkStart w:id="2020" w:name="_Toc23820"/>
      <w:bookmarkStart w:id="2021" w:name="_Toc4649"/>
      <w:bookmarkStart w:id="2022" w:name="_Toc25509"/>
      <w:bookmarkStart w:id="2023" w:name="_Toc11941"/>
      <w:bookmarkStart w:id="2024" w:name="_Toc7869"/>
      <w:bookmarkStart w:id="2025" w:name="_Toc23771"/>
      <w:bookmarkStart w:id="2026" w:name="_Toc1229"/>
      <w:bookmarkStart w:id="2027" w:name="_Toc23584"/>
      <w:bookmarkStart w:id="2028" w:name="_Toc27789"/>
      <w:bookmarkStart w:id="2029" w:name="_Toc32745"/>
      <w:bookmarkStart w:id="2030" w:name="_Toc22156"/>
      <w:bookmarkStart w:id="2031" w:name="_Toc3399"/>
      <w:r>
        <w:rPr>
          <w:color w:val="auto"/>
          <w:highlight w:val="none"/>
        </w:rPr>
        <w:t>（一）评价指标的构建思路及分值分布</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kern w:val="44"/>
          <w:szCs w:val="32"/>
          <w:highlight w:val="none"/>
        </w:rPr>
      </w:pPr>
      <w:r>
        <w:rPr>
          <w:rFonts w:hint="eastAsia" w:ascii="仿宋" w:hAnsi="仿宋" w:cs="仿宋"/>
          <w:color w:val="auto"/>
          <w:kern w:val="44"/>
          <w:szCs w:val="32"/>
          <w:highlight w:val="none"/>
        </w:rPr>
        <w:t>绩效评价指标是衡量绩效目标实现程度的考核工具。通过将绩效业绩指标化，获取具有针对性的业绩值，为开展绩效评价工作提供基础。绩效评价指标应当充分体现和真实反映部门的绩效目标的完成情况及评价的政策需要。绩效评价指标体系通常包括具体指标、指标权重、指标解释、数据来源、评价标准及评分方法等。</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kern w:val="44"/>
          <w:szCs w:val="32"/>
          <w:highlight w:val="none"/>
        </w:rPr>
      </w:pPr>
      <w:r>
        <w:rPr>
          <w:rFonts w:hint="eastAsia" w:ascii="仿宋" w:hAnsi="仿宋" w:cs="仿宋"/>
          <w:color w:val="auto"/>
          <w:kern w:val="44"/>
          <w:szCs w:val="32"/>
          <w:highlight w:val="none"/>
        </w:rPr>
        <w:t>本次绩效评价对象为高新区经合中心部门整体支出，针对高新区经合中心的绩效指标体系建立是本次部门整体绩效综合评价的一个关键模块，在确定高新区经合中心整体支出绩效评价指标方面，我们主要考虑到三个重点：一是设置合理的绩效指标，绩效指标要能够准确清晰地反映高新区经合中心履职效果，需尽量设置为可衡量、可考核的清晰明确的指标，指标值需具有约束力；二是确定特性指标恰当的指标权重，依据相关原则，结合专家经验对各项指标重要程度进行研判，并匹配相应权重；三是针对招商引资业务特点建立适当评价标准，组合使用定性标准与定量标准。</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kern w:val="44"/>
          <w:szCs w:val="32"/>
          <w:highlight w:val="none"/>
        </w:rPr>
      </w:pPr>
      <w:r>
        <w:rPr>
          <w:rFonts w:hint="eastAsia" w:ascii="仿宋" w:hAnsi="仿宋" w:cs="仿宋"/>
          <w:color w:val="auto"/>
          <w:kern w:val="44"/>
          <w:szCs w:val="32"/>
          <w:highlight w:val="none"/>
        </w:rPr>
        <w:t>绩效评价指标构建思路，绩效评价标准是指衡量绩效目标完成程度的尺度。本次评价以高新区经合中心的单位职责和国家招商引资政策导向为基础，结合行业、规模、历史经验和行业评价意见等确定绩效评价标准。本次针对高新区经合中心整体支出绩效评价指标采用的标准包括：计划标准，即以预先制定的目标、计划、预算、定额等数据作为评价的标准；行业标准，即参照国家公布的行业指标数据制定的评价标准；历史标准，指参照同类指标的历史数据制定的评价标准，为体现绩效改进的原则，在可实现的条件下确定相对较高的评价标准；其他经财政部门确认的标准。</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highlight w:val="none"/>
        </w:rPr>
      </w:pPr>
      <w:r>
        <w:rPr>
          <w:rFonts w:hint="eastAsia" w:ascii="仿宋" w:hAnsi="仿宋" w:cs="仿宋"/>
          <w:color w:val="auto"/>
          <w:kern w:val="44"/>
          <w:szCs w:val="32"/>
          <w:highlight w:val="none"/>
        </w:rPr>
        <w:t>绩效评价指标的权重是指标在评价体系中的相对重要程度。权重表示在评价过程中，对评价对象不同侧面重要程度的定量分配，以区别对待各级评价指标在总体评价中的作用。本次绩效评价高新区经合中心绩效办对于部门整体支出绩效评价指标提出了要求，即参照《关于全面实施预算绩效管理的实施意见》（川委发〔2019〕8号）中高新区经合中心部门整体支出绩效评价指标框架来设置本次高新区经合中心部门整体绩效评价指标体系，同时根据我们整体绩效评价的经验结合高新区经合中心实际情况，我方在符合上述文件中高新区经合中心部门整体支出绩效评价指标框架要求的前提下，细化了资金使用配置、目标规划、管理效率、运行成本、履职效能和可持续方面等方面指标权重，根据招商引资的特点针对性强化了指标考核权重。</w:t>
      </w:r>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spacing w:val="-15"/>
          <w:highlight w:val="none"/>
        </w:rPr>
      </w:pPr>
      <w:bookmarkStart w:id="2032" w:name="_Toc26289"/>
      <w:bookmarkStart w:id="2033" w:name="_Toc23904"/>
      <w:bookmarkStart w:id="2034" w:name="_Toc22896"/>
      <w:bookmarkStart w:id="2035" w:name="_Toc20601"/>
      <w:bookmarkStart w:id="2036" w:name="_Toc10312"/>
      <w:bookmarkStart w:id="2037" w:name="_Toc16949"/>
      <w:bookmarkStart w:id="2038" w:name="_Toc9382"/>
      <w:bookmarkStart w:id="2039" w:name="_Toc4431"/>
      <w:bookmarkStart w:id="2040" w:name="_Toc24250"/>
      <w:bookmarkStart w:id="2041" w:name="_Toc26158"/>
      <w:bookmarkStart w:id="2042" w:name="_Toc7"/>
      <w:bookmarkStart w:id="2043" w:name="_Toc9588"/>
      <w:bookmarkStart w:id="2044" w:name="_Toc18090"/>
      <w:bookmarkStart w:id="2045" w:name="_Toc29040"/>
      <w:bookmarkStart w:id="2046" w:name="_Toc22984"/>
      <w:bookmarkStart w:id="2047" w:name="_Toc21615"/>
      <w:r>
        <w:rPr>
          <w:color w:val="auto"/>
          <w:highlight w:val="none"/>
        </w:rPr>
        <w:t>（二）</w:t>
      </w:r>
      <w:r>
        <w:rPr>
          <w:color w:val="auto"/>
          <w:spacing w:val="-15"/>
          <w:highlight w:val="none"/>
        </w:rPr>
        <w:t>评价等级</w:t>
      </w:r>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pPr>
        <w:keepLines w:val="0"/>
        <w:pageBreakBefore w:val="0"/>
        <w:widowControl w:val="0"/>
        <w:shd w:val="clear" w:color="auto" w:fill="FFFFFF"/>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highlight w:val="none"/>
        </w:rPr>
      </w:pPr>
      <w:r>
        <w:rPr>
          <w:rFonts w:hint="eastAsia" w:ascii="仿宋" w:hAnsi="仿宋" w:cs="仿宋"/>
          <w:color w:val="auto"/>
          <w:szCs w:val="32"/>
          <w:highlight w:val="none"/>
          <w:lang w:bidi="ar"/>
        </w:rPr>
        <w:t>根据</w:t>
      </w:r>
      <w:r>
        <w:rPr>
          <w:rFonts w:hint="eastAsia"/>
          <w:color w:val="auto"/>
          <w:highlight w:val="none"/>
        </w:rPr>
        <w:t>部门整体支出绩效评价重点环节和考核要点</w:t>
      </w:r>
      <w:r>
        <w:rPr>
          <w:rFonts w:hint="eastAsia" w:ascii="仿宋" w:hAnsi="仿宋" w:cs="仿宋"/>
          <w:color w:val="auto"/>
          <w:szCs w:val="32"/>
          <w:highlight w:val="none"/>
          <w:lang w:bidi="ar"/>
        </w:rPr>
        <w:t>的要求，结合部门主要职能、部门工作内容以及部门的特点</w:t>
      </w:r>
      <w:r>
        <w:rPr>
          <w:rFonts w:hint="eastAsia" w:ascii="仿宋" w:hAnsi="仿宋" w:cs="仿宋"/>
          <w:color w:val="auto"/>
          <w:highlight w:val="none"/>
        </w:rPr>
        <w:t>，绩效评价小组在与专家组充分沟通的基础上，拟定本次高新区经合中心部门整体支出绩效评价指标体系。高新区经合中心整体支出绩效评价指标体系下设投入、过程、产出和效果4个一级指标、12个二级指标、33个三级指标。</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color w:val="auto"/>
          <w:szCs w:val="32"/>
          <w:highlight w:val="none"/>
        </w:rPr>
      </w:pPr>
      <w:r>
        <w:rPr>
          <w:rFonts w:hint="eastAsia" w:ascii="仿宋" w:hAnsi="仿宋"/>
          <w:color w:val="auto"/>
          <w:szCs w:val="32"/>
          <w:highlight w:val="none"/>
        </w:rPr>
        <w:t>绩效评价结果分4个等级</w:t>
      </w:r>
      <w:r>
        <w:rPr>
          <w:rFonts w:hint="eastAsia" w:ascii="仿宋" w:hAnsi="仿宋" w:cs="仿宋"/>
          <w:color w:val="auto"/>
          <w:szCs w:val="32"/>
          <w:highlight w:val="none"/>
          <w:lang w:bidi="ar"/>
        </w:rPr>
        <w:t>：</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color w:val="auto"/>
          <w:szCs w:val="32"/>
          <w:highlight w:val="none"/>
        </w:rPr>
      </w:pPr>
      <w:r>
        <w:rPr>
          <w:rFonts w:hint="eastAsia" w:ascii="仿宋" w:hAnsi="仿宋" w:cs="仿宋"/>
          <w:color w:val="auto"/>
          <w:szCs w:val="32"/>
          <w:highlight w:val="none"/>
          <w:lang w:bidi="ar"/>
        </w:rPr>
        <w:t>综合得分在90（含）-100分为“优”；</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color w:val="auto"/>
          <w:szCs w:val="32"/>
          <w:highlight w:val="none"/>
        </w:rPr>
      </w:pPr>
      <w:r>
        <w:rPr>
          <w:rFonts w:hint="eastAsia" w:ascii="仿宋" w:hAnsi="仿宋" w:cs="仿宋"/>
          <w:color w:val="auto"/>
          <w:szCs w:val="32"/>
          <w:highlight w:val="none"/>
          <w:lang w:bidi="ar"/>
        </w:rPr>
        <w:t>综合得分在80（含）-90分为“良</w:t>
      </w:r>
      <w:r>
        <w:rPr>
          <w:rFonts w:ascii="仿宋" w:hAnsi="仿宋" w:cs="仿宋"/>
          <w:color w:val="auto"/>
          <w:szCs w:val="32"/>
          <w:highlight w:val="none"/>
          <w:lang w:bidi="ar"/>
        </w:rPr>
        <w:t>”</w:t>
      </w:r>
      <w:r>
        <w:rPr>
          <w:rFonts w:hint="eastAsia" w:ascii="仿宋" w:hAnsi="仿宋" w:cs="仿宋"/>
          <w:color w:val="auto"/>
          <w:szCs w:val="32"/>
          <w:highlight w:val="none"/>
          <w:lang w:bidi="ar"/>
        </w:rPr>
        <w:t>；</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color w:val="auto"/>
          <w:szCs w:val="32"/>
          <w:highlight w:val="none"/>
        </w:rPr>
      </w:pPr>
      <w:r>
        <w:rPr>
          <w:rFonts w:hint="eastAsia" w:ascii="仿宋" w:hAnsi="仿宋" w:cs="仿宋"/>
          <w:color w:val="auto"/>
          <w:szCs w:val="32"/>
          <w:highlight w:val="none"/>
          <w:lang w:bidi="ar"/>
        </w:rPr>
        <w:t>综合得分在60（含）-80分为“中”；</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highlight w:val="none"/>
        </w:rPr>
      </w:pPr>
      <w:r>
        <w:rPr>
          <w:rFonts w:hint="eastAsia" w:ascii="仿宋" w:hAnsi="仿宋" w:cs="仿宋"/>
          <w:color w:val="auto"/>
          <w:szCs w:val="32"/>
          <w:highlight w:val="none"/>
          <w:lang w:bidi="ar"/>
        </w:rPr>
        <w:t>综合得分在60分以下为“差”。</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rPr>
          <w:b w:val="0"/>
          <w:bCs w:val="0"/>
          <w:color w:val="auto"/>
          <w:sz w:val="32"/>
          <w:szCs w:val="32"/>
          <w:highlight w:val="none"/>
        </w:rPr>
      </w:pPr>
      <w:bookmarkStart w:id="2048" w:name="_Toc5488"/>
      <w:bookmarkStart w:id="2049" w:name="_Toc2066"/>
      <w:bookmarkStart w:id="2050" w:name="_Toc25313"/>
      <w:bookmarkStart w:id="2051" w:name="_Toc19348"/>
      <w:bookmarkStart w:id="2052" w:name="_Toc21923"/>
      <w:bookmarkStart w:id="2053" w:name="_Toc12342"/>
      <w:bookmarkStart w:id="2054" w:name="_Toc24970"/>
      <w:bookmarkStart w:id="2055" w:name="_Toc15632"/>
      <w:bookmarkStart w:id="2056" w:name="_Toc3726"/>
      <w:bookmarkStart w:id="2057" w:name="_Toc20792"/>
      <w:bookmarkStart w:id="2058" w:name="_Toc18261"/>
      <w:bookmarkStart w:id="2059" w:name="_Toc22699"/>
      <w:bookmarkStart w:id="2060" w:name="_Toc14421"/>
      <w:bookmarkStart w:id="2061" w:name="_Toc2451"/>
      <w:bookmarkStart w:id="2062" w:name="_Toc21513"/>
      <w:bookmarkStart w:id="2063" w:name="_Toc4536"/>
      <w:bookmarkStart w:id="2064" w:name="_Toc15639"/>
      <w:r>
        <w:rPr>
          <w:b w:val="0"/>
          <w:bCs w:val="0"/>
          <w:color w:val="auto"/>
          <w:sz w:val="32"/>
          <w:szCs w:val="32"/>
          <w:highlight w:val="none"/>
        </w:rPr>
        <w:t>五、评价结论及绩效分析</w:t>
      </w:r>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2065" w:name="_Toc7033"/>
      <w:bookmarkStart w:id="2066" w:name="_Toc31393"/>
      <w:bookmarkStart w:id="2067" w:name="_Toc18923"/>
      <w:bookmarkStart w:id="2068" w:name="_Toc28732"/>
      <w:bookmarkStart w:id="2069" w:name="_Toc31793"/>
      <w:bookmarkStart w:id="2070" w:name="_Toc1749"/>
      <w:bookmarkStart w:id="2071" w:name="_Toc9650"/>
      <w:bookmarkStart w:id="2072" w:name="_Toc16775"/>
      <w:bookmarkStart w:id="2073" w:name="_Toc9348"/>
      <w:bookmarkStart w:id="2074" w:name="_Toc19741"/>
      <w:bookmarkStart w:id="2075" w:name="_Toc5904"/>
      <w:bookmarkStart w:id="2076" w:name="_Toc18502"/>
      <w:bookmarkStart w:id="2077" w:name="_Toc14385"/>
      <w:bookmarkStart w:id="2078" w:name="_Toc13952"/>
      <w:bookmarkStart w:id="2079" w:name="_Toc4364"/>
      <w:bookmarkStart w:id="2080" w:name="_Toc2791"/>
      <w:r>
        <w:rPr>
          <w:color w:val="auto"/>
          <w:highlight w:val="none"/>
        </w:rPr>
        <w:t>（一）</w:t>
      </w:r>
      <w:r>
        <w:rPr>
          <w:color w:val="auto"/>
          <w:spacing w:val="-7"/>
          <w:highlight w:val="none"/>
        </w:rPr>
        <w:t>总体评价情况及</w:t>
      </w:r>
      <w:r>
        <w:rPr>
          <w:color w:val="auto"/>
          <w:highlight w:val="none"/>
        </w:rPr>
        <w:t>评价结论</w:t>
      </w:r>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pPr>
        <w:keepNext w:val="0"/>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snapToGrid/>
          <w:color w:val="auto"/>
          <w:kern w:val="2"/>
          <w:szCs w:val="32"/>
          <w:highlight w:val="none"/>
        </w:rPr>
      </w:pPr>
      <w:r>
        <w:rPr>
          <w:rFonts w:hint="eastAsia" w:ascii="仿宋" w:hAnsi="仿宋" w:cs="仿宋"/>
          <w:snapToGrid/>
          <w:color w:val="auto"/>
          <w:szCs w:val="32"/>
          <w:highlight w:val="none"/>
          <w:lang w:bidi="ar"/>
        </w:rPr>
        <w:t>2023年，高新区经合中心预算资金已在当年全部到位，资金到位率100</w:t>
      </w:r>
      <w:r>
        <w:rPr>
          <w:rFonts w:hint="eastAsia" w:ascii="仿宋" w:hAnsi="仿宋" w:cs="仿宋"/>
          <w:snapToGrid/>
          <w:color w:val="auto"/>
          <w:szCs w:val="32"/>
          <w:highlight w:val="none"/>
          <w:lang w:val="en-US" w:eastAsia="zh-CN" w:bidi="ar"/>
        </w:rPr>
        <w:t>.00</w:t>
      </w:r>
      <w:r>
        <w:rPr>
          <w:rFonts w:hint="eastAsia" w:ascii="仿宋" w:hAnsi="仿宋" w:cs="仿宋"/>
          <w:snapToGrid/>
          <w:color w:val="auto"/>
          <w:szCs w:val="32"/>
          <w:highlight w:val="none"/>
          <w:lang w:bidi="ar"/>
        </w:rPr>
        <w:t>%。并根据资金的预算安排及财政资金使用相关要求在当年全部支付，当年支付率达到100</w:t>
      </w:r>
      <w:r>
        <w:rPr>
          <w:rFonts w:hint="eastAsia" w:ascii="仿宋" w:hAnsi="仿宋" w:cs="仿宋"/>
          <w:snapToGrid/>
          <w:color w:val="auto"/>
          <w:szCs w:val="32"/>
          <w:highlight w:val="none"/>
          <w:lang w:val="en-US" w:eastAsia="zh-CN" w:bidi="ar"/>
        </w:rPr>
        <w:t>.00</w:t>
      </w:r>
      <w:r>
        <w:rPr>
          <w:rFonts w:hint="eastAsia" w:ascii="仿宋" w:hAnsi="仿宋" w:cs="仿宋"/>
          <w:snapToGrid/>
          <w:color w:val="auto"/>
          <w:szCs w:val="32"/>
          <w:highlight w:val="none"/>
          <w:lang w:bidi="ar"/>
        </w:rPr>
        <w:t>%。高新区经合中心开展对园区专项资金预算执行情况，资金下达情况、专款专用情况，资金管理制度健全性，投资环境建设情况、商事服务优化情况、招商引资重大项目扶持政策按期兑现情况</w:t>
      </w:r>
      <w:r>
        <w:rPr>
          <w:rFonts w:hint="eastAsia" w:ascii="仿宋" w:hAnsi="仿宋" w:cs="仿宋"/>
          <w:snapToGrid/>
          <w:color w:val="auto"/>
          <w:szCs w:val="32"/>
          <w:highlight w:val="none"/>
          <w:lang w:eastAsia="zh-CN" w:bidi="ar"/>
        </w:rPr>
        <w:t>，2023</w:t>
      </w:r>
      <w:r>
        <w:rPr>
          <w:rFonts w:hint="eastAsia" w:ascii="仿宋" w:hAnsi="仿宋" w:cs="仿宋"/>
          <w:snapToGrid/>
          <w:color w:val="auto"/>
          <w:szCs w:val="32"/>
          <w:highlight w:val="none"/>
          <w:lang w:bidi="ar"/>
        </w:rPr>
        <w:t>年签约项目推进情况，企业满意度等年度工作任务。总体来说，高新区经合中心完成了部门2023年度工作任务并达到相应的绩效目标，充分发挥了高新区经合中心的职能。但是评价中也发现了高新区经合中心在预算编制、资产管理、制度执行上存在的一些问题。</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rPr>
          <w:rFonts w:hint="eastAsia" w:ascii="仿宋" w:hAnsi="仿宋" w:cs="仿宋"/>
          <w:color w:val="auto"/>
          <w:kern w:val="2"/>
          <w:szCs w:val="24"/>
          <w:highlight w:val="none"/>
        </w:rPr>
      </w:pPr>
      <w:r>
        <w:rPr>
          <w:rFonts w:hint="eastAsia" w:ascii="仿宋" w:hAnsi="仿宋" w:cs="仿宋"/>
          <w:color w:val="auto"/>
          <w:kern w:val="2"/>
          <w:szCs w:val="24"/>
          <w:highlight w:val="none"/>
        </w:rPr>
        <w:t>经综合评议，2023年高新区经合中心整体支出绩效评分为8</w:t>
      </w:r>
      <w:r>
        <w:rPr>
          <w:rFonts w:hint="eastAsia" w:ascii="仿宋" w:hAnsi="仿宋" w:cs="仿宋"/>
          <w:color w:val="auto"/>
          <w:kern w:val="2"/>
          <w:szCs w:val="24"/>
          <w:highlight w:val="none"/>
          <w:lang w:val="en-US" w:eastAsia="zh-CN"/>
        </w:rPr>
        <w:t>5</w:t>
      </w:r>
      <w:r>
        <w:rPr>
          <w:rFonts w:hint="eastAsia" w:ascii="仿宋" w:hAnsi="仿宋" w:cs="仿宋"/>
          <w:color w:val="auto"/>
          <w:kern w:val="2"/>
          <w:szCs w:val="24"/>
          <w:highlight w:val="none"/>
        </w:rPr>
        <w:t>.50分，综合绩效评定结论为“良”。综合评价得分情况如下：</w:t>
      </w:r>
    </w:p>
    <w:p>
      <w:pPr>
        <w:keepNext w:val="0"/>
        <w:keepLines w:val="0"/>
        <w:pageBreakBefore w:val="0"/>
        <w:widowControl w:val="0"/>
        <w:kinsoku/>
        <w:wordWrap/>
        <w:overflowPunct w:val="0"/>
        <w:topLinePunct w:val="0"/>
        <w:autoSpaceDE w:val="0"/>
        <w:autoSpaceDN w:val="0"/>
        <w:bidi w:val="0"/>
        <w:adjustRightInd w:val="0"/>
        <w:snapToGrid w:val="0"/>
        <w:spacing w:before="0" w:after="0" w:afterLines="50" w:line="560" w:lineRule="exact"/>
        <w:ind w:left="0" w:leftChars="0" w:firstLine="562" w:firstLineChars="200"/>
        <w:jc w:val="center"/>
        <w:textAlignment w:val="baseline"/>
        <w:rPr>
          <w:rFonts w:hint="eastAsia" w:ascii="宋体" w:hAnsi="宋体" w:eastAsia="宋体" w:cs="宋体"/>
          <w:b/>
          <w:bCs/>
          <w:iCs/>
          <w:color w:val="auto"/>
          <w:sz w:val="28"/>
          <w:highlight w:val="none"/>
        </w:rPr>
      </w:pPr>
      <w:bookmarkStart w:id="2081" w:name="_Toc518478712"/>
      <w:r>
        <w:rPr>
          <w:rFonts w:hint="eastAsia" w:ascii="宋体" w:hAnsi="宋体" w:eastAsia="宋体" w:cs="宋体"/>
          <w:b/>
          <w:bCs/>
          <w:iCs/>
          <w:color w:val="auto"/>
          <w:sz w:val="28"/>
          <w:highlight w:val="none"/>
        </w:rPr>
        <w:t>综合评价得分情况表</w:t>
      </w:r>
    </w:p>
    <w:tbl>
      <w:tblPr>
        <w:tblStyle w:val="18"/>
        <w:tblW w:w="46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2"/>
        <w:gridCol w:w="1817"/>
        <w:gridCol w:w="2094"/>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tblHeader/>
          <w:jc w:val="center"/>
        </w:trPr>
        <w:tc>
          <w:tcPr>
            <w:tcW w:w="1194"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一级指标</w:t>
            </w:r>
          </w:p>
        </w:tc>
        <w:tc>
          <w:tcPr>
            <w:tcW w:w="1141"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c>
          <w:tcPr>
            <w:tcW w:w="1315"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得分</w:t>
            </w:r>
          </w:p>
        </w:tc>
        <w:tc>
          <w:tcPr>
            <w:tcW w:w="1349"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194"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投入</w:t>
            </w:r>
          </w:p>
        </w:tc>
        <w:tc>
          <w:tcPr>
            <w:tcW w:w="1141"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20.00</w:t>
            </w:r>
          </w:p>
        </w:tc>
        <w:tc>
          <w:tcPr>
            <w:tcW w:w="1315"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1</w:t>
            </w:r>
            <w:r>
              <w:rPr>
                <w:rFonts w:hint="eastAsia" w:ascii="宋体" w:hAnsi="宋体" w:eastAsia="宋体" w:cs="宋体"/>
                <w:color w:val="auto"/>
                <w:sz w:val="24"/>
                <w:szCs w:val="24"/>
                <w:highlight w:val="none"/>
                <w:lang w:val="en-US" w:eastAsia="zh-CN" w:bidi="ar"/>
              </w:rPr>
              <w:t>6</w:t>
            </w:r>
            <w:r>
              <w:rPr>
                <w:rFonts w:hint="eastAsia" w:ascii="宋体" w:hAnsi="宋体" w:eastAsia="宋体" w:cs="宋体"/>
                <w:color w:val="auto"/>
                <w:sz w:val="24"/>
                <w:szCs w:val="24"/>
                <w:highlight w:val="none"/>
                <w:lang w:bidi="ar"/>
              </w:rPr>
              <w:t>.50</w:t>
            </w:r>
          </w:p>
        </w:tc>
        <w:tc>
          <w:tcPr>
            <w:tcW w:w="1349" w:type="pct"/>
            <w:vAlign w:val="center"/>
          </w:tcPr>
          <w:p>
            <w:pPr>
              <w:keepNext w:val="0"/>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
              </w:rPr>
              <w:t>8</w:t>
            </w:r>
            <w:r>
              <w:rPr>
                <w:rFonts w:hint="eastAsia" w:ascii="宋体" w:hAnsi="宋体" w:eastAsia="宋体" w:cs="宋体"/>
                <w:color w:val="auto"/>
                <w:sz w:val="24"/>
                <w:szCs w:val="24"/>
                <w:highlight w:val="none"/>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194"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过程</w:t>
            </w:r>
          </w:p>
        </w:tc>
        <w:tc>
          <w:tcPr>
            <w:tcW w:w="1141"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30.00</w:t>
            </w:r>
          </w:p>
        </w:tc>
        <w:tc>
          <w:tcPr>
            <w:tcW w:w="1315"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.00</w:t>
            </w:r>
          </w:p>
        </w:tc>
        <w:tc>
          <w:tcPr>
            <w:tcW w:w="1349"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7</w:t>
            </w:r>
            <w:r>
              <w:rPr>
                <w:rFonts w:hint="eastAsia" w:ascii="宋体" w:hAnsi="宋体" w:eastAsia="宋体" w:cs="宋体"/>
                <w:color w:val="auto"/>
                <w:sz w:val="24"/>
                <w:szCs w:val="24"/>
                <w:highlight w:val="none"/>
                <w:lang w:val="en-US" w:eastAsia="zh-CN" w:bidi="ar"/>
              </w:rPr>
              <w:t>3</w:t>
            </w:r>
            <w:r>
              <w:rPr>
                <w:rFonts w:hint="eastAsia" w:ascii="宋体" w:hAnsi="宋体" w:eastAsia="宋体" w:cs="宋体"/>
                <w:color w:val="auto"/>
                <w:sz w:val="24"/>
                <w:szCs w:val="24"/>
                <w:highlight w:val="none"/>
                <w:lang w:bidi="ar"/>
              </w:rPr>
              <w:t>.</w:t>
            </w:r>
            <w:r>
              <w:rPr>
                <w:rFonts w:hint="eastAsia" w:ascii="宋体" w:hAnsi="宋体" w:eastAsia="宋体" w:cs="宋体"/>
                <w:color w:val="auto"/>
                <w:sz w:val="24"/>
                <w:szCs w:val="24"/>
                <w:highlight w:val="none"/>
                <w:lang w:val="en-US" w:eastAsia="zh-CN" w:bidi="ar"/>
              </w:rPr>
              <w:t>33</w:t>
            </w:r>
            <w:r>
              <w:rPr>
                <w:rFonts w:hint="eastAsia" w:ascii="宋体" w:hAnsi="宋体" w:eastAsia="宋体" w:cs="宋体"/>
                <w:color w:val="auto"/>
                <w:sz w:val="24"/>
                <w:szCs w:val="24"/>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194"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产出</w:t>
            </w:r>
          </w:p>
        </w:tc>
        <w:tc>
          <w:tcPr>
            <w:tcW w:w="1141"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30.00</w:t>
            </w:r>
          </w:p>
        </w:tc>
        <w:tc>
          <w:tcPr>
            <w:tcW w:w="1315"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27.50</w:t>
            </w:r>
          </w:p>
        </w:tc>
        <w:tc>
          <w:tcPr>
            <w:tcW w:w="1349"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91.67%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194"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效益</w:t>
            </w:r>
          </w:p>
        </w:tc>
        <w:tc>
          <w:tcPr>
            <w:tcW w:w="1141"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20.00</w:t>
            </w:r>
          </w:p>
        </w:tc>
        <w:tc>
          <w:tcPr>
            <w:tcW w:w="1315"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19.50</w:t>
            </w:r>
          </w:p>
        </w:tc>
        <w:tc>
          <w:tcPr>
            <w:tcW w:w="1349"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97.50%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194" w:type="pct"/>
            <w:vAlign w:val="center"/>
          </w:tcPr>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合计</w:t>
            </w:r>
          </w:p>
        </w:tc>
        <w:tc>
          <w:tcPr>
            <w:tcW w:w="1141" w:type="pct"/>
            <w:vAlign w:val="center"/>
          </w:tcPr>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482" w:firstLineChars="200"/>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100.00</w:t>
            </w:r>
          </w:p>
        </w:tc>
        <w:tc>
          <w:tcPr>
            <w:tcW w:w="1315" w:type="pct"/>
            <w:vAlign w:val="center"/>
          </w:tcPr>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482" w:firstLineChars="200"/>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.50</w:t>
            </w:r>
          </w:p>
        </w:tc>
        <w:tc>
          <w:tcPr>
            <w:tcW w:w="1349" w:type="pct"/>
            <w:vAlign w:val="center"/>
          </w:tcPr>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482" w:firstLineChars="200"/>
              <w:jc w:val="both"/>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.50%</w:t>
            </w:r>
          </w:p>
        </w:tc>
      </w:tr>
      <w:bookmarkEnd w:id="2081"/>
    </w:tbl>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spacing w:val="-16"/>
          <w:highlight w:val="none"/>
        </w:rPr>
      </w:pPr>
      <w:bookmarkStart w:id="2082" w:name="_Toc12100"/>
      <w:bookmarkStart w:id="2083" w:name="_Toc5183"/>
      <w:bookmarkStart w:id="2084" w:name="_Toc30601"/>
      <w:bookmarkStart w:id="2085" w:name="_Toc24427"/>
      <w:bookmarkStart w:id="2086" w:name="_Toc32685"/>
      <w:bookmarkStart w:id="2087" w:name="_Toc12990"/>
      <w:bookmarkStart w:id="2088" w:name="_Toc5572"/>
      <w:bookmarkStart w:id="2089" w:name="_Toc22597"/>
      <w:bookmarkStart w:id="2090" w:name="_Toc22229"/>
      <w:bookmarkStart w:id="2091" w:name="_Toc28788"/>
      <w:bookmarkStart w:id="2092" w:name="_Toc11994"/>
      <w:bookmarkStart w:id="2093" w:name="_Toc8545"/>
      <w:bookmarkStart w:id="2094" w:name="_Toc6773"/>
      <w:bookmarkStart w:id="2095" w:name="_Toc13396"/>
      <w:bookmarkStart w:id="2096" w:name="_Toc20156"/>
      <w:bookmarkStart w:id="2097" w:name="_Toc21428"/>
      <w:r>
        <w:rPr>
          <w:color w:val="auto"/>
          <w:highlight w:val="none"/>
        </w:rPr>
        <w:t>（二）</w:t>
      </w:r>
      <w:r>
        <w:rPr>
          <w:color w:val="auto"/>
          <w:spacing w:val="-16"/>
          <w:highlight w:val="none"/>
        </w:rPr>
        <w:t>绩效分析</w:t>
      </w:r>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1.投入指标</w:t>
      </w:r>
    </w:p>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rPr>
          <w:rFonts w:hint="eastAsia" w:ascii="仿宋" w:hAnsi="仿宋" w:cs="仿宋"/>
          <w:color w:val="auto"/>
          <w:szCs w:val="32"/>
          <w:highlight w:val="none"/>
          <w:shd w:val="clear" w:color="auto" w:fill="FFFFFF"/>
        </w:rPr>
      </w:pPr>
      <w:r>
        <w:rPr>
          <w:rFonts w:hint="eastAsia" w:ascii="仿宋" w:hAnsi="仿宋" w:cs="仿宋"/>
          <w:color w:val="auto"/>
          <w:szCs w:val="32"/>
          <w:highlight w:val="none"/>
          <w:shd w:val="clear" w:color="auto" w:fill="FFFFFF"/>
        </w:rPr>
        <w:t>高新区经合中心预算基础信息符合相关规定，基础信息的真实、完整、准确是高新区经合中心预算编制数据重要基础，高新区经合中心预算编制基础是真实、完整、准确的；绩效目标设定基本符合预算管理的要求，设定的绩效目标与高新区经合中心职责相匹配；绩效目标设置绩效指标清晰、明确，大部分绩效指标设置能够做到细化量化可衡量。能够基本满足对高新区经合中心工作绩效的考核要求。绩效指标总体上科学、合理。同时，评价中也发现个别绩效目标设置不够完善，预算绩效目标指标数值设置和考核存在不够科学合理之处。本项投入指标分值20.00分，得分为1</w:t>
      </w:r>
      <w:r>
        <w:rPr>
          <w:rFonts w:hint="eastAsia" w:ascii="仿宋" w:hAnsi="仿宋" w:cs="仿宋"/>
          <w:color w:val="auto"/>
          <w:szCs w:val="32"/>
          <w:highlight w:val="none"/>
          <w:shd w:val="clear" w:color="auto" w:fill="FFFFFF"/>
          <w:lang w:val="en-US" w:eastAsia="zh-CN"/>
        </w:rPr>
        <w:t>6</w:t>
      </w:r>
      <w:r>
        <w:rPr>
          <w:rFonts w:hint="eastAsia" w:ascii="仿宋" w:hAnsi="仿宋" w:cs="仿宋"/>
          <w:color w:val="auto"/>
          <w:szCs w:val="32"/>
          <w:highlight w:val="none"/>
          <w:shd w:val="clear" w:color="auto" w:fill="FFFFFF"/>
        </w:rPr>
        <w:t>.50分，得分率</w:t>
      </w:r>
      <w:r>
        <w:rPr>
          <w:rFonts w:hint="eastAsia" w:ascii="仿宋" w:hAnsi="仿宋" w:cs="仿宋"/>
          <w:color w:val="auto"/>
          <w:szCs w:val="32"/>
          <w:highlight w:val="none"/>
          <w:shd w:val="clear" w:color="auto" w:fill="FFFFFF"/>
          <w:lang w:val="en-US" w:eastAsia="zh-CN"/>
        </w:rPr>
        <w:t>8</w:t>
      </w:r>
      <w:r>
        <w:rPr>
          <w:rFonts w:hint="eastAsia" w:ascii="仿宋" w:hAnsi="仿宋" w:cs="仿宋"/>
          <w:color w:val="auto"/>
          <w:szCs w:val="32"/>
          <w:highlight w:val="none"/>
          <w:shd w:val="clear" w:color="auto" w:fill="FFFFFF"/>
        </w:rPr>
        <w:t>2.50%。评分见下表：</w:t>
      </w:r>
    </w:p>
    <w:p>
      <w:pPr>
        <w:keepNext w:val="0"/>
        <w:keepLines w:val="0"/>
        <w:pageBreakBefore w:val="0"/>
        <w:widowControl w:val="0"/>
        <w:kinsoku/>
        <w:wordWrap/>
        <w:overflowPunct w:val="0"/>
        <w:topLinePunct w:val="0"/>
        <w:autoSpaceDE w:val="0"/>
        <w:autoSpaceDN w:val="0"/>
        <w:bidi w:val="0"/>
        <w:adjustRightInd w:val="0"/>
        <w:snapToGrid w:val="0"/>
        <w:spacing w:after="0" w:afterLines="100" w:line="560" w:lineRule="exact"/>
        <w:ind w:left="0" w:leftChars="0" w:firstLine="2409" w:firstLineChars="1000"/>
        <w:jc w:val="both"/>
        <w:textAlignment w:val="baseline"/>
        <w:rPr>
          <w:rFonts w:hint="eastAsia" w:ascii="宋体" w:hAnsi="宋体" w:eastAsia="宋体" w:cs="宋体"/>
          <w:b/>
          <w:bCs/>
          <w:iCs/>
          <w:color w:val="auto"/>
          <w:sz w:val="24"/>
          <w:szCs w:val="24"/>
          <w:highlight w:val="none"/>
        </w:rPr>
      </w:pPr>
      <w:r>
        <w:rPr>
          <w:rFonts w:hint="eastAsia" w:ascii="宋体" w:hAnsi="宋体" w:eastAsia="宋体" w:cs="宋体"/>
          <w:b/>
          <w:bCs/>
          <w:iCs/>
          <w:color w:val="auto"/>
          <w:sz w:val="24"/>
          <w:szCs w:val="24"/>
          <w:highlight w:val="none"/>
        </w:rPr>
        <w:t>投入指标设定及评分情况表</w:t>
      </w:r>
    </w:p>
    <w:tbl>
      <w:tblPr>
        <w:tblStyle w:val="18"/>
        <w:tblW w:w="50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1411"/>
        <w:gridCol w:w="2985"/>
        <w:gridCol w:w="147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blHeader/>
          <w:jc w:val="center"/>
        </w:trPr>
        <w:tc>
          <w:tcPr>
            <w:tcW w:w="717"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一级指标</w:t>
            </w:r>
          </w:p>
        </w:tc>
        <w:tc>
          <w:tcPr>
            <w:tcW w:w="823"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二级指标</w:t>
            </w: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三级指标</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7" w:type="pct"/>
            <w:vMerge w:val="restart"/>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投入指标（20分）</w:t>
            </w:r>
          </w:p>
        </w:tc>
        <w:tc>
          <w:tcPr>
            <w:tcW w:w="823" w:type="pct"/>
            <w:vMerge w:val="restart"/>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预算编制</w:t>
            </w:r>
          </w:p>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（10分）</w:t>
            </w: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基础信息完整性</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7"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绩效目标符合性</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2.00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7"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绩效指标明确性</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7"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绩效指标科学合理性</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7"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Merge w:val="restart"/>
            <w:vAlign w:val="center"/>
          </w:tcPr>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预算配置</w:t>
            </w:r>
          </w:p>
          <w:p>
            <w:pPr>
              <w:keepLines w:val="0"/>
              <w:pageBreakBefore w:val="0"/>
              <w:widowControl w:val="0"/>
              <w:kinsoku/>
              <w:wordWrap/>
              <w:overflowPunct w:val="0"/>
              <w:topLinePunct w:val="0"/>
              <w:autoSpaceDE w:val="0"/>
              <w:autoSpaceDN w:val="0"/>
              <w:bidi w:val="0"/>
              <w:adjustRightInd w:val="0"/>
              <w:snapToGrid w:val="0"/>
              <w:spacing w:line="24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（10分）</w:t>
            </w: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在职人员控制率</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4.00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717"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三公经费变动率</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val="en-US" w:eastAsia="zh-CN" w:bidi="ar"/>
              </w:rPr>
              <w:t>3</w:t>
            </w:r>
            <w:r>
              <w:rPr>
                <w:rFonts w:hint="eastAsia" w:ascii="宋体" w:hAnsi="宋体" w:eastAsia="宋体" w:cs="宋体"/>
                <w:color w:val="auto"/>
                <w:sz w:val="24"/>
                <w:szCs w:val="24"/>
                <w:highlight w:val="none"/>
                <w:lang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17"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Merge w:val="continue"/>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重点支出安排率</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17"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823"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0" w:firstLineChars="200"/>
              <w:jc w:val="both"/>
              <w:rPr>
                <w:rFonts w:hint="eastAsia" w:ascii="宋体" w:hAnsi="宋体" w:eastAsia="宋体" w:cs="宋体"/>
                <w:color w:val="auto"/>
                <w:sz w:val="24"/>
                <w:szCs w:val="24"/>
                <w:highlight w:val="none"/>
              </w:rPr>
            </w:pPr>
          </w:p>
        </w:tc>
        <w:tc>
          <w:tcPr>
            <w:tcW w:w="1742"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本项分数合计</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textAlignment w:val="center"/>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20.00</w:t>
            </w:r>
          </w:p>
        </w:tc>
        <w:tc>
          <w:tcPr>
            <w:tcW w:w="858" w:type="pct"/>
            <w:vAlign w:val="center"/>
          </w:tcPr>
          <w:p>
            <w:pPr>
              <w:keepLines w:val="0"/>
              <w:pageBreakBefore w:val="0"/>
              <w:widowControl w:val="0"/>
              <w:kinsoku/>
              <w:wordWrap/>
              <w:overflowPunct w:val="0"/>
              <w:topLinePunct w:val="0"/>
              <w:autoSpaceDE w:val="0"/>
              <w:autoSpaceDN w:val="0"/>
              <w:bidi w:val="0"/>
              <w:adjustRightInd w:val="0"/>
              <w:snapToGrid w:val="0"/>
              <w:spacing w:line="240" w:lineRule="auto"/>
              <w:ind w:left="0" w:leftChars="0" w:firstLine="482" w:firstLineChars="200"/>
              <w:jc w:val="both"/>
              <w:textAlignment w:val="center"/>
              <w:rPr>
                <w:rFonts w:hint="eastAsia" w:ascii="宋体" w:hAnsi="宋体" w:eastAsia="宋体" w:cs="宋体"/>
                <w:b/>
                <w:color w:val="auto"/>
                <w:sz w:val="24"/>
                <w:szCs w:val="24"/>
                <w:highlight w:val="none"/>
                <w:lang w:bidi="ar"/>
              </w:rPr>
            </w:pPr>
            <w:r>
              <w:rPr>
                <w:rFonts w:hint="eastAsia" w:ascii="宋体" w:hAnsi="宋体" w:eastAsia="宋体" w:cs="宋体"/>
                <w:b/>
                <w:color w:val="auto"/>
                <w:sz w:val="24"/>
                <w:szCs w:val="24"/>
                <w:highlight w:val="none"/>
                <w:lang w:bidi="ar"/>
              </w:rPr>
              <w:t>1</w:t>
            </w:r>
            <w:r>
              <w:rPr>
                <w:rFonts w:hint="eastAsia" w:ascii="宋体" w:hAnsi="宋体" w:eastAsia="宋体" w:cs="宋体"/>
                <w:b/>
                <w:color w:val="auto"/>
                <w:sz w:val="24"/>
                <w:szCs w:val="24"/>
                <w:highlight w:val="none"/>
                <w:lang w:val="en-US" w:eastAsia="zh-CN" w:bidi="ar"/>
              </w:rPr>
              <w:t>6</w:t>
            </w:r>
            <w:r>
              <w:rPr>
                <w:rFonts w:hint="eastAsia" w:ascii="宋体" w:hAnsi="宋体" w:eastAsia="宋体" w:cs="宋体"/>
                <w:b/>
                <w:color w:val="auto"/>
                <w:sz w:val="24"/>
                <w:szCs w:val="24"/>
                <w:highlight w:val="none"/>
                <w:lang w:bidi="ar"/>
              </w:rPr>
              <w:t>.50</w:t>
            </w:r>
          </w:p>
        </w:tc>
      </w:tr>
    </w:tbl>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ascii="仿宋" w:hAnsi="仿宋" w:cs="仿宋"/>
          <w:color w:val="auto"/>
          <w:sz w:val="32"/>
          <w:szCs w:val="32"/>
          <w:highlight w:val="none"/>
        </w:rPr>
      </w:pPr>
      <w:r>
        <w:rPr>
          <w:rFonts w:hint="eastAsia" w:ascii="仿宋" w:hAnsi="仿宋" w:cs="仿宋"/>
          <w:color w:val="auto"/>
          <w:sz w:val="32"/>
          <w:szCs w:val="32"/>
          <w:highlight w:val="none"/>
        </w:rPr>
        <w:t>（1）预算编制</w:t>
      </w:r>
    </w:p>
    <w:p>
      <w:pPr>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1）基础信息完整性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shd w:val="clear" w:color="auto" w:fill="FFFFFF"/>
        </w:rPr>
        <w:t>高新区经合中心部门预算信息符合相关规定，</w:t>
      </w:r>
      <w:r>
        <w:rPr>
          <w:rFonts w:hint="eastAsia" w:ascii="仿宋" w:hAnsi="仿宋" w:cs="仿宋"/>
          <w:color w:val="auto"/>
          <w:szCs w:val="32"/>
          <w:highlight w:val="none"/>
          <w:shd w:val="clear" w:color="auto" w:fill="FFFFFF"/>
          <w:lang w:eastAsia="zh-CN"/>
        </w:rPr>
        <w:t>并</w:t>
      </w:r>
      <w:r>
        <w:rPr>
          <w:rFonts w:hint="eastAsia" w:ascii="仿宋" w:hAnsi="仿宋" w:cs="仿宋"/>
          <w:color w:val="auto"/>
          <w:szCs w:val="32"/>
          <w:highlight w:val="none"/>
        </w:rPr>
        <w:t>提供了单位基本信息状况，机构设置状况，单位人员状况，部门职能和工作任务情况，提供的单位相关信息资料能够真实、完整，反映单位基本状况和职能所在，能够对预算编制数据的提供支撑和依据。2023年度预算基本支出基本参照单位人员和定额的公用支出来确定本年基本支出预算数额，能够按照单位职能承担高新区经合中心所属的专项项目支出的工作内容。结合相关资料分析来看，高新区经合中心单位预算基础信息符合相关规定，信息资料真实、完整、准确，这些基础信息是高新区经合中心预算编制数据重要基础。总体而言，预算编制基础是真实、完整、准确的。</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2）绩效目标符合性</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ascii="Times New Roman" w:hAnsi="Times New Roman" w:cs="Times New Roman"/>
          <w:snapToGrid/>
          <w:color w:val="auto"/>
          <w:kern w:val="2"/>
          <w:szCs w:val="24"/>
          <w:highlight w:val="none"/>
        </w:rPr>
      </w:pPr>
      <w:r>
        <w:rPr>
          <w:rFonts w:hint="eastAsia" w:ascii="仿宋" w:hAnsi="仿宋" w:cs="仿宋"/>
          <w:color w:val="auto"/>
          <w:szCs w:val="32"/>
          <w:highlight w:val="none"/>
        </w:rPr>
        <w:t>根据《遂宁高新区经济合作中心整体支出绩效目标申报表》，高新区经合中心制定了年度预算总体绩效目标和具体绩效目标。其中总体目标为：一是招引投资亿元以上“3+3+3”产业项目12个，文化旅游项目1个，数字经济项目1个，商贸流通项目1个，医疗康养项目1个。二是完成全年到位省外资金70亿元。</w:t>
      </w:r>
      <w:r>
        <w:rPr>
          <w:rFonts w:hint="eastAsia" w:ascii="仿宋" w:hAnsi="仿宋" w:cs="仿宋"/>
          <w:snapToGrid/>
          <w:color w:val="auto"/>
          <w:szCs w:val="32"/>
          <w:highlight w:val="none"/>
          <w:lang w:bidi="ar"/>
        </w:rPr>
        <w:t>绩效</w:t>
      </w:r>
      <w:r>
        <w:rPr>
          <w:rFonts w:hint="eastAsia" w:ascii="Times New Roman" w:hAnsi="Times New Roman" w:cs="Times New Roman"/>
          <w:snapToGrid/>
          <w:color w:val="auto"/>
          <w:kern w:val="2"/>
          <w:szCs w:val="24"/>
          <w:highlight w:val="none"/>
        </w:rPr>
        <w:t>目标设定符合国家法律法规、国民经济和社会发展总体规划，</w:t>
      </w:r>
      <w:r>
        <w:rPr>
          <w:rFonts w:hint="eastAsia" w:ascii="仿宋" w:hAnsi="仿宋" w:cs="仿宋"/>
          <w:snapToGrid/>
          <w:color w:val="auto"/>
          <w:szCs w:val="32"/>
          <w:highlight w:val="none"/>
          <w:lang w:bidi="ar"/>
        </w:rPr>
        <w:t>与部门三定方案确定的职责相匹配。绩效目标设定基本符合预算管理的要求。</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3）绩效指标明确性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lang w:bidi="ar"/>
        </w:rPr>
      </w:pPr>
      <w:r>
        <w:rPr>
          <w:rFonts w:hint="eastAsia" w:ascii="仿宋" w:hAnsi="仿宋" w:cs="仿宋"/>
          <w:color w:val="auto"/>
          <w:szCs w:val="32"/>
          <w:highlight w:val="none"/>
        </w:rPr>
        <w:t>高新区经合中心制定了年度预算具体绩效目标并设置了各项指标。根据《遂宁高新区经济合作中心整体支出绩效目标申报表》，高新区经合中心在年度绩效总体目标的基础上，从产出数量、质量、社会效益和服务对象满意度等角度细化了各项绩效指标。</w:t>
      </w:r>
      <w:r>
        <w:rPr>
          <w:rFonts w:hint="eastAsia" w:ascii="仿宋" w:hAnsi="仿宋" w:cs="仿宋"/>
          <w:color w:val="auto"/>
          <w:szCs w:val="32"/>
          <w:highlight w:val="none"/>
          <w:lang w:bidi="ar"/>
        </w:rPr>
        <w:t>本部门一级指标分为完成目标、效果指标和满意度指标三大指标，其中，完成目标下设四个二级指标，分别为数量指标、质量指标、时效指标和成本指标；效果指标下设两个二级指标，分别为：社会效益指标和可持续影响指标；满意度指标下设一个二级指标，为满意度指标。三级指标的设置基本做到明确、细致</w:t>
      </w:r>
      <w:r>
        <w:rPr>
          <w:rFonts w:hint="eastAsia" w:ascii="仿宋" w:hAnsi="仿宋" w:eastAsia="仿宋" w:cs="仿宋"/>
          <w:color w:val="auto"/>
          <w:sz w:val="32"/>
          <w:szCs w:val="32"/>
          <w:highlight w:val="none"/>
          <w:lang w:bidi="ar"/>
        </w:rPr>
        <w:t>、细化、量化、可衡量</w:t>
      </w:r>
      <w:r>
        <w:rPr>
          <w:rFonts w:hint="eastAsia" w:ascii="仿宋" w:hAnsi="仿宋" w:eastAsia="仿宋" w:cs="仿宋"/>
          <w:color w:val="auto"/>
          <w:sz w:val="32"/>
          <w:szCs w:val="32"/>
          <w:highlight w:val="none"/>
        </w:rPr>
        <w:t>，比如产出数量指标中分别</w:t>
      </w:r>
      <w:r>
        <w:rPr>
          <w:rFonts w:hint="eastAsia" w:ascii="仿宋" w:hAnsi="仿宋" w:cs="仿宋"/>
          <w:color w:val="auto"/>
          <w:szCs w:val="32"/>
          <w:highlight w:val="none"/>
          <w:lang w:bidi="ar"/>
        </w:rPr>
        <w:t>明确了</w:t>
      </w:r>
      <w:r>
        <w:rPr>
          <w:rFonts w:hint="eastAsia" w:ascii="仿宋" w:hAnsi="仿宋" w:cs="仿宋"/>
          <w:color w:val="auto"/>
          <w:szCs w:val="32"/>
          <w:highlight w:val="none"/>
          <w:lang w:eastAsia="zh-CN" w:bidi="ar"/>
        </w:rPr>
        <w:t>“</w:t>
      </w:r>
      <w:r>
        <w:rPr>
          <w:rFonts w:hint="eastAsia" w:ascii="仿宋" w:hAnsi="仿宋" w:cs="仿宋"/>
          <w:color w:val="auto"/>
          <w:szCs w:val="32"/>
          <w:highlight w:val="none"/>
          <w:lang w:bidi="ar"/>
        </w:rPr>
        <w:t>招商活动签约项目个数21个</w:t>
      </w:r>
      <w:r>
        <w:rPr>
          <w:rFonts w:hint="eastAsia" w:ascii="仿宋" w:hAnsi="仿宋" w:cs="仿宋"/>
          <w:color w:val="auto"/>
          <w:szCs w:val="32"/>
          <w:highlight w:val="none"/>
          <w:lang w:eastAsia="zh-CN" w:bidi="ar"/>
        </w:rPr>
        <w:t>”</w:t>
      </w:r>
      <w:r>
        <w:rPr>
          <w:rFonts w:hint="eastAsia" w:ascii="仿宋" w:hAnsi="仿宋" w:cs="仿宋"/>
          <w:color w:val="auto"/>
          <w:szCs w:val="32"/>
          <w:highlight w:val="none"/>
          <w:lang w:bidi="ar"/>
        </w:rPr>
        <w:t>的数量目标；产出质量指标中</w:t>
      </w:r>
      <w:r>
        <w:rPr>
          <w:rFonts w:hint="eastAsia" w:ascii="仿宋" w:hAnsi="仿宋" w:cs="仿宋"/>
          <w:color w:val="auto"/>
          <w:szCs w:val="32"/>
          <w:highlight w:val="none"/>
          <w:lang w:eastAsia="zh-CN" w:bidi="ar"/>
        </w:rPr>
        <w:t>“签约项目</w:t>
      </w:r>
      <w:r>
        <w:rPr>
          <w:rFonts w:hint="eastAsia" w:ascii="仿宋" w:hAnsi="仿宋" w:cs="仿宋"/>
          <w:color w:val="auto"/>
          <w:szCs w:val="32"/>
          <w:highlight w:val="none"/>
          <w:lang w:bidi="ar"/>
        </w:rPr>
        <w:t>推进开工率≥</w:t>
      </w:r>
      <w:r>
        <w:rPr>
          <w:rFonts w:hint="eastAsia" w:ascii="仿宋" w:hAnsi="仿宋" w:cs="仿宋"/>
          <w:color w:val="auto"/>
          <w:szCs w:val="32"/>
          <w:highlight w:val="none"/>
          <w:lang w:val="en-US" w:eastAsia="zh-CN" w:bidi="ar"/>
        </w:rPr>
        <w:t>90%</w:t>
      </w:r>
      <w:r>
        <w:rPr>
          <w:rFonts w:hint="eastAsia" w:ascii="仿宋" w:hAnsi="仿宋" w:cs="仿宋"/>
          <w:color w:val="auto"/>
          <w:szCs w:val="32"/>
          <w:highlight w:val="none"/>
          <w:lang w:bidi="ar"/>
        </w:rPr>
        <w:t>”等都设置了具体可量化的指标值，评价认为，总体上绩效目标设置绩效指标清晰、细化，大部分绩效指标设置</w:t>
      </w:r>
      <w:r>
        <w:rPr>
          <w:rFonts w:hint="eastAsia" w:ascii="仿宋" w:hAnsi="仿宋" w:cs="仿宋"/>
          <w:color w:val="auto"/>
          <w:szCs w:val="32"/>
          <w:highlight w:val="none"/>
          <w:lang w:eastAsia="zh-CN" w:bidi="ar"/>
        </w:rPr>
        <w:t>做到</w:t>
      </w:r>
      <w:r>
        <w:rPr>
          <w:rFonts w:hint="eastAsia" w:ascii="仿宋" w:hAnsi="仿宋" w:cs="仿宋"/>
          <w:color w:val="auto"/>
          <w:szCs w:val="32"/>
          <w:highlight w:val="none"/>
          <w:lang w:bidi="ar"/>
        </w:rPr>
        <w:t>清晰、目标明确。能够基本满足对高新区经合中心工作绩效的考核要求。</w:t>
      </w:r>
      <w:r>
        <w:rPr>
          <w:rFonts w:hint="eastAsia" w:ascii="仿宋" w:hAnsi="仿宋" w:cs="仿宋"/>
          <w:color w:val="auto"/>
          <w:szCs w:val="32"/>
          <w:highlight w:val="none"/>
          <w:lang w:eastAsia="zh-CN" w:bidi="ar"/>
        </w:rPr>
        <w:t>但也发现个别指标设置</w:t>
      </w:r>
      <w:r>
        <w:rPr>
          <w:rFonts w:hint="eastAsia" w:ascii="仿宋" w:hAnsi="仿宋" w:cs="仿宋"/>
          <w:color w:val="auto"/>
          <w:szCs w:val="32"/>
          <w:highlight w:val="none"/>
          <w:lang w:bidi="ar"/>
        </w:rPr>
        <w:t>未涵盖所有</w:t>
      </w:r>
      <w:r>
        <w:rPr>
          <w:rFonts w:hint="eastAsia" w:ascii="仿宋" w:hAnsi="仿宋" w:cs="仿宋"/>
          <w:color w:val="auto"/>
          <w:szCs w:val="32"/>
          <w:highlight w:val="none"/>
          <w:lang w:eastAsia="zh-CN" w:bidi="ar"/>
        </w:rPr>
        <w:t>设</w:t>
      </w:r>
      <w:r>
        <w:rPr>
          <w:rFonts w:hint="eastAsia" w:ascii="仿宋" w:hAnsi="仿宋" w:cs="仿宋"/>
          <w:color w:val="auto"/>
          <w:szCs w:val="32"/>
          <w:highlight w:val="none"/>
          <w:lang w:bidi="ar"/>
        </w:rPr>
        <w:t>定的质量指标</w:t>
      </w:r>
      <w:r>
        <w:rPr>
          <w:rFonts w:hint="default" w:ascii="仿宋" w:hAnsi="仿宋" w:cs="仿宋"/>
          <w:color w:val="auto"/>
          <w:szCs w:val="32"/>
          <w:highlight w:val="none"/>
          <w:lang w:bidi="ar"/>
        </w:rPr>
        <w:t>，</w:t>
      </w:r>
      <w:r>
        <w:rPr>
          <w:rFonts w:hint="eastAsia" w:ascii="仿宋" w:hAnsi="仿宋" w:cs="仿宋"/>
          <w:color w:val="auto"/>
          <w:szCs w:val="32"/>
          <w:highlight w:val="none"/>
          <w:lang w:eastAsia="zh-CN" w:bidi="ar"/>
        </w:rPr>
        <w:t>如“签约项目</w:t>
      </w:r>
      <w:r>
        <w:rPr>
          <w:rFonts w:hint="eastAsia" w:ascii="仿宋" w:hAnsi="仿宋" w:cs="仿宋"/>
          <w:color w:val="auto"/>
          <w:szCs w:val="32"/>
          <w:highlight w:val="none"/>
          <w:lang w:bidi="ar"/>
        </w:rPr>
        <w:t>推进</w:t>
      </w:r>
      <w:r>
        <w:rPr>
          <w:rFonts w:hint="eastAsia" w:ascii="仿宋" w:hAnsi="仿宋" w:cs="仿宋"/>
          <w:color w:val="auto"/>
          <w:szCs w:val="32"/>
          <w:highlight w:val="none"/>
          <w:lang w:eastAsia="zh-CN" w:bidi="ar"/>
        </w:rPr>
        <w:t>的</w:t>
      </w:r>
      <w:r>
        <w:rPr>
          <w:rFonts w:hint="eastAsia" w:ascii="仿宋" w:hAnsi="仿宋" w:cs="仿宋"/>
          <w:color w:val="auto"/>
          <w:szCs w:val="32"/>
          <w:highlight w:val="none"/>
          <w:lang w:bidi="ar"/>
        </w:rPr>
        <w:t>履约率和投产率</w:t>
      </w:r>
      <w:r>
        <w:rPr>
          <w:rFonts w:hint="eastAsia" w:ascii="仿宋" w:hAnsi="仿宋" w:cs="仿宋"/>
          <w:color w:val="auto"/>
          <w:szCs w:val="32"/>
          <w:highlight w:val="none"/>
          <w:lang w:eastAsia="zh-CN" w:bidi="ar"/>
        </w:rPr>
        <w:t>”</w:t>
      </w:r>
      <w:r>
        <w:rPr>
          <w:rFonts w:hint="eastAsia" w:ascii="仿宋" w:hAnsi="仿宋" w:cs="仿宋"/>
          <w:color w:val="auto"/>
          <w:szCs w:val="32"/>
          <w:highlight w:val="none"/>
          <w:lang w:bidi="ar"/>
        </w:rPr>
        <w:t>，没有将</w:t>
      </w:r>
      <w:r>
        <w:rPr>
          <w:rFonts w:hint="eastAsia" w:ascii="仿宋" w:hAnsi="仿宋" w:cs="仿宋"/>
          <w:color w:val="auto"/>
          <w:szCs w:val="32"/>
          <w:highlight w:val="none"/>
          <w:lang w:eastAsia="zh-CN" w:bidi="ar"/>
        </w:rPr>
        <w:t>“签约项目</w:t>
      </w:r>
      <w:r>
        <w:rPr>
          <w:rFonts w:hint="eastAsia" w:ascii="仿宋" w:hAnsi="仿宋" w:cs="仿宋"/>
          <w:color w:val="auto"/>
          <w:szCs w:val="32"/>
          <w:highlight w:val="none"/>
          <w:lang w:bidi="ar"/>
        </w:rPr>
        <w:t>推进</w:t>
      </w:r>
      <w:r>
        <w:rPr>
          <w:rFonts w:hint="default" w:ascii="仿宋" w:hAnsi="仿宋" w:cs="仿宋"/>
          <w:color w:val="auto"/>
          <w:szCs w:val="32"/>
          <w:highlight w:val="none"/>
          <w:lang w:val="en-US" w:eastAsia="zh-CN" w:bidi="ar"/>
        </w:rPr>
        <w:t>”</w:t>
      </w:r>
      <w:r>
        <w:rPr>
          <w:rFonts w:hint="eastAsia" w:ascii="仿宋" w:hAnsi="仿宋" w:cs="仿宋"/>
          <w:color w:val="auto"/>
          <w:szCs w:val="32"/>
          <w:highlight w:val="none"/>
          <w:lang w:bidi="ar"/>
        </w:rPr>
        <w:t>整体质量目标细化到具体的、可衡量的指标上</w:t>
      </w:r>
      <w:r>
        <w:rPr>
          <w:rFonts w:hint="eastAsia" w:ascii="仿宋" w:hAnsi="仿宋" w:cs="仿宋"/>
          <w:color w:val="auto"/>
          <w:szCs w:val="32"/>
          <w:highlight w:val="none"/>
          <w:lang w:eastAsia="zh-CN" w:bidi="ar"/>
        </w:rPr>
        <w:t>。</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4）绩效指标科学合理性</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高新区经合中心依据整体绩效目标所设定的部门绩效指标总体上科学、合理，能够科学合理地反映和考核高新区经合中心预算绩效指标。绩效指标的设置依据是充分的，与部门职责相匹配，与部门年度的任务和计划相对应，与本年度部门年初预算资金相匹配。但是由于年初预算金额与全年预算金额差异较大，导致事前绩效目标申报情况与事后目标在预算执行考核方面存在不可避免的差异。从基本情况来看，由于年初预算申报审批与实际执行存在较大的偏差，客观上存在年初预算编制的不科学不合理，导致绩效指标的预算金额在科学合理性存在偏差。</w:t>
      </w:r>
    </w:p>
    <w:p>
      <w:pPr>
        <w:pStyle w:val="5"/>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3" w:firstLineChars="200"/>
        <w:jc w:val="both"/>
        <w:textAlignment w:val="baseline"/>
        <w:rPr>
          <w:rFonts w:hint="eastAsia" w:ascii="仿宋" w:hAnsi="仿宋" w:cs="仿宋"/>
          <w:bCs/>
          <w:color w:val="auto"/>
          <w:sz w:val="32"/>
          <w:szCs w:val="32"/>
          <w:highlight w:val="none"/>
        </w:rPr>
      </w:pPr>
      <w:r>
        <w:rPr>
          <w:rFonts w:hint="eastAsia" w:ascii="仿宋" w:hAnsi="仿宋" w:cs="仿宋"/>
          <w:bCs/>
          <w:color w:val="auto"/>
          <w:sz w:val="32"/>
          <w:szCs w:val="32"/>
          <w:highlight w:val="none"/>
        </w:rPr>
        <w:t>（2）预算配置</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1）在职人员控制率</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Cs w:val="32"/>
          <w:highlight w:val="none"/>
          <w:lang w:eastAsia="zh-CN"/>
        </w:rPr>
      </w:pPr>
      <w:r>
        <w:rPr>
          <w:rFonts w:hint="eastAsia" w:ascii="仿宋" w:hAnsi="仿宋" w:cs="仿宋"/>
          <w:color w:val="auto"/>
          <w:szCs w:val="32"/>
          <w:highlight w:val="none"/>
        </w:rPr>
        <w:t>根据高新区机构编制核定高新区经合中心事业编制16名。设主任1名，副主任1名，经过我们实际查看2023年度工资发放和《主要指标变动情况表》的年末实有人数经确定本单位实际在职10人。综上，高新区经合中心事业编制人数总计16人，实际在职人数10人（其中行政人员6人</w:t>
      </w:r>
      <w:r>
        <w:rPr>
          <w:rFonts w:hint="eastAsia" w:ascii="仿宋" w:hAnsi="仿宋" w:cs="仿宋"/>
          <w:color w:val="auto"/>
          <w:szCs w:val="32"/>
          <w:highlight w:val="none"/>
          <w:lang w:eastAsia="zh-CN"/>
        </w:rPr>
        <w:t>，</w:t>
      </w:r>
      <w:r>
        <w:rPr>
          <w:rFonts w:hint="eastAsia" w:ascii="仿宋" w:hAnsi="仿宋" w:cs="仿宋"/>
          <w:color w:val="auto"/>
          <w:szCs w:val="32"/>
          <w:highlight w:val="none"/>
        </w:rPr>
        <w:t>事业人员4人）在职</w:t>
      </w:r>
      <w:r>
        <w:rPr>
          <w:rFonts w:hint="eastAsia" w:ascii="仿宋" w:hAnsi="仿宋" w:cs="仿宋"/>
          <w:color w:val="auto"/>
          <w:szCs w:val="32"/>
          <w:highlight w:val="none"/>
          <w:lang w:eastAsia="zh-CN"/>
        </w:rPr>
        <w:t>人员</w:t>
      </w:r>
      <w:r>
        <w:rPr>
          <w:rFonts w:hint="eastAsia" w:ascii="仿宋" w:hAnsi="仿宋" w:cs="仿宋"/>
          <w:color w:val="auto"/>
          <w:szCs w:val="32"/>
          <w:highlight w:val="none"/>
        </w:rPr>
        <w:t>控制率为62.50%</w:t>
      </w:r>
      <w:r>
        <w:rPr>
          <w:rFonts w:hint="eastAsia" w:ascii="仿宋" w:hAnsi="仿宋" w:cs="仿宋"/>
          <w:color w:val="auto"/>
          <w:szCs w:val="32"/>
          <w:highlight w:val="none"/>
          <w:lang w:eastAsia="zh-CN"/>
        </w:rPr>
        <w:t>。</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2）“三公经费”变动率</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2023年度高新区经合中心“三公经费”实际支出金额为0.00万元，对比</w:t>
      </w:r>
      <w:r>
        <w:rPr>
          <w:rFonts w:hint="eastAsia" w:ascii="仿宋" w:hAnsi="仿宋" w:cs="仿宋"/>
          <w:color w:val="auto"/>
          <w:szCs w:val="32"/>
          <w:highlight w:val="none"/>
          <w:lang w:eastAsia="zh-CN"/>
        </w:rPr>
        <w:t>202</w:t>
      </w:r>
      <w:r>
        <w:rPr>
          <w:rFonts w:hint="eastAsia" w:ascii="仿宋" w:hAnsi="仿宋" w:cs="仿宋"/>
          <w:color w:val="auto"/>
          <w:szCs w:val="32"/>
          <w:highlight w:val="none"/>
          <w:lang w:val="en-US" w:eastAsia="zh-CN"/>
        </w:rPr>
        <w:t>2</w:t>
      </w:r>
      <w:r>
        <w:rPr>
          <w:rFonts w:hint="eastAsia" w:ascii="仿宋" w:hAnsi="仿宋" w:cs="仿宋"/>
          <w:color w:val="auto"/>
          <w:szCs w:val="32"/>
          <w:highlight w:val="none"/>
        </w:rPr>
        <w:t>年度高新区经合中心“三公经费”0.00万元，“三公经费”变动率为0.00%，三公经费控制情况良好。</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color w:val="auto"/>
          <w:szCs w:val="32"/>
          <w:highlight w:val="none"/>
        </w:rPr>
      </w:pPr>
      <w:r>
        <w:rPr>
          <w:rFonts w:hint="eastAsia" w:ascii="仿宋" w:hAnsi="仿宋" w:cs="仿宋"/>
          <w:color w:val="auto"/>
          <w:szCs w:val="32"/>
          <w:highlight w:val="none"/>
        </w:rPr>
        <w:t>3）重点支出安排率</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高新区经合中心2023年度</w:t>
      </w:r>
      <w:r>
        <w:rPr>
          <w:rFonts w:hint="eastAsia" w:ascii="仿宋" w:hAnsi="仿宋" w:cs="仿宋"/>
          <w:color w:val="auto"/>
          <w:szCs w:val="32"/>
          <w:highlight w:val="none"/>
          <w:lang w:bidi="ar"/>
        </w:rPr>
        <w:t>没有涉及遂宁市委政府部署的重点项目预算安排，不涉及重点项目支出</w:t>
      </w:r>
      <w:r>
        <w:rPr>
          <w:rFonts w:hint="eastAsia" w:ascii="仿宋" w:hAnsi="仿宋" w:cs="仿宋"/>
          <w:color w:val="auto"/>
          <w:szCs w:val="32"/>
          <w:highlight w:val="none"/>
        </w:rPr>
        <w:t>。</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2.过程指标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lang w:bidi="ar"/>
        </w:rPr>
      </w:pPr>
      <w:r>
        <w:rPr>
          <w:rFonts w:hint="eastAsia" w:ascii="仿宋" w:hAnsi="仿宋" w:cs="仿宋"/>
          <w:color w:val="auto"/>
          <w:szCs w:val="32"/>
          <w:highlight w:val="none"/>
        </w:rPr>
        <w:t>2023年度，高新区经合中心预算完成率100</w:t>
      </w:r>
      <w:r>
        <w:rPr>
          <w:rFonts w:hint="eastAsia" w:ascii="仿宋" w:hAnsi="仿宋" w:cs="仿宋"/>
          <w:color w:val="auto"/>
          <w:szCs w:val="32"/>
          <w:highlight w:val="none"/>
          <w:lang w:val="en-US" w:eastAsia="zh-CN"/>
        </w:rPr>
        <w:t>.00</w:t>
      </w:r>
      <w:r>
        <w:rPr>
          <w:rFonts w:hint="eastAsia" w:ascii="仿宋" w:hAnsi="仿宋" w:cs="仿宋"/>
          <w:color w:val="auto"/>
          <w:szCs w:val="32"/>
          <w:highlight w:val="none"/>
        </w:rPr>
        <w:t>%，基本完成本年预算支出。2023年高新区经合中心年初预算总额411.04万元，调整后预算总额1</w:t>
      </w:r>
      <w:r>
        <w:rPr>
          <w:rFonts w:hint="eastAsia" w:ascii="仿宋" w:hAnsi="仿宋" w:cs="仿宋"/>
          <w:color w:val="auto"/>
          <w:szCs w:val="32"/>
          <w:highlight w:val="none"/>
          <w:lang w:val="en-US" w:eastAsia="zh-CN"/>
        </w:rPr>
        <w:t>,</w:t>
      </w:r>
      <w:r>
        <w:rPr>
          <w:rFonts w:hint="eastAsia" w:ascii="仿宋" w:hAnsi="仿宋" w:cs="仿宋"/>
          <w:color w:val="auto"/>
          <w:szCs w:val="32"/>
          <w:highlight w:val="none"/>
        </w:rPr>
        <w:t>364.78万元，预算调整953.74万元，调整率232.03%。单位预算支付能够按照支付进度进行，支付进度率100</w:t>
      </w:r>
      <w:r>
        <w:rPr>
          <w:rFonts w:hint="eastAsia" w:ascii="仿宋" w:hAnsi="仿宋" w:cs="仿宋"/>
          <w:color w:val="auto"/>
          <w:szCs w:val="32"/>
          <w:highlight w:val="none"/>
          <w:lang w:val="en-US" w:eastAsia="zh-CN"/>
        </w:rPr>
        <w:t>.00</w:t>
      </w:r>
      <w:r>
        <w:rPr>
          <w:rFonts w:hint="eastAsia" w:ascii="仿宋" w:hAnsi="仿宋" w:cs="仿宋"/>
          <w:color w:val="auto"/>
          <w:szCs w:val="32"/>
          <w:highlight w:val="none"/>
        </w:rPr>
        <w:t>%，能够较好地完成预算资金支付进度。高新区经合中心2023年度三公经费总体控制效果良好。高新区经合中心制定了部分管理制度，但是总体上看管理制度还不够完备和全面，单位内部控制建设有待加强。高新区经合中心支出符合部门预算批复的用途，符合国家财经法规和财务管理制度规定以及有关专项资金管理办法的规定，能够严格实行国库集中支付，预算决算能够按照要求公开公示，会计信息质量控制较好，能够达到客观真实核算和监督单位实际收支的目的，</w:t>
      </w:r>
      <w:r>
        <w:rPr>
          <w:rFonts w:hint="eastAsia" w:ascii="仿宋" w:hAnsi="仿宋" w:cs="仿宋"/>
          <w:color w:val="auto"/>
          <w:szCs w:val="32"/>
          <w:highlight w:val="none"/>
          <w:lang w:bidi="ar"/>
        </w:rPr>
        <w:t>目前尚未建立完善的资产管理制度，导致资产管理存在混乱现象，资产利用率100.00%。</w:t>
      </w:r>
      <w:r>
        <w:rPr>
          <w:rFonts w:hint="eastAsia" w:ascii="仿宋" w:hAnsi="仿宋" w:cs="仿宋"/>
          <w:color w:val="auto"/>
          <w:szCs w:val="32"/>
          <w:highlight w:val="none"/>
          <w:shd w:val="clear" w:color="auto" w:fill="FFFFFF"/>
        </w:rPr>
        <w:t>本项过程指标分值30.00分，得分为2</w:t>
      </w:r>
      <w:r>
        <w:rPr>
          <w:rFonts w:hint="eastAsia" w:ascii="仿宋" w:hAnsi="仿宋" w:cs="仿宋"/>
          <w:color w:val="auto"/>
          <w:szCs w:val="32"/>
          <w:highlight w:val="none"/>
          <w:shd w:val="clear" w:color="auto" w:fill="FFFFFF"/>
          <w:lang w:val="en-US" w:eastAsia="zh-CN"/>
        </w:rPr>
        <w:t>2</w:t>
      </w:r>
      <w:r>
        <w:rPr>
          <w:rFonts w:hint="eastAsia" w:ascii="仿宋" w:hAnsi="仿宋" w:cs="仿宋"/>
          <w:color w:val="auto"/>
          <w:szCs w:val="32"/>
          <w:highlight w:val="none"/>
          <w:shd w:val="clear" w:color="auto" w:fill="FFFFFF"/>
        </w:rPr>
        <w:t>.00分，得分率76.67%。评分见下表：</w:t>
      </w:r>
    </w:p>
    <w:p>
      <w:pPr>
        <w:keepLines w:val="0"/>
        <w:pageBreakBefore w:val="0"/>
        <w:widowControl w:val="0"/>
        <w:kinsoku/>
        <w:wordWrap/>
        <w:overflowPunct w:val="0"/>
        <w:topLinePunct w:val="0"/>
        <w:autoSpaceDE w:val="0"/>
        <w:autoSpaceDN w:val="0"/>
        <w:bidi w:val="0"/>
        <w:spacing w:line="560" w:lineRule="exact"/>
        <w:ind w:left="0" w:leftChars="0" w:firstLine="562" w:firstLineChars="200"/>
        <w:jc w:val="center"/>
        <w:outlineLvl w:val="3"/>
        <w:rPr>
          <w:rFonts w:hint="eastAsia" w:ascii="宋体" w:hAnsi="宋体" w:eastAsia="宋体" w:cs="宋体"/>
          <w:b/>
          <w:bCs/>
          <w:iCs/>
          <w:color w:val="auto"/>
          <w:sz w:val="28"/>
          <w:highlight w:val="none"/>
        </w:rPr>
      </w:pPr>
      <w:r>
        <w:rPr>
          <w:rFonts w:hint="eastAsia" w:ascii="宋体" w:hAnsi="宋体" w:eastAsia="宋体" w:cs="宋体"/>
          <w:b/>
          <w:bCs/>
          <w:iCs/>
          <w:color w:val="auto"/>
          <w:sz w:val="28"/>
          <w:highlight w:val="none"/>
        </w:rPr>
        <w:t>过程指标设定及评分情况表</w:t>
      </w:r>
    </w:p>
    <w:tbl>
      <w:tblPr>
        <w:tblStyle w:val="19"/>
        <w:tblpPr w:leftFromText="180" w:rightFromText="180" w:vertAnchor="text" w:horzAnchor="page" w:tblpX="1560" w:tblpY="301"/>
        <w:tblOverlap w:val="never"/>
        <w:tblW w:w="8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6"/>
        <w:gridCol w:w="1336"/>
        <w:gridCol w:w="3404"/>
        <w:gridCol w:w="146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一级指标</w:t>
            </w:r>
          </w:p>
        </w:tc>
        <w:tc>
          <w:tcPr>
            <w:tcW w:w="1327" w:type="dxa"/>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二级指标</w:t>
            </w: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三级指标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分值</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restart"/>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过程指标</w:t>
            </w:r>
          </w:p>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（30分）</w:t>
            </w:r>
          </w:p>
        </w:tc>
        <w:tc>
          <w:tcPr>
            <w:tcW w:w="1327" w:type="dxa"/>
            <w:vMerge w:val="restart"/>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预算执行</w:t>
            </w:r>
          </w:p>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（14分）</w:t>
            </w: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预算完成率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预算调整率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支付进度率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结转结余率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公用经费控制率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val="en-US" w:eastAsia="zh-CN" w:bidi="ar"/>
              </w:rPr>
              <w:t>1</w:t>
            </w:r>
            <w:r>
              <w:rPr>
                <w:rFonts w:hint="eastAsia" w:ascii="宋体" w:hAnsi="宋体" w:eastAsia="宋体" w:cs="宋体"/>
                <w:b w:val="0"/>
                <w:bCs/>
                <w:snapToGrid w:val="0"/>
                <w:color w:val="auto"/>
                <w:sz w:val="24"/>
                <w:szCs w:val="24"/>
                <w:highlight w:val="none"/>
                <w:lang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三公经费控制率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政府采购执行率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p>
        </w:tc>
        <w:tc>
          <w:tcPr>
            <w:tcW w:w="1327" w:type="dxa"/>
            <w:vMerge w:val="restart"/>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预算管理</w:t>
            </w:r>
          </w:p>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（10分）</w:t>
            </w: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管理制度健全性和执行性</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资金使用合规性</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预决算信息公开性</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政府购买服务执行情况</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财务信息完善性</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restart"/>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资产管理</w:t>
            </w:r>
          </w:p>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（6分）</w:t>
            </w:r>
          </w:p>
        </w:tc>
        <w:tc>
          <w:tcPr>
            <w:tcW w:w="3413" w:type="dxa"/>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管理制度健全合规性和执行度</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资产管理规范性</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固定资产利用率</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36"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132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b w:val="0"/>
                <w:bCs/>
                <w:snapToGrid w:val="0"/>
                <w:color w:val="auto"/>
                <w:sz w:val="24"/>
                <w:szCs w:val="24"/>
                <w:highlight w:val="none"/>
              </w:rPr>
            </w:pPr>
          </w:p>
        </w:tc>
        <w:tc>
          <w:tcPr>
            <w:tcW w:w="3413"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b w:val="0"/>
                <w:bCs/>
                <w:snapToGrid w:val="0"/>
                <w:color w:val="auto"/>
                <w:sz w:val="24"/>
                <w:szCs w:val="24"/>
                <w:highlight w:val="none"/>
              </w:rPr>
            </w:pPr>
            <w:r>
              <w:rPr>
                <w:rFonts w:hint="eastAsia" w:ascii="宋体" w:hAnsi="宋体" w:eastAsia="宋体" w:cs="宋体"/>
                <w:b w:val="0"/>
                <w:bCs/>
                <w:snapToGrid w:val="0"/>
                <w:color w:val="auto"/>
                <w:sz w:val="24"/>
                <w:szCs w:val="24"/>
                <w:highlight w:val="none"/>
              </w:rPr>
              <w:t>本项分数合计</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30.00</w:t>
            </w:r>
          </w:p>
        </w:tc>
        <w:tc>
          <w:tcPr>
            <w:tcW w:w="1461"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textAlignment w:val="center"/>
              <w:rPr>
                <w:rFonts w:hint="eastAsia" w:ascii="宋体" w:hAnsi="宋体" w:eastAsia="宋体" w:cs="宋体"/>
                <w:b w:val="0"/>
                <w:bCs/>
                <w:snapToGrid w:val="0"/>
                <w:color w:val="auto"/>
                <w:sz w:val="24"/>
                <w:szCs w:val="24"/>
                <w:highlight w:val="none"/>
                <w:lang w:eastAsia="zh-CN"/>
              </w:rPr>
            </w:pPr>
            <w:r>
              <w:rPr>
                <w:rFonts w:hint="eastAsia" w:ascii="宋体" w:hAnsi="宋体" w:eastAsia="宋体" w:cs="宋体"/>
                <w:b w:val="0"/>
                <w:bCs/>
                <w:snapToGrid w:val="0"/>
                <w:color w:val="auto"/>
                <w:sz w:val="24"/>
                <w:szCs w:val="24"/>
                <w:highlight w:val="none"/>
                <w:lang w:bidi="ar"/>
              </w:rPr>
              <w:t>2</w:t>
            </w:r>
            <w:r>
              <w:rPr>
                <w:rFonts w:hint="eastAsia" w:ascii="宋体" w:hAnsi="宋体" w:eastAsia="宋体" w:cs="宋体"/>
                <w:b w:val="0"/>
                <w:bCs/>
                <w:snapToGrid w:val="0"/>
                <w:color w:val="auto"/>
                <w:sz w:val="24"/>
                <w:szCs w:val="24"/>
                <w:highlight w:val="none"/>
                <w:lang w:val="en-US" w:eastAsia="zh-CN" w:bidi="ar"/>
              </w:rPr>
              <w:t>2</w:t>
            </w:r>
            <w:r>
              <w:rPr>
                <w:rFonts w:hint="eastAsia" w:ascii="宋体" w:hAnsi="宋体" w:eastAsia="宋体" w:cs="宋体"/>
                <w:b w:val="0"/>
                <w:bCs/>
                <w:snapToGrid w:val="0"/>
                <w:color w:val="auto"/>
                <w:sz w:val="24"/>
                <w:szCs w:val="24"/>
                <w:highlight w:val="none"/>
                <w:lang w:bidi="ar"/>
              </w:rPr>
              <w:t>.00</w:t>
            </w:r>
          </w:p>
        </w:tc>
      </w:tr>
    </w:tbl>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（1）预算执行</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1）预算完成率</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本项考核高新区经合中心部门本年度预算调整数与预算数的比率，用以评价该部门预算的调整程度。本项考核高新区经合中心部门本年度预算完成数与预算数的比率，用以反映和考核部门（单位）预算完成程度。</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2023年度高新区经合中心的年初预算数额为411.04万元。经过后续预算调整，最终确定的预算金额为1,364.78万元。</w:t>
      </w:r>
      <w:r>
        <w:rPr>
          <w:rFonts w:hint="eastAsia" w:ascii="仿宋" w:hAnsi="仿宋" w:eastAsia="仿宋" w:cs="仿宋"/>
          <w:color w:val="auto"/>
          <w:sz w:val="32"/>
          <w:szCs w:val="32"/>
          <w:highlight w:val="none"/>
          <w:lang w:val="en-US" w:eastAsia="zh-CN"/>
        </w:rPr>
        <w:t>2023</w:t>
      </w:r>
      <w:r>
        <w:rPr>
          <w:rFonts w:hint="eastAsia" w:ascii="仿宋" w:hAnsi="仿宋" w:eastAsia="仿宋" w:cs="仿宋"/>
          <w:color w:val="auto"/>
          <w:sz w:val="32"/>
          <w:szCs w:val="32"/>
          <w:highlight w:val="none"/>
          <w:lang w:eastAsia="zh-CN"/>
        </w:rPr>
        <w:t>年的实际支出为1,364.78万元，与调整后的预算数额完全一致，预算执行率达到100</w:t>
      </w:r>
      <w:r>
        <w:rPr>
          <w:rFonts w:hint="eastAsia" w:ascii="仿宋" w:hAnsi="仿宋" w:eastAsia="仿宋" w:cs="仿宋"/>
          <w:color w:val="auto"/>
          <w:sz w:val="32"/>
          <w:szCs w:val="32"/>
          <w:highlight w:val="none"/>
          <w:lang w:val="en-US" w:eastAsia="zh-CN"/>
        </w:rPr>
        <w:t>.00</w:t>
      </w:r>
      <w:r>
        <w:rPr>
          <w:rFonts w:hint="eastAsia" w:ascii="仿宋" w:hAnsi="仿宋" w:eastAsia="仿宋" w:cs="仿宋"/>
          <w:color w:val="auto"/>
          <w:sz w:val="32"/>
          <w:szCs w:val="32"/>
          <w:highlight w:val="none"/>
          <w:lang w:eastAsia="zh-CN"/>
        </w:rPr>
        <w:t>%。</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2）预算调整率</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本项考核高新区经合中心部门本年度预算调整数与预算数的比率，用以评价该部门预算的调整程度。</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根据2023年高新区经合中心《年度部门预算表》，年初预算数为411.04万元，预算调整数953.74万元，预算调整率</w:t>
      </w:r>
      <w:r>
        <w:rPr>
          <w:rFonts w:hint="eastAsia" w:ascii="仿宋" w:hAnsi="仿宋" w:eastAsia="仿宋" w:cs="仿宋"/>
          <w:color w:val="auto"/>
          <w:sz w:val="32"/>
          <w:szCs w:val="32"/>
          <w:highlight w:val="none"/>
          <w:shd w:val="clear" w:color="auto" w:fill="FDFDFE"/>
        </w:rPr>
        <w:t>232.03%</w:t>
      </w:r>
      <w:r>
        <w:rPr>
          <w:rFonts w:hint="eastAsia" w:ascii="仿宋" w:hAnsi="仿宋" w:eastAsia="仿宋" w:cs="仿宋"/>
          <w:color w:val="auto"/>
          <w:sz w:val="32"/>
          <w:szCs w:val="32"/>
          <w:highlight w:val="none"/>
        </w:rPr>
        <w:t>。调整幅度较大，主要原因是兑现企业补偿金和土地款。</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3）支付进度率</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kern w:val="0"/>
          <w:sz w:val="32"/>
          <w:szCs w:val="32"/>
          <w:highlight w:val="none"/>
          <w:shd w:val="clear" w:color="auto" w:fill="FFFFFF"/>
        </w:rPr>
        <w:t>本项考核高新区经合中心部门本年度实际支付进度与年度序时付进度比率，用以评价该部门预算的及时性和均衡性程度对本年度结转结余资金的实际控制程度，</w:t>
      </w:r>
      <w:r>
        <w:rPr>
          <w:rFonts w:hint="eastAsia" w:ascii="仿宋" w:hAnsi="仿宋" w:eastAsia="仿宋" w:cs="仿宋"/>
          <w:color w:val="auto"/>
          <w:sz w:val="32"/>
          <w:szCs w:val="32"/>
          <w:highlight w:val="none"/>
        </w:rPr>
        <w:t>经查看2023年6月、9月和11月的账目和资金支付情况，支付</w:t>
      </w:r>
      <w:r>
        <w:rPr>
          <w:rFonts w:hint="eastAsia" w:ascii="仿宋" w:hAnsi="仿宋" w:eastAsia="仿宋" w:cs="仿宋"/>
          <w:color w:val="auto"/>
          <w:sz w:val="32"/>
          <w:szCs w:val="32"/>
          <w:highlight w:val="none"/>
          <w:lang w:eastAsia="zh-CN"/>
        </w:rPr>
        <w:t>进度</w:t>
      </w:r>
      <w:r>
        <w:rPr>
          <w:rFonts w:hint="eastAsia" w:ascii="仿宋" w:hAnsi="仿宋" w:eastAsia="仿宋" w:cs="仿宋"/>
          <w:color w:val="auto"/>
          <w:sz w:val="32"/>
          <w:szCs w:val="32"/>
          <w:highlight w:val="none"/>
        </w:rPr>
        <w:t>率分别为49.40%、54.01%、56.09%。总体而言，上半年支付进度相对滞后但是</w:t>
      </w:r>
      <w:r>
        <w:rPr>
          <w:rFonts w:hint="eastAsia" w:ascii="仿宋" w:hAnsi="仿宋" w:eastAsia="仿宋" w:cs="仿宋"/>
          <w:color w:val="auto"/>
          <w:sz w:val="32"/>
          <w:szCs w:val="32"/>
          <w:highlight w:val="none"/>
          <w:lang w:eastAsia="zh-CN"/>
        </w:rPr>
        <w:t>全年</w:t>
      </w:r>
      <w:r>
        <w:rPr>
          <w:rFonts w:hint="eastAsia" w:ascii="仿宋" w:hAnsi="仿宋" w:eastAsia="仿宋" w:cs="仿宋"/>
          <w:color w:val="auto"/>
          <w:sz w:val="32"/>
          <w:szCs w:val="32"/>
          <w:highlight w:val="none"/>
        </w:rPr>
        <w:t>总体进度执行能够与时间线相匹配，</w:t>
      </w:r>
      <w:r>
        <w:rPr>
          <w:rFonts w:hint="eastAsia" w:ascii="仿宋" w:hAnsi="仿宋" w:eastAsia="仿宋" w:cs="仿宋"/>
          <w:color w:val="auto"/>
          <w:sz w:val="32"/>
          <w:szCs w:val="32"/>
          <w:highlight w:val="none"/>
          <w:lang w:val="en-US" w:eastAsia="zh-CN"/>
        </w:rPr>
        <w:t>2023年，</w:t>
      </w:r>
      <w:r>
        <w:rPr>
          <w:rFonts w:hint="eastAsia" w:ascii="仿宋" w:hAnsi="仿宋" w:eastAsia="仿宋" w:cs="仿宋"/>
          <w:color w:val="auto"/>
          <w:sz w:val="32"/>
          <w:szCs w:val="32"/>
          <w:highlight w:val="none"/>
        </w:rPr>
        <w:t>总体</w:t>
      </w:r>
      <w:r>
        <w:rPr>
          <w:rFonts w:hint="eastAsia" w:ascii="仿宋" w:hAnsi="仿宋" w:eastAsia="仿宋" w:cs="仿宋"/>
          <w:color w:val="auto"/>
          <w:sz w:val="32"/>
          <w:szCs w:val="32"/>
          <w:highlight w:val="none"/>
          <w:lang w:eastAsia="zh-CN"/>
        </w:rPr>
        <w:t>支付</w:t>
      </w:r>
      <w:r>
        <w:rPr>
          <w:rFonts w:hint="eastAsia" w:ascii="仿宋" w:hAnsi="仿宋" w:eastAsia="仿宋" w:cs="仿宋"/>
          <w:color w:val="auto"/>
          <w:sz w:val="32"/>
          <w:szCs w:val="32"/>
          <w:highlight w:val="none"/>
        </w:rPr>
        <w:t>进度执行较好，但是全年分期支付进度情况不均衡，存在前期支付不足、年底大规模支付的情况。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lang w:bidi="ar"/>
        </w:rPr>
      </w:pPr>
      <w:r>
        <w:rPr>
          <w:rFonts w:hint="eastAsia" w:ascii="仿宋" w:hAnsi="仿宋" w:eastAsia="仿宋" w:cs="仿宋"/>
          <w:color w:val="auto"/>
          <w:sz w:val="32"/>
          <w:szCs w:val="32"/>
          <w:highlight w:val="none"/>
          <w:lang w:bidi="ar"/>
        </w:rPr>
        <w:t>4）结转结余率</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本年调整后预算为1</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364.78万元，实际支出1</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364.78万元，执行率100.00%，年底结转和结余数为0.00元。结转结余控制较好，资金使用效率较高，未造成年底资金沉淀和闲置</w:t>
      </w:r>
      <w:r>
        <w:rPr>
          <w:rFonts w:hint="eastAsia" w:ascii="仿宋" w:hAnsi="仿宋" w:eastAsia="仿宋" w:cs="仿宋"/>
          <w:color w:val="auto"/>
          <w:sz w:val="32"/>
          <w:szCs w:val="32"/>
          <w:highlight w:val="none"/>
          <w:lang w:eastAsia="zh-CN"/>
        </w:rPr>
        <w:t>。</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5）公用经费控制率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shd w:val="clear" w:color="auto" w:fill="FFFFFF"/>
        </w:rPr>
      </w:pPr>
      <w:r>
        <w:rPr>
          <w:rFonts w:hint="eastAsia" w:ascii="仿宋" w:hAnsi="仿宋" w:eastAsia="仿宋" w:cs="仿宋"/>
          <w:color w:val="auto"/>
          <w:sz w:val="32"/>
          <w:szCs w:val="32"/>
          <w:highlight w:val="none"/>
          <w:shd w:val="clear" w:color="auto" w:fill="FFFFFF"/>
        </w:rPr>
        <w:t>公用经费控制率考核实际支出的公用经费总额与预算安排的公用经费的比率，反映和考核部门对机构运转成本的实际控制程度。</w:t>
      </w:r>
    </w:p>
    <w:p>
      <w:pPr>
        <w:pStyle w:val="8"/>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napToGrid/>
          <w:color w:val="auto"/>
          <w:sz w:val="32"/>
          <w:szCs w:val="32"/>
          <w:highlight w:val="none"/>
        </w:rPr>
      </w:pPr>
      <w:r>
        <w:rPr>
          <w:rFonts w:hint="eastAsia" w:ascii="仿宋" w:hAnsi="仿宋" w:eastAsia="仿宋" w:cs="仿宋"/>
          <w:color w:val="auto"/>
          <w:sz w:val="32"/>
          <w:szCs w:val="32"/>
          <w:highlight w:val="none"/>
        </w:rPr>
        <w:t>根据2023年高新区经合中心部门2023年度财务账目和决算报表，</w:t>
      </w:r>
      <w:r>
        <w:rPr>
          <w:rFonts w:hint="eastAsia" w:ascii="仿宋" w:hAnsi="仿宋" w:eastAsia="仿宋" w:cs="仿宋"/>
          <w:color w:val="auto"/>
          <w:kern w:val="0"/>
          <w:sz w:val="32"/>
          <w:szCs w:val="32"/>
          <w:highlight w:val="none"/>
          <w:lang w:bidi="ar"/>
        </w:rPr>
        <w:t>本年预算调整后公用经费为</w:t>
      </w:r>
      <w:r>
        <w:rPr>
          <w:rFonts w:hint="eastAsia" w:ascii="仿宋" w:hAnsi="仿宋" w:eastAsia="仿宋" w:cs="仿宋"/>
          <w:color w:val="auto"/>
          <w:sz w:val="32"/>
          <w:szCs w:val="32"/>
          <w:highlight w:val="none"/>
        </w:rPr>
        <w:t>12.40</w:t>
      </w:r>
      <w:r>
        <w:rPr>
          <w:rFonts w:hint="eastAsia" w:ascii="仿宋" w:hAnsi="仿宋" w:eastAsia="仿宋" w:cs="仿宋"/>
          <w:color w:val="auto"/>
          <w:kern w:val="0"/>
          <w:sz w:val="32"/>
          <w:szCs w:val="32"/>
          <w:highlight w:val="none"/>
          <w:shd w:val="clear" w:color="auto" w:fill="FFFFFF"/>
        </w:rPr>
        <w:t>万元</w:t>
      </w:r>
      <w:r>
        <w:rPr>
          <w:rFonts w:hint="eastAsia" w:ascii="仿宋" w:hAnsi="仿宋" w:eastAsia="仿宋" w:cs="仿宋"/>
          <w:color w:val="auto"/>
          <w:sz w:val="32"/>
          <w:szCs w:val="32"/>
          <w:highlight w:val="none"/>
        </w:rPr>
        <w:t>。实际支付数12.40万元，公用经费控制为100</w:t>
      </w:r>
      <w:r>
        <w:rPr>
          <w:rFonts w:hint="eastAsia" w:ascii="仿宋" w:hAnsi="仿宋" w:eastAsia="仿宋" w:cs="仿宋"/>
          <w:color w:val="auto"/>
          <w:sz w:val="32"/>
          <w:szCs w:val="32"/>
          <w:highlight w:val="none"/>
          <w:lang w:val="en-US" w:eastAsia="zh-CN"/>
        </w:rPr>
        <w:t>.00</w:t>
      </w:r>
      <w:r>
        <w:rPr>
          <w:rFonts w:hint="eastAsia" w:ascii="仿宋" w:hAnsi="仿宋" w:eastAsia="仿宋" w:cs="仿宋"/>
          <w:color w:val="auto"/>
          <w:sz w:val="32"/>
          <w:szCs w:val="32"/>
          <w:highlight w:val="none"/>
        </w:rPr>
        <w:t>%，</w:t>
      </w:r>
      <w:r>
        <w:rPr>
          <w:rFonts w:hint="eastAsia" w:ascii="仿宋" w:hAnsi="仿宋" w:eastAsia="仿宋" w:cs="仿宋"/>
          <w:snapToGrid/>
          <w:color w:val="auto"/>
          <w:sz w:val="32"/>
          <w:szCs w:val="32"/>
          <w:highlight w:val="none"/>
        </w:rPr>
        <w:t>公用经费使用整体未超出预算额。</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6）“三公经费”控制率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公经费”控制率考核年度“三公经费”实际支出数与预算安排数的比率，用以评价该部门“三公经费”的实际控制程度。2023年度高新区经合中心“三公经费”年初预算数为1.00万元，其中公务接待费用为1.00万元。后经调整“三公经费”</w:t>
      </w:r>
      <w:r>
        <w:rPr>
          <w:rFonts w:hint="eastAsia" w:ascii="仿宋" w:hAnsi="仿宋" w:eastAsia="仿宋" w:cs="仿宋"/>
          <w:color w:val="auto"/>
          <w:sz w:val="32"/>
          <w:szCs w:val="32"/>
          <w:highlight w:val="none"/>
          <w:lang w:bidi="ar"/>
        </w:rPr>
        <w:t>为0.00万元，本年未发生</w:t>
      </w:r>
      <w:r>
        <w:rPr>
          <w:rFonts w:hint="eastAsia" w:ascii="仿宋" w:hAnsi="仿宋" w:eastAsia="仿宋" w:cs="仿宋"/>
          <w:color w:val="auto"/>
          <w:sz w:val="32"/>
          <w:szCs w:val="32"/>
          <w:highlight w:val="none"/>
        </w:rPr>
        <w:t>“三公经费”</w:t>
      </w:r>
      <w:r>
        <w:rPr>
          <w:rFonts w:hint="eastAsia" w:ascii="仿宋" w:hAnsi="仿宋" w:eastAsia="仿宋" w:cs="仿宋"/>
          <w:color w:val="auto"/>
          <w:sz w:val="32"/>
          <w:szCs w:val="32"/>
          <w:highlight w:val="none"/>
          <w:lang w:bidi="ar"/>
        </w:rPr>
        <w:t>支出，</w:t>
      </w:r>
      <w:r>
        <w:rPr>
          <w:rFonts w:hint="eastAsia" w:ascii="仿宋" w:hAnsi="仿宋" w:eastAsia="仿宋" w:cs="仿宋"/>
          <w:color w:val="auto"/>
          <w:sz w:val="32"/>
          <w:szCs w:val="32"/>
          <w:highlight w:val="none"/>
        </w:rPr>
        <w:t>“三公经费”控制率0.00%，“三公经费”控制良好</w:t>
      </w:r>
      <w:r>
        <w:rPr>
          <w:rFonts w:hint="eastAsia" w:ascii="仿宋" w:hAnsi="仿宋" w:eastAsia="仿宋" w:cs="仿宋"/>
          <w:color w:val="auto"/>
          <w:sz w:val="32"/>
          <w:szCs w:val="32"/>
          <w:highlight w:val="none"/>
          <w:lang w:bidi="ar"/>
        </w:rPr>
        <w:t>。</w:t>
      </w:r>
    </w:p>
    <w:p>
      <w:pPr>
        <w:keepLines w:val="0"/>
        <w:pageBreakBefore w:val="0"/>
        <w:widowControl w:val="0"/>
        <w:tabs>
          <w:tab w:val="left" w:pos="312"/>
        </w:tabs>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7）政府采购执行率</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2023年高新区经合中心批复预算情况，2023年度不涉及政府采购预算。</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（2）预算管理</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outlineLvl w:val="4"/>
        <w:rPr>
          <w:rFonts w:hint="eastAsia" w:ascii="仿宋" w:hAnsi="仿宋" w:eastAsia="仿宋" w:cs="仿宋"/>
          <w:snapToGrid/>
          <w:color w:val="auto"/>
          <w:kern w:val="2"/>
          <w:sz w:val="32"/>
          <w:szCs w:val="32"/>
          <w:highlight w:val="none"/>
        </w:rPr>
      </w:pPr>
      <w:r>
        <w:rPr>
          <w:rFonts w:hint="eastAsia" w:ascii="仿宋" w:hAnsi="仿宋" w:eastAsia="仿宋" w:cs="仿宋"/>
          <w:color w:val="auto"/>
          <w:sz w:val="32"/>
          <w:szCs w:val="32"/>
          <w:highlight w:val="none"/>
        </w:rPr>
        <w:t>1）</w:t>
      </w:r>
      <w:r>
        <w:rPr>
          <w:rFonts w:hint="eastAsia" w:ascii="仿宋" w:hAnsi="仿宋" w:eastAsia="仿宋" w:cs="仿宋"/>
          <w:snapToGrid/>
          <w:color w:val="auto"/>
          <w:kern w:val="2"/>
          <w:sz w:val="32"/>
          <w:szCs w:val="32"/>
          <w:highlight w:val="none"/>
        </w:rPr>
        <w:t>管理制度健全性和执行性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Style w:val="24"/>
          <w:rFonts w:hint="eastAsia" w:ascii="仿宋" w:hAnsi="仿宋" w:eastAsia="仿宋" w:cs="仿宋"/>
          <w:color w:val="auto"/>
          <w:kern w:val="2"/>
          <w:sz w:val="32"/>
          <w:szCs w:val="32"/>
          <w:highlight w:val="none"/>
        </w:rPr>
      </w:pPr>
      <w:r>
        <w:rPr>
          <w:rFonts w:hint="eastAsia" w:ascii="仿宋" w:hAnsi="仿宋" w:eastAsia="仿宋" w:cs="仿宋"/>
          <w:color w:val="auto"/>
          <w:sz w:val="32"/>
          <w:szCs w:val="32"/>
          <w:highlight w:val="none"/>
        </w:rPr>
        <w:t>为规范各个业务环节的管理，高新区经合中心制定了《遂宁高新区经济合作中心财务管理制度（试行）》等相关管理制度，其他管理方面参照</w:t>
      </w:r>
      <w:r>
        <w:rPr>
          <w:rFonts w:hint="eastAsia" w:ascii="仿宋" w:hAnsi="仿宋" w:eastAsia="仿宋" w:cs="仿宋"/>
          <w:color w:val="auto"/>
          <w:sz w:val="32"/>
          <w:szCs w:val="32"/>
          <w:highlight w:val="none"/>
          <w:lang w:bidi="ar"/>
        </w:rPr>
        <w:t>《遂宁高新区财政性资金使用管理暂行办法（试行）》</w:t>
      </w:r>
      <w:r>
        <w:rPr>
          <w:rFonts w:hint="eastAsia" w:ascii="仿宋" w:hAnsi="仿宋" w:eastAsia="仿宋" w:cs="仿宋"/>
          <w:color w:val="auto"/>
          <w:sz w:val="32"/>
          <w:szCs w:val="32"/>
          <w:highlight w:val="none"/>
          <w:shd w:val="clear" w:color="auto" w:fill="FFFFFF"/>
        </w:rPr>
        <w:t>《遂宁市高新区区级预算绩效目标管理办法》</w:t>
      </w:r>
      <w:r>
        <w:rPr>
          <w:rFonts w:hint="eastAsia" w:ascii="仿宋" w:hAnsi="仿宋" w:eastAsia="仿宋" w:cs="仿宋"/>
          <w:color w:val="auto"/>
          <w:sz w:val="32"/>
          <w:szCs w:val="32"/>
          <w:highlight w:val="none"/>
          <w:lang w:bidi="ar"/>
        </w:rPr>
        <w:t>等制度执行。</w:t>
      </w:r>
      <w:r>
        <w:rPr>
          <w:rFonts w:hint="eastAsia" w:ascii="仿宋" w:hAnsi="仿宋" w:eastAsia="仿宋" w:cs="仿宋"/>
          <w:color w:val="auto"/>
          <w:sz w:val="32"/>
          <w:szCs w:val="32"/>
          <w:highlight w:val="none"/>
        </w:rPr>
        <w:t>同时发现存在未按照制度规定执行的情况，</w:t>
      </w:r>
      <w:r>
        <w:rPr>
          <w:rFonts w:hint="eastAsia" w:ascii="仿宋" w:hAnsi="仿宋" w:eastAsia="仿宋" w:cs="仿宋"/>
          <w:color w:val="auto"/>
          <w:sz w:val="32"/>
          <w:szCs w:val="32"/>
          <w:highlight w:val="none"/>
          <w:lang w:eastAsia="zh-CN"/>
        </w:rPr>
        <w:t>如</w:t>
      </w:r>
      <w:r>
        <w:rPr>
          <w:rFonts w:hint="eastAsia" w:ascii="仿宋" w:hAnsi="仿宋" w:eastAsia="仿宋" w:cs="仿宋"/>
          <w:color w:val="auto"/>
          <w:sz w:val="32"/>
          <w:szCs w:val="32"/>
          <w:highlight w:val="none"/>
        </w:rPr>
        <w:t>个别采购</w:t>
      </w:r>
      <w:r>
        <w:rPr>
          <w:rFonts w:hint="eastAsia" w:ascii="仿宋" w:hAnsi="仿宋" w:eastAsia="仿宋" w:cs="仿宋"/>
          <w:color w:val="auto"/>
          <w:sz w:val="32"/>
          <w:szCs w:val="32"/>
          <w:highlight w:val="none"/>
          <w:lang w:eastAsia="zh-CN"/>
        </w:rPr>
        <w:t>服务</w:t>
      </w:r>
      <w:r>
        <w:rPr>
          <w:rFonts w:hint="eastAsia" w:ascii="仿宋" w:hAnsi="仿宋" w:eastAsia="仿宋" w:cs="仿宋"/>
          <w:color w:val="auto"/>
          <w:sz w:val="32"/>
          <w:szCs w:val="32"/>
          <w:highlight w:val="none"/>
        </w:rPr>
        <w:t>没有通过必要的采购程序和集体决议直接确定供应商</w:t>
      </w:r>
      <w:r>
        <w:rPr>
          <w:rStyle w:val="24"/>
          <w:rFonts w:hint="eastAsia" w:ascii="仿宋" w:hAnsi="仿宋" w:eastAsia="仿宋" w:cs="仿宋"/>
          <w:color w:val="auto"/>
          <w:kern w:val="2"/>
          <w:sz w:val="32"/>
          <w:szCs w:val="32"/>
          <w:highlight w:val="none"/>
        </w:rPr>
        <w:t>。</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outlineLvl w:val="4"/>
        <w:rPr>
          <w:rFonts w:hint="eastAsia" w:ascii="仿宋" w:hAnsi="仿宋" w:eastAsia="仿宋" w:cs="仿宋"/>
          <w:color w:val="auto"/>
          <w:sz w:val="32"/>
          <w:szCs w:val="32"/>
          <w:highlight w:val="none"/>
        </w:rPr>
      </w:pPr>
      <w:r>
        <w:rPr>
          <w:rFonts w:hint="eastAsia" w:ascii="仿宋" w:hAnsi="仿宋" w:eastAsia="仿宋" w:cs="仿宋"/>
          <w:snapToGrid/>
          <w:color w:val="auto"/>
          <w:kern w:val="2"/>
          <w:sz w:val="32"/>
          <w:szCs w:val="32"/>
          <w:highlight w:val="none"/>
        </w:rPr>
        <w:t>2）资金使用合规性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contextualSpacing/>
        <w:jc w:val="both"/>
        <w:textAlignment w:val="auto"/>
        <w:rPr>
          <w:rFonts w:hint="eastAsia" w:ascii="仿宋" w:hAnsi="仿宋" w:eastAsia="仿宋" w:cs="仿宋"/>
          <w:color w:val="auto"/>
          <w:sz w:val="32"/>
          <w:szCs w:val="32"/>
          <w:highlight w:val="none"/>
          <w:shd w:val="clear" w:color="auto" w:fill="FFFFFF"/>
        </w:rPr>
      </w:pPr>
      <w:r>
        <w:rPr>
          <w:rFonts w:hint="eastAsia" w:ascii="仿宋" w:hAnsi="仿宋" w:eastAsia="仿宋" w:cs="仿宋"/>
          <w:color w:val="auto"/>
          <w:sz w:val="32"/>
          <w:szCs w:val="32"/>
          <w:highlight w:val="none"/>
        </w:rPr>
        <w:t>查看高新区经合中心</w:t>
      </w:r>
      <w:r>
        <w:rPr>
          <w:rFonts w:hint="eastAsia" w:ascii="仿宋" w:hAnsi="仿宋" w:eastAsia="仿宋" w:cs="仿宋"/>
          <w:color w:val="auto"/>
          <w:sz w:val="32"/>
          <w:szCs w:val="32"/>
          <w:highlight w:val="none"/>
          <w:lang w:eastAsia="zh-CN"/>
        </w:rPr>
        <w:t>财务</w:t>
      </w:r>
      <w:r>
        <w:rPr>
          <w:rFonts w:hint="eastAsia" w:ascii="仿宋" w:hAnsi="仿宋" w:eastAsia="仿宋" w:cs="仿宋"/>
          <w:color w:val="auto"/>
          <w:sz w:val="32"/>
          <w:szCs w:val="32"/>
          <w:highlight w:val="none"/>
        </w:rPr>
        <w:t>资料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大部分支出符合部门预算批复的用途，符合国家财经法规和财务管理制度规定以及有关专项资金管理办法的规定，能够严格执行国库集中支付。但评价组发现</w:t>
      </w:r>
      <w:r>
        <w:rPr>
          <w:rFonts w:hint="eastAsia" w:ascii="仿宋" w:hAnsi="仿宋" w:eastAsia="仿宋" w:cs="仿宋"/>
          <w:color w:val="auto"/>
          <w:spacing w:val="-1"/>
          <w:sz w:val="32"/>
          <w:szCs w:val="32"/>
          <w:highlight w:val="none"/>
        </w:rPr>
        <w:t>商务接待费用中，酒水与餐费的分开报销方式导致难以准确判断是否超出了既定的接待标准。</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3）预决算信息公开性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kern w:val="2"/>
          <w:sz w:val="32"/>
          <w:szCs w:val="32"/>
          <w:highlight w:val="none"/>
        </w:rPr>
      </w:pPr>
      <w:r>
        <w:rPr>
          <w:rFonts w:hint="eastAsia" w:ascii="仿宋" w:hAnsi="仿宋" w:eastAsia="仿宋" w:cs="仿宋"/>
          <w:color w:val="auto"/>
          <w:sz w:val="32"/>
          <w:szCs w:val="32"/>
          <w:highlight w:val="none"/>
          <w:lang w:bidi="ar"/>
        </w:rPr>
        <w:t>此次绩效评价，我们查看了高新区经合中心信息网站。（网站为四川省遂宁市人民政府网站，网络地址为</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"https://www.suining.gov.cn/welcome" </w:instrText>
      </w:r>
      <w:r>
        <w:rPr>
          <w:rFonts w:hint="eastAsia" w:ascii="仿宋" w:hAnsi="仿宋" w:eastAsia="仿宋" w:cs="仿宋"/>
          <w:color w:val="auto"/>
          <w:sz w:val="32"/>
          <w:szCs w:val="32"/>
          <w:highlight w:val="none"/>
        </w:rPr>
        <w:fldChar w:fldCharType="separate"/>
      </w:r>
      <w:r>
        <w:rPr>
          <w:rStyle w:val="22"/>
          <w:rFonts w:hint="eastAsia" w:ascii="仿宋" w:hAnsi="仿宋" w:eastAsia="仿宋" w:cs="仿宋"/>
          <w:color w:val="auto"/>
          <w:sz w:val="32"/>
          <w:szCs w:val="32"/>
          <w:highlight w:val="none"/>
        </w:rPr>
        <w:t>：https://www.suining.gov.cn/welcome</w:t>
      </w:r>
      <w:r>
        <w:rPr>
          <w:rStyle w:val="23"/>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lang w:bidi="ar"/>
        </w:rPr>
        <w:t>），在政府信息公开－政府信息公开指南－法定主动公开内容－财政预决算公开-2023年财政预决算公开－市直园区预决算信息公开－遂宁高新区一项中显示，</w:t>
      </w:r>
      <w:r>
        <w:rPr>
          <w:rFonts w:hint="eastAsia" w:ascii="仿宋" w:hAnsi="仿宋" w:eastAsia="仿宋" w:cs="仿宋"/>
          <w:color w:val="auto"/>
          <w:kern w:val="2"/>
          <w:sz w:val="32"/>
          <w:szCs w:val="32"/>
          <w:highlight w:val="none"/>
          <w:lang w:bidi="ar"/>
        </w:rPr>
        <w:t>高新区经合中心</w:t>
      </w:r>
      <w:r>
        <w:rPr>
          <w:rFonts w:hint="eastAsia" w:ascii="仿宋" w:hAnsi="仿宋" w:eastAsia="仿宋" w:cs="仿宋"/>
          <w:color w:val="auto"/>
          <w:sz w:val="32"/>
          <w:szCs w:val="32"/>
          <w:highlight w:val="none"/>
          <w:lang w:bidi="ar"/>
        </w:rPr>
        <w:t>已公开2023年度部门预算信息，未见2023年决算信息公开。</w:t>
      </w:r>
    </w:p>
    <w:p>
      <w:pPr>
        <w:pStyle w:val="16"/>
        <w:keepLines w:val="0"/>
        <w:pageBreakBefore w:val="0"/>
        <w:widowControl w:val="0"/>
        <w:shd w:val="clear" w:color="auto" w:fill="FFFFFF"/>
        <w:kinsoku/>
        <w:wordWrap/>
        <w:overflowPunct w:val="0"/>
        <w:topLinePunct w:val="0"/>
        <w:autoSpaceDE w:val="0"/>
        <w:autoSpaceDN w:val="0"/>
        <w:bidi w:val="0"/>
        <w:spacing w:before="0" w:beforeAutospacing="0" w:after="0" w:afterAutospacing="0"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4）政府购买服务执行情况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snapToGrid/>
          <w:color w:val="auto"/>
          <w:sz w:val="32"/>
          <w:szCs w:val="32"/>
          <w:highlight w:val="none"/>
        </w:rPr>
      </w:pPr>
      <w:r>
        <w:rPr>
          <w:rFonts w:hint="eastAsia" w:ascii="仿宋" w:hAnsi="仿宋" w:eastAsia="仿宋" w:cs="仿宋"/>
          <w:snapToGrid/>
          <w:color w:val="auto"/>
          <w:sz w:val="32"/>
          <w:szCs w:val="32"/>
          <w:highlight w:val="none"/>
        </w:rPr>
        <w:t>2023年</w:t>
      </w:r>
      <w:r>
        <w:rPr>
          <w:rFonts w:hint="eastAsia" w:ascii="仿宋" w:hAnsi="仿宋" w:eastAsia="仿宋" w:cs="仿宋"/>
          <w:color w:val="auto"/>
          <w:sz w:val="32"/>
          <w:szCs w:val="32"/>
          <w:highlight w:val="none"/>
        </w:rPr>
        <w:t>高新区经合中心</w:t>
      </w:r>
      <w:r>
        <w:rPr>
          <w:rFonts w:hint="eastAsia" w:ascii="仿宋" w:hAnsi="仿宋" w:eastAsia="仿宋" w:cs="仿宋"/>
          <w:snapToGrid/>
          <w:color w:val="auto"/>
          <w:sz w:val="32"/>
          <w:szCs w:val="32"/>
          <w:highlight w:val="none"/>
        </w:rPr>
        <w:t>支出中不涉及政府采购项目。</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snapToGrid/>
          <w:color w:val="auto"/>
          <w:sz w:val="32"/>
          <w:szCs w:val="32"/>
          <w:highlight w:val="none"/>
        </w:rPr>
      </w:pPr>
      <w:r>
        <w:rPr>
          <w:rFonts w:hint="eastAsia" w:ascii="仿宋" w:hAnsi="仿宋" w:eastAsia="仿宋" w:cs="仿宋"/>
          <w:snapToGrid/>
          <w:color w:val="auto"/>
          <w:sz w:val="32"/>
          <w:szCs w:val="32"/>
          <w:highlight w:val="none"/>
        </w:rPr>
        <w:t>5）财务信息完善性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bidi="ar"/>
        </w:rPr>
        <w:t>本项考核依据《机关财务管理制度（试行）》（遂高办</w:t>
      </w:r>
      <w:r>
        <w:rPr>
          <w:rFonts w:hint="eastAsia" w:ascii="仿宋" w:hAnsi="仿宋" w:eastAsia="仿宋" w:cs="仿宋"/>
          <w:color w:val="auto"/>
          <w:kern w:val="2"/>
          <w:sz w:val="32"/>
          <w:szCs w:val="32"/>
          <w:highlight w:val="none"/>
          <w:lang w:bidi="ar"/>
        </w:rPr>
        <w:t>〔</w:t>
      </w:r>
      <w:r>
        <w:rPr>
          <w:rFonts w:hint="eastAsia" w:ascii="仿宋" w:hAnsi="仿宋" w:eastAsia="仿宋" w:cs="仿宋"/>
          <w:color w:val="auto"/>
          <w:sz w:val="32"/>
          <w:szCs w:val="32"/>
          <w:highlight w:val="none"/>
          <w:lang w:bidi="ar"/>
        </w:rPr>
        <w:t>2021</w:t>
      </w:r>
      <w:r>
        <w:rPr>
          <w:rFonts w:hint="eastAsia" w:ascii="仿宋" w:hAnsi="仿宋" w:eastAsia="仿宋" w:cs="仿宋"/>
          <w:color w:val="auto"/>
          <w:kern w:val="2"/>
          <w:sz w:val="32"/>
          <w:szCs w:val="32"/>
          <w:highlight w:val="none"/>
          <w:lang w:bidi="ar"/>
        </w:rPr>
        <w:t>〕</w:t>
      </w:r>
      <w:r>
        <w:rPr>
          <w:rFonts w:hint="eastAsia" w:ascii="仿宋" w:hAnsi="仿宋" w:eastAsia="仿宋" w:cs="仿宋"/>
          <w:color w:val="auto"/>
          <w:sz w:val="32"/>
          <w:szCs w:val="32"/>
          <w:highlight w:val="none"/>
          <w:lang w:bidi="ar"/>
        </w:rPr>
        <w:t>269号）</w:t>
      </w:r>
      <w:r>
        <w:rPr>
          <w:rFonts w:hint="eastAsia" w:ascii="仿宋" w:hAnsi="仿宋" w:eastAsia="仿宋" w:cs="仿宋"/>
          <w:color w:val="auto"/>
          <w:kern w:val="2"/>
          <w:sz w:val="32"/>
          <w:szCs w:val="32"/>
          <w:highlight w:val="none"/>
          <w:lang w:bidi="ar"/>
        </w:rPr>
        <w:t>《遂宁高新区财政性资金使用管理暂行办法（试行）》（遂高办〔2021〕270号）</w:t>
      </w:r>
      <w:r>
        <w:rPr>
          <w:rFonts w:hint="eastAsia" w:ascii="仿宋" w:hAnsi="仿宋" w:eastAsia="仿宋" w:cs="仿宋"/>
          <w:color w:val="auto"/>
          <w:sz w:val="32"/>
          <w:szCs w:val="32"/>
          <w:highlight w:val="none"/>
          <w:lang w:bidi="ar"/>
        </w:rPr>
        <w:t>《遂宁市党政机关国内公务接待管理实施办法的通知》（遂委办发</w:t>
      </w:r>
      <w:r>
        <w:rPr>
          <w:rFonts w:hint="eastAsia" w:ascii="仿宋" w:hAnsi="仿宋" w:eastAsia="仿宋" w:cs="仿宋"/>
          <w:color w:val="auto"/>
          <w:kern w:val="2"/>
          <w:sz w:val="32"/>
          <w:szCs w:val="32"/>
          <w:highlight w:val="none"/>
          <w:lang w:bidi="ar"/>
        </w:rPr>
        <w:t>〔</w:t>
      </w:r>
      <w:r>
        <w:rPr>
          <w:rFonts w:hint="eastAsia" w:ascii="仿宋" w:hAnsi="仿宋" w:eastAsia="仿宋" w:cs="仿宋"/>
          <w:color w:val="auto"/>
          <w:sz w:val="32"/>
          <w:szCs w:val="32"/>
          <w:highlight w:val="none"/>
          <w:lang w:bidi="ar"/>
        </w:rPr>
        <w:t>2014</w:t>
      </w:r>
      <w:r>
        <w:rPr>
          <w:rFonts w:hint="eastAsia" w:ascii="仿宋" w:hAnsi="仿宋" w:eastAsia="仿宋" w:cs="仿宋"/>
          <w:color w:val="auto"/>
          <w:kern w:val="2"/>
          <w:sz w:val="32"/>
          <w:szCs w:val="32"/>
          <w:highlight w:val="none"/>
          <w:lang w:bidi="ar"/>
        </w:rPr>
        <w:t>〕</w:t>
      </w:r>
      <w:r>
        <w:rPr>
          <w:rFonts w:hint="eastAsia" w:ascii="仿宋" w:hAnsi="仿宋" w:eastAsia="仿宋" w:cs="仿宋"/>
          <w:color w:val="auto"/>
          <w:sz w:val="32"/>
          <w:szCs w:val="32"/>
          <w:highlight w:val="none"/>
          <w:lang w:bidi="ar"/>
        </w:rPr>
        <w:t>18号）等规定，检查会计信息资料是否真实、准确、完整，用以评价该部门财务信息对预算管理工作的反映情况。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bidi="ar"/>
        </w:rPr>
        <w:t>本次评价组发现存在记账凭证会计信息登记不够真实完善，</w:t>
      </w:r>
      <w:r>
        <w:rPr>
          <w:rFonts w:hint="eastAsia" w:ascii="仿宋" w:hAnsi="仿宋" w:eastAsia="仿宋" w:cs="仿宋"/>
          <w:color w:val="auto"/>
          <w:sz w:val="32"/>
          <w:szCs w:val="32"/>
          <w:highlight w:val="none"/>
          <w:lang w:eastAsia="zh-CN" w:bidi="ar"/>
        </w:rPr>
        <w:t>原始报销</w:t>
      </w:r>
      <w:r>
        <w:rPr>
          <w:rFonts w:hint="eastAsia" w:ascii="仿宋" w:hAnsi="仿宋" w:eastAsia="仿宋" w:cs="仿宋"/>
          <w:color w:val="auto"/>
          <w:sz w:val="32"/>
          <w:szCs w:val="32"/>
          <w:highlight w:val="none"/>
          <w:lang w:bidi="ar"/>
        </w:rPr>
        <w:t>凭证下方信息如会计主管、审核、记账、制单、出纳等未落款具体操作人员，招待费报销无派出单位公函。影响了会计信息质量的真实性，会计登记信息不能如实可靠反映记账实际情况。</w:t>
      </w:r>
    </w:p>
    <w:p>
      <w:pPr>
        <w:pStyle w:val="4"/>
        <w:keepLines w:val="0"/>
        <w:pageBreakBefore w:val="0"/>
        <w:widowControl w:val="0"/>
        <w:kinsoku/>
        <w:wordWrap/>
        <w:overflowPunct w:val="0"/>
        <w:topLinePunct w:val="0"/>
        <w:autoSpaceDE w:val="0"/>
        <w:autoSpaceDN w:val="0"/>
        <w:bidi w:val="0"/>
        <w:spacing w:line="560" w:lineRule="exact"/>
        <w:ind w:left="0" w:leftChars="0" w:firstLine="321" w:firstLineChars="100"/>
        <w:outlineLvl w:val="3"/>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（3）资产管理</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1）资产管理制度健全性合规性和执行制度</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eastAsia="仿宋" w:cs="仿宋"/>
          <w:snapToGrid/>
          <w:color w:val="auto"/>
          <w:kern w:val="2"/>
          <w:sz w:val="32"/>
          <w:szCs w:val="32"/>
          <w:highlight w:val="none"/>
        </w:rPr>
      </w:pPr>
      <w:r>
        <w:rPr>
          <w:rFonts w:hint="eastAsia" w:ascii="仿宋" w:hAnsi="仿宋" w:eastAsia="仿宋" w:cs="仿宋"/>
          <w:snapToGrid/>
          <w:color w:val="auto"/>
          <w:sz w:val="32"/>
          <w:szCs w:val="32"/>
          <w:highlight w:val="none"/>
          <w:lang w:bidi="ar"/>
        </w:rPr>
        <w:t>本单位尚未制定固定资产管理制度，没有成立部门国有资产管理领导组织，相关资产管理制度有待于进一步建立完善并有效执行。</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snapToGrid/>
          <w:color w:val="auto"/>
          <w:sz w:val="32"/>
          <w:szCs w:val="32"/>
          <w:highlight w:val="none"/>
        </w:rPr>
      </w:pPr>
      <w:r>
        <w:rPr>
          <w:rFonts w:hint="eastAsia" w:ascii="仿宋" w:hAnsi="仿宋" w:eastAsia="仿宋" w:cs="仿宋"/>
          <w:snapToGrid/>
          <w:color w:val="auto"/>
          <w:sz w:val="32"/>
          <w:szCs w:val="32"/>
          <w:highlight w:val="none"/>
        </w:rPr>
        <w:t>2）资产管理规范性</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snapToGrid/>
          <w:color w:val="auto"/>
          <w:sz w:val="32"/>
          <w:szCs w:val="32"/>
          <w:highlight w:val="none"/>
        </w:rPr>
      </w:pPr>
      <w:r>
        <w:rPr>
          <w:rFonts w:hint="eastAsia" w:ascii="仿宋" w:hAnsi="仿宋" w:eastAsia="仿宋" w:cs="仿宋"/>
          <w:snapToGrid/>
          <w:color w:val="auto"/>
          <w:sz w:val="32"/>
          <w:szCs w:val="32"/>
          <w:highlight w:val="none"/>
        </w:rPr>
        <w:t>本次评价工作针对的方向有①资产保存完整；②资产配置合理；③资产使用规范；④资产账务管理合规，账实相符。</w:t>
      </w:r>
    </w:p>
    <w:p>
      <w:pPr>
        <w:keepLines w:val="0"/>
        <w:pageBreakBefore w:val="0"/>
        <w:widowControl w:val="0"/>
        <w:kinsoku/>
        <w:wordWrap/>
        <w:overflowPunct w:val="0"/>
        <w:topLinePunct w:val="0"/>
        <w:autoSpaceDE w:val="0"/>
        <w:autoSpaceDN w:val="0"/>
        <w:bidi w:val="0"/>
        <w:adjustRightInd/>
        <w:spacing w:line="560" w:lineRule="exact"/>
        <w:ind w:left="0" w:leftChars="0" w:firstLine="640" w:firstLineChars="200"/>
        <w:jc w:val="both"/>
        <w:textAlignment w:val="auto"/>
        <w:rPr>
          <w:rFonts w:hint="eastAsia" w:ascii="仿宋" w:hAnsi="仿宋" w:eastAsia="仿宋" w:cs="仿宋"/>
          <w:color w:val="auto"/>
          <w:sz w:val="32"/>
          <w:szCs w:val="32"/>
          <w:highlight w:val="none"/>
          <w:lang w:bidi="ar"/>
        </w:rPr>
      </w:pPr>
      <w:r>
        <w:rPr>
          <w:rFonts w:hint="eastAsia" w:ascii="仿宋" w:hAnsi="仿宋" w:eastAsia="仿宋" w:cs="仿宋"/>
          <w:color w:val="auto"/>
          <w:kern w:val="2"/>
          <w:sz w:val="32"/>
          <w:szCs w:val="32"/>
          <w:highlight w:val="none"/>
          <w:lang w:bidi="ar"/>
        </w:rPr>
        <w:t>高新区经合中心</w:t>
      </w:r>
      <w:r>
        <w:rPr>
          <w:rFonts w:hint="eastAsia" w:ascii="仿宋" w:hAnsi="仿宋" w:eastAsia="仿宋" w:cs="仿宋"/>
          <w:color w:val="auto"/>
          <w:sz w:val="32"/>
          <w:szCs w:val="32"/>
          <w:highlight w:val="none"/>
          <w:lang w:bidi="ar"/>
        </w:rPr>
        <w:t>成立于</w:t>
      </w:r>
      <w:r>
        <w:rPr>
          <w:rFonts w:hint="eastAsia" w:ascii="仿宋" w:hAnsi="仿宋" w:eastAsia="仿宋" w:cs="仿宋"/>
          <w:color w:val="auto"/>
          <w:sz w:val="32"/>
          <w:szCs w:val="32"/>
          <w:highlight w:val="none"/>
          <w:lang w:eastAsia="zh-CN" w:bidi="ar"/>
        </w:rPr>
        <w:t>2023</w:t>
      </w:r>
      <w:r>
        <w:rPr>
          <w:rFonts w:hint="eastAsia" w:ascii="仿宋" w:hAnsi="仿宋" w:eastAsia="仿宋" w:cs="仿宋"/>
          <w:color w:val="auto"/>
          <w:sz w:val="32"/>
          <w:szCs w:val="32"/>
          <w:highlight w:val="none"/>
          <w:lang w:bidi="ar"/>
        </w:rPr>
        <w:t>年8月，由于组建时间较短，相关资产核查清点工作相对滞后，单位资产能够基本保管完好，配置相对合理。但是也存在固定资产核算不规范，账账不符</w:t>
      </w:r>
      <w:r>
        <w:rPr>
          <w:rFonts w:hint="eastAsia" w:ascii="仿宋" w:hAnsi="仿宋" w:eastAsia="仿宋" w:cs="仿宋"/>
          <w:color w:val="auto"/>
          <w:sz w:val="32"/>
          <w:szCs w:val="32"/>
          <w:highlight w:val="none"/>
          <w:lang w:val="en-US" w:eastAsia="zh-CN"/>
        </w:rPr>
        <w:t>和</w:t>
      </w:r>
      <w:r>
        <w:rPr>
          <w:rFonts w:hint="eastAsia" w:ascii="仿宋" w:hAnsi="仿宋" w:eastAsia="仿宋" w:cs="仿宋"/>
          <w:snapToGrid/>
          <w:color w:val="auto"/>
          <w:sz w:val="32"/>
          <w:szCs w:val="32"/>
          <w:highlight w:val="none"/>
          <w:lang w:bidi="ar"/>
        </w:rPr>
        <w:t>存在账外资产</w:t>
      </w:r>
      <w:r>
        <w:rPr>
          <w:rFonts w:hint="eastAsia" w:ascii="仿宋" w:hAnsi="仿宋" w:eastAsia="仿宋" w:cs="仿宋"/>
          <w:snapToGrid/>
          <w:color w:val="auto"/>
          <w:sz w:val="32"/>
          <w:szCs w:val="32"/>
          <w:highlight w:val="none"/>
          <w:lang w:eastAsia="zh-CN" w:bidi="ar"/>
        </w:rPr>
        <w:t>的</w:t>
      </w:r>
      <w:r>
        <w:rPr>
          <w:rFonts w:hint="eastAsia" w:ascii="仿宋" w:hAnsi="仿宋" w:eastAsia="仿宋" w:cs="仿宋"/>
          <w:snapToGrid/>
          <w:color w:val="auto"/>
          <w:sz w:val="32"/>
          <w:szCs w:val="32"/>
          <w:highlight w:val="none"/>
          <w:lang w:val="en-US" w:eastAsia="zh-CN" w:bidi="ar"/>
        </w:rPr>
        <w:t>问题，</w:t>
      </w:r>
      <w:r>
        <w:rPr>
          <w:rFonts w:hint="eastAsia" w:ascii="仿宋" w:hAnsi="仿宋" w:eastAsia="仿宋" w:cs="仿宋"/>
          <w:color w:val="auto"/>
          <w:sz w:val="32"/>
          <w:szCs w:val="32"/>
          <w:highlight w:val="none"/>
          <w:lang w:bidi="ar"/>
        </w:rPr>
        <w:t>如未建资产卡片；正常盘点工作和账实核对工作缺失；未落实资产使用人保管机制。</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snapToGrid/>
          <w:color w:val="auto"/>
          <w:sz w:val="32"/>
          <w:szCs w:val="32"/>
          <w:highlight w:val="none"/>
        </w:rPr>
      </w:pPr>
      <w:r>
        <w:rPr>
          <w:rFonts w:hint="eastAsia" w:ascii="仿宋" w:hAnsi="仿宋" w:eastAsia="仿宋" w:cs="仿宋"/>
          <w:snapToGrid/>
          <w:color w:val="auto"/>
          <w:sz w:val="32"/>
          <w:szCs w:val="32"/>
          <w:highlight w:val="none"/>
        </w:rPr>
        <w:t>3）固定资产利用率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snapToGrid/>
          <w:color w:val="auto"/>
          <w:sz w:val="32"/>
          <w:szCs w:val="32"/>
          <w:highlight w:val="none"/>
        </w:rPr>
      </w:pPr>
      <w:r>
        <w:rPr>
          <w:rFonts w:hint="eastAsia" w:ascii="仿宋" w:hAnsi="仿宋" w:eastAsia="仿宋" w:cs="仿宋"/>
          <w:snapToGrid/>
          <w:color w:val="auto"/>
          <w:sz w:val="32"/>
          <w:szCs w:val="32"/>
          <w:highlight w:val="none"/>
        </w:rPr>
        <w:t>2024年6月19日评价组根据高新区经合中心资产台账，整理出《固定资产盘点核实记录表》，在单位财务人员陪同下对高新区经合中心资产使用状况进行盘点，评测单位实际在用固定资产总额与所有固定资产总额的比率，考核固定资产使用的效率程度。</w:t>
      </w:r>
      <w:r>
        <w:rPr>
          <w:rFonts w:hint="eastAsia" w:ascii="仿宋" w:hAnsi="仿宋" w:eastAsia="仿宋" w:cs="仿宋"/>
          <w:color w:val="auto"/>
          <w:sz w:val="32"/>
          <w:szCs w:val="32"/>
          <w:highlight w:val="none"/>
          <w:lang w:bidi="ar"/>
        </w:rPr>
        <w:t>经过实际现场盘点资产并查看资产使用状态，</w:t>
      </w:r>
      <w:r>
        <w:rPr>
          <w:rFonts w:hint="eastAsia" w:ascii="仿宋" w:hAnsi="仿宋" w:eastAsia="仿宋" w:cs="仿宋"/>
          <w:color w:val="auto"/>
          <w:sz w:val="32"/>
          <w:szCs w:val="32"/>
          <w:highlight w:val="none"/>
        </w:rPr>
        <w:t>未见到闲置状况，资产全部在用，无损坏报废资产，但存在未登记在账资产</w:t>
      </w:r>
      <w:r>
        <w:rPr>
          <w:rFonts w:hint="eastAsia" w:ascii="仿宋" w:hAnsi="仿宋" w:eastAsia="仿宋" w:cs="仿宋"/>
          <w:snapToGrid/>
          <w:color w:val="auto"/>
          <w:sz w:val="32"/>
          <w:szCs w:val="32"/>
          <w:highlight w:val="none"/>
        </w:rPr>
        <w:t>。高新区经合中心固定资产利用率100.00%。</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2"/>
        <w:rPr>
          <w:rFonts w:hint="eastAsia" w:ascii="楷体" w:hAnsi="楷体" w:eastAsia="楷体" w:cs="楷体"/>
          <w:b/>
          <w:bCs/>
          <w:color w:val="auto"/>
          <w:highlight w:val="none"/>
        </w:rPr>
      </w:pPr>
      <w:r>
        <w:rPr>
          <w:rFonts w:hint="eastAsia" w:ascii="楷体" w:hAnsi="楷体" w:eastAsia="楷体" w:cs="楷体"/>
          <w:b/>
          <w:bCs/>
          <w:color w:val="auto"/>
          <w:highlight w:val="none"/>
        </w:rPr>
        <w:t>3.产出指标</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snapToGrid/>
          <w:color w:val="auto"/>
          <w:szCs w:val="32"/>
          <w:highlight w:val="none"/>
        </w:rPr>
      </w:pPr>
      <w:r>
        <w:rPr>
          <w:rFonts w:hint="eastAsia" w:ascii="仿宋" w:hAnsi="仿宋" w:cs="仿宋"/>
          <w:snapToGrid/>
          <w:color w:val="auto"/>
          <w:szCs w:val="32"/>
          <w:highlight w:val="none"/>
        </w:rPr>
        <w:t>结合2023年度高新区经合中心绩效目标设定情况，此次评价对高新区经合中心工作完成情况和目标实现进行评价，2023年度高新区经合中心在招商引资签约项目等工作任务上都完成了对应的数量目标值，在签约项目推进反映质量信息的指标上</w:t>
      </w:r>
      <w:r>
        <w:rPr>
          <w:rFonts w:hint="eastAsia" w:ascii="仿宋" w:hAnsi="仿宋" w:cs="仿宋"/>
          <w:snapToGrid/>
          <w:color w:val="auto"/>
          <w:szCs w:val="32"/>
          <w:highlight w:val="none"/>
          <w:lang w:eastAsia="zh-CN"/>
        </w:rPr>
        <w:t>基本</w:t>
      </w:r>
      <w:r>
        <w:rPr>
          <w:rFonts w:hint="eastAsia" w:ascii="仿宋" w:hAnsi="仿宋" w:cs="仿宋"/>
          <w:snapToGrid/>
          <w:color w:val="auto"/>
          <w:szCs w:val="32"/>
          <w:highlight w:val="none"/>
        </w:rPr>
        <w:t>达到了预设的目标。总体上，高新区经合中心2023年度圆满地完成了当年工作任务，相关成果数量和质量基本达标。在工作履职方面，在工作领先突出方面，还做不到</w:t>
      </w:r>
      <w:r>
        <w:rPr>
          <w:rFonts w:hint="eastAsia" w:ascii="仿宋" w:hAnsi="仿宋" w:cs="仿宋"/>
          <w:snapToGrid/>
          <w:color w:val="auto"/>
          <w:szCs w:val="32"/>
          <w:highlight w:val="none"/>
          <w:lang w:eastAsia="zh-CN"/>
        </w:rPr>
        <w:t>全市</w:t>
      </w:r>
      <w:r>
        <w:rPr>
          <w:rFonts w:hint="eastAsia" w:ascii="仿宋" w:hAnsi="仿宋" w:cs="仿宋"/>
          <w:snapToGrid/>
          <w:color w:val="auto"/>
          <w:szCs w:val="32"/>
          <w:highlight w:val="none"/>
        </w:rPr>
        <w:t>前列。该指标分值30.00分，得分27.50分，得分率91.67%。评分见下表：</w:t>
      </w:r>
    </w:p>
    <w:p>
      <w:pPr>
        <w:keepNext w:val="0"/>
        <w:keepLines w:val="0"/>
        <w:pageBreakBefore w:val="0"/>
        <w:widowControl w:val="0"/>
        <w:kinsoku/>
        <w:wordWrap/>
        <w:overflowPunct w:val="0"/>
        <w:topLinePunct w:val="0"/>
        <w:autoSpaceDE w:val="0"/>
        <w:autoSpaceDN w:val="0"/>
        <w:bidi w:val="0"/>
        <w:adjustRightInd w:val="0"/>
        <w:snapToGrid w:val="0"/>
        <w:spacing w:after="0" w:afterLines="100" w:line="560" w:lineRule="exact"/>
        <w:ind w:left="0" w:leftChars="0" w:firstLine="0" w:firstLineChars="0"/>
        <w:jc w:val="center"/>
        <w:textAlignment w:val="baseline"/>
        <w:outlineLvl w:val="9"/>
        <w:rPr>
          <w:rFonts w:hint="eastAsia" w:ascii="仿宋" w:hAnsi="仿宋" w:cs="仿宋"/>
          <w:snapToGrid/>
          <w:color w:val="auto"/>
          <w:szCs w:val="32"/>
          <w:highlight w:val="none"/>
        </w:rPr>
      </w:pPr>
      <w:r>
        <w:rPr>
          <w:rFonts w:hint="eastAsia" w:ascii="宋体" w:hAnsi="宋体" w:eastAsia="宋体" w:cs="宋体"/>
          <w:b/>
          <w:bCs/>
          <w:iCs/>
          <w:color w:val="auto"/>
          <w:sz w:val="28"/>
          <w:highlight w:val="none"/>
        </w:rPr>
        <w:t>产出指标设定及评分情况表</w:t>
      </w:r>
    </w:p>
    <w:tbl>
      <w:tblPr>
        <w:tblStyle w:val="18"/>
        <w:tblW w:w="8339" w:type="dxa"/>
        <w:tblInd w:w="0" w:type="dxa"/>
        <w:tblLayout w:type="autofit"/>
        <w:tblCellMar>
          <w:top w:w="0" w:type="dxa"/>
          <w:left w:w="108" w:type="dxa"/>
          <w:bottom w:w="0" w:type="dxa"/>
          <w:right w:w="108" w:type="dxa"/>
        </w:tblCellMar>
      </w:tblPr>
      <w:tblGrid>
        <w:gridCol w:w="1315"/>
        <w:gridCol w:w="1336"/>
        <w:gridCol w:w="2650"/>
        <w:gridCol w:w="1519"/>
        <w:gridCol w:w="1519"/>
      </w:tblGrid>
      <w:tr>
        <w:tblPrEx>
          <w:tblCellMar>
            <w:top w:w="0" w:type="dxa"/>
            <w:left w:w="108" w:type="dxa"/>
            <w:bottom w:w="0" w:type="dxa"/>
            <w:right w:w="108" w:type="dxa"/>
          </w:tblCellMar>
        </w:tblPrEx>
        <w:trPr>
          <w:trHeight w:val="403" w:hRule="atLeast"/>
        </w:trPr>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b/>
                <w:bCs/>
                <w:color w:val="auto"/>
                <w:sz w:val="24"/>
                <w:szCs w:val="24"/>
                <w:highlight w:val="none"/>
              </w:rPr>
            </w:pPr>
            <w:r>
              <w:rPr>
                <w:rStyle w:val="32"/>
                <w:rFonts w:hint="default" w:ascii="宋体" w:hAnsi="宋体" w:eastAsia="宋体" w:cs="宋体"/>
                <w:color w:val="auto"/>
                <w:highlight w:val="none"/>
                <w:lang w:bidi="ar"/>
              </w:rPr>
              <w:t>一级指标</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b/>
                <w:bCs/>
                <w:color w:val="auto"/>
                <w:sz w:val="24"/>
                <w:szCs w:val="24"/>
                <w:highlight w:val="none"/>
              </w:rPr>
            </w:pPr>
            <w:r>
              <w:rPr>
                <w:rStyle w:val="32"/>
                <w:rFonts w:hint="default" w:ascii="宋体" w:hAnsi="宋体" w:eastAsia="宋体" w:cs="宋体"/>
                <w:color w:val="auto"/>
                <w:highlight w:val="none"/>
                <w:lang w:bidi="ar"/>
              </w:rPr>
              <w:t>二级指标</w:t>
            </w: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b/>
                <w:bCs/>
                <w:color w:val="auto"/>
                <w:sz w:val="24"/>
                <w:szCs w:val="24"/>
                <w:highlight w:val="none"/>
              </w:rPr>
            </w:pPr>
            <w:r>
              <w:rPr>
                <w:rStyle w:val="32"/>
                <w:rFonts w:hint="default" w:ascii="宋体" w:hAnsi="宋体" w:eastAsia="宋体" w:cs="宋体"/>
                <w:color w:val="auto"/>
                <w:highlight w:val="none"/>
                <w:lang w:bidi="ar"/>
              </w:rPr>
              <w:t>三级指标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b/>
                <w:bCs/>
                <w:color w:val="auto"/>
                <w:sz w:val="24"/>
                <w:szCs w:val="24"/>
                <w:highlight w:val="none"/>
              </w:rPr>
            </w:pPr>
            <w:r>
              <w:rPr>
                <w:rStyle w:val="32"/>
                <w:rFonts w:hint="default" w:ascii="宋体" w:hAnsi="宋体" w:eastAsia="宋体" w:cs="宋体"/>
                <w:color w:val="auto"/>
                <w:highlight w:val="none"/>
                <w:lang w:bidi="ar"/>
              </w:rPr>
              <w:t>分值</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center"/>
              <w:textAlignment w:val="center"/>
              <w:rPr>
                <w:rFonts w:hint="eastAsia" w:ascii="宋体" w:hAnsi="宋体" w:eastAsia="宋体" w:cs="宋体"/>
                <w:b/>
                <w:bCs/>
                <w:color w:val="auto"/>
                <w:sz w:val="24"/>
                <w:szCs w:val="24"/>
                <w:highlight w:val="none"/>
              </w:rPr>
            </w:pPr>
            <w:r>
              <w:rPr>
                <w:rStyle w:val="32"/>
                <w:rFonts w:hint="default" w:ascii="宋体" w:hAnsi="宋体" w:eastAsia="宋体" w:cs="宋体"/>
                <w:color w:val="auto"/>
                <w:highlight w:val="none"/>
                <w:lang w:bidi="ar"/>
              </w:rPr>
              <w:t>得分</w:t>
            </w:r>
          </w:p>
        </w:tc>
      </w:tr>
      <w:tr>
        <w:tblPrEx>
          <w:tblCellMar>
            <w:top w:w="0" w:type="dxa"/>
            <w:left w:w="108" w:type="dxa"/>
            <w:bottom w:w="0" w:type="dxa"/>
            <w:right w:w="108" w:type="dxa"/>
          </w:tblCellMar>
        </w:tblPrEx>
        <w:trPr>
          <w:trHeight w:val="627"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产出指标（30分）</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产出数量</w:t>
            </w:r>
          </w:p>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（10分）</w:t>
            </w: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签约项目个数</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10.00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10.00</w:t>
            </w:r>
          </w:p>
        </w:tc>
      </w:tr>
      <w:tr>
        <w:tblPrEx>
          <w:tblCellMar>
            <w:top w:w="0" w:type="dxa"/>
            <w:left w:w="108" w:type="dxa"/>
            <w:bottom w:w="0" w:type="dxa"/>
            <w:right w:w="108" w:type="dxa"/>
          </w:tblCellMar>
        </w:tblPrEx>
        <w:trPr>
          <w:trHeight w:val="4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1298" w:type="dxa"/>
            <w:vMerge w:val="restart"/>
            <w:tcBorders>
              <w:top w:val="single" w:color="000000" w:sz="4" w:space="0"/>
              <w:left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产出质量</w:t>
            </w:r>
          </w:p>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（10分）</w:t>
            </w: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履约率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4.00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3.50</w:t>
            </w:r>
          </w:p>
        </w:tc>
      </w:tr>
      <w:tr>
        <w:tblPrEx>
          <w:tblCellMar>
            <w:top w:w="0" w:type="dxa"/>
            <w:left w:w="108" w:type="dxa"/>
            <w:bottom w:w="0" w:type="dxa"/>
            <w:right w:w="108" w:type="dxa"/>
          </w:tblCellMar>
        </w:tblPrEx>
        <w:trPr>
          <w:trHeight w:val="4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1298" w:type="dxa"/>
            <w:vMerge w:val="continue"/>
            <w:tcBorders>
              <w:left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开工率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4.00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3.00</w:t>
            </w:r>
          </w:p>
        </w:tc>
      </w:tr>
      <w:tr>
        <w:tblPrEx>
          <w:tblCellMar>
            <w:top w:w="0" w:type="dxa"/>
            <w:left w:w="108" w:type="dxa"/>
            <w:bottom w:w="0" w:type="dxa"/>
            <w:right w:w="108" w:type="dxa"/>
          </w:tblCellMar>
        </w:tblPrEx>
        <w:trPr>
          <w:trHeight w:val="4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1298" w:type="dxa"/>
            <w:vMerge w:val="continue"/>
            <w:tcBorders>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投产率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2.00</w:t>
            </w:r>
          </w:p>
        </w:tc>
      </w:tr>
      <w:tr>
        <w:tblPrEx>
          <w:tblCellMar>
            <w:top w:w="0" w:type="dxa"/>
            <w:left w:w="108" w:type="dxa"/>
            <w:bottom w:w="0" w:type="dxa"/>
            <w:right w:w="108" w:type="dxa"/>
          </w:tblCellMar>
        </w:tblPrEx>
        <w:trPr>
          <w:trHeight w:val="4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职责履行（10分）</w:t>
            </w: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工作发展</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6.00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5.00</w:t>
            </w:r>
          </w:p>
        </w:tc>
      </w:tr>
      <w:tr>
        <w:tblPrEx>
          <w:tblCellMar>
            <w:top w:w="0" w:type="dxa"/>
            <w:left w:w="108" w:type="dxa"/>
            <w:bottom w:w="0" w:type="dxa"/>
            <w:right w:w="108" w:type="dxa"/>
          </w:tblCellMar>
        </w:tblPrEx>
        <w:trPr>
          <w:trHeight w:val="403"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重点工作办理情况</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4.00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bidi="ar"/>
              </w:rPr>
              <w:t>4.00</w:t>
            </w:r>
          </w:p>
        </w:tc>
      </w:tr>
      <w:tr>
        <w:tblPrEx>
          <w:tblCellMar>
            <w:top w:w="0" w:type="dxa"/>
            <w:left w:w="108" w:type="dxa"/>
            <w:bottom w:w="0" w:type="dxa"/>
            <w:right w:w="108" w:type="dxa"/>
          </w:tblCellMar>
        </w:tblPrEx>
        <w:trPr>
          <w:trHeight w:val="428"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center"/>
              <w:rPr>
                <w:rFonts w:hint="eastAsia" w:ascii="宋体" w:hAnsi="宋体" w:eastAsia="宋体" w:cs="宋体"/>
                <w:color w:val="auto"/>
                <w:sz w:val="24"/>
                <w:szCs w:val="24"/>
                <w:highlight w:val="none"/>
              </w:rPr>
            </w:pPr>
          </w:p>
        </w:tc>
        <w:tc>
          <w:tcPr>
            <w:tcW w:w="2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center"/>
              <w:textAlignment w:val="center"/>
              <w:rPr>
                <w:rFonts w:hint="eastAsia" w:ascii="宋体" w:hAnsi="宋体" w:eastAsia="宋体" w:cs="宋体"/>
                <w:b/>
                <w:bCs/>
                <w:color w:val="auto"/>
                <w:sz w:val="24"/>
                <w:szCs w:val="24"/>
                <w:highlight w:val="none"/>
              </w:rPr>
            </w:pPr>
            <w:r>
              <w:rPr>
                <w:rStyle w:val="32"/>
                <w:rFonts w:hint="default" w:ascii="宋体" w:hAnsi="宋体" w:eastAsia="宋体" w:cs="宋体"/>
                <w:color w:val="auto"/>
                <w:highlight w:val="none"/>
                <w:lang w:bidi="ar"/>
              </w:rPr>
              <w:t>本项分数合计</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bidi="ar"/>
              </w:rPr>
              <w:t>30.00</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bidi="ar"/>
              </w:rPr>
              <w:t>27.50</w:t>
            </w:r>
          </w:p>
        </w:tc>
      </w:tr>
    </w:tbl>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eastAsia="仿宋" w:cs="仿宋"/>
          <w:b/>
          <w:bCs/>
          <w:color w:val="auto"/>
          <w:highlight w:val="none"/>
        </w:rPr>
      </w:pPr>
      <w:r>
        <w:rPr>
          <w:rFonts w:hint="eastAsia" w:ascii="仿宋" w:hAnsi="仿宋" w:eastAsia="仿宋" w:cs="仿宋"/>
          <w:b/>
          <w:bCs/>
          <w:color w:val="auto"/>
          <w:highlight w:val="none"/>
        </w:rPr>
        <w:t>（1）</w:t>
      </w:r>
      <w:r>
        <w:rPr>
          <w:rFonts w:hint="eastAsia" w:ascii="仿宋" w:hAnsi="仿宋" w:eastAsia="仿宋" w:cs="仿宋"/>
          <w:b/>
          <w:bCs/>
          <w:snapToGrid/>
          <w:color w:val="auto"/>
          <w:szCs w:val="32"/>
          <w:highlight w:val="none"/>
        </w:rPr>
        <w:t>产出数量</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Cs w:val="32"/>
          <w:highlight w:val="none"/>
        </w:rPr>
      </w:pPr>
      <w:r>
        <w:rPr>
          <w:rFonts w:hint="eastAsia" w:ascii="仿宋" w:hAnsi="仿宋" w:eastAsia="仿宋" w:cs="仿宋"/>
          <w:color w:val="auto"/>
          <w:szCs w:val="22"/>
          <w:highlight w:val="none"/>
          <w:lang w:eastAsia="zh-CN"/>
        </w:rPr>
        <w:t>高新区</w:t>
      </w:r>
      <w:r>
        <w:rPr>
          <w:rFonts w:hint="eastAsia" w:ascii="仿宋" w:hAnsi="仿宋" w:eastAsia="仿宋" w:cs="仿宋"/>
          <w:color w:val="auto"/>
          <w:szCs w:val="22"/>
          <w:highlight w:val="none"/>
        </w:rPr>
        <w:t>经合中心</w:t>
      </w:r>
      <w:r>
        <w:rPr>
          <w:rFonts w:hint="eastAsia" w:ascii="仿宋" w:hAnsi="仿宋" w:eastAsia="仿宋" w:cs="仿宋"/>
          <w:bCs/>
          <w:color w:val="auto"/>
          <w:szCs w:val="32"/>
          <w:highlight w:val="none"/>
        </w:rPr>
        <w:t>认真贯彻落实党工委、管委会决策部署</w:t>
      </w:r>
      <w:r>
        <w:rPr>
          <w:rFonts w:hint="eastAsia" w:ascii="仿宋" w:hAnsi="仿宋" w:eastAsia="仿宋" w:cs="仿宋"/>
          <w:color w:val="auto"/>
          <w:szCs w:val="22"/>
          <w:highlight w:val="none"/>
        </w:rPr>
        <w:t>，围绕</w:t>
      </w:r>
      <w:r>
        <w:rPr>
          <w:rFonts w:hint="eastAsia" w:ascii="仿宋" w:hAnsi="仿宋" w:eastAsia="仿宋" w:cs="仿宋"/>
          <w:bCs/>
          <w:color w:val="auto"/>
          <w:szCs w:val="32"/>
          <w:highlight w:val="none"/>
        </w:rPr>
        <w:t>“全力拼经济合力搞建设”工作要求</w:t>
      </w:r>
      <w:r>
        <w:rPr>
          <w:rFonts w:hint="eastAsia" w:ascii="仿宋" w:hAnsi="仿宋" w:eastAsia="仿宋" w:cs="仿宋"/>
          <w:color w:val="auto"/>
          <w:szCs w:val="22"/>
          <w:highlight w:val="none"/>
        </w:rPr>
        <w:t>，抢抓机遇，积极行动，全力开展招商引资工作，各项经济指标完成较好</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snapToGrid/>
          <w:color w:val="auto"/>
          <w:szCs w:val="32"/>
          <w:highlight w:val="none"/>
        </w:rPr>
      </w:pPr>
      <w:r>
        <w:rPr>
          <w:rFonts w:hint="eastAsia" w:ascii="仿宋" w:hAnsi="仿宋" w:eastAsia="仿宋" w:cs="仿宋"/>
          <w:color w:val="auto"/>
          <w:szCs w:val="32"/>
          <w:highlight w:val="none"/>
        </w:rPr>
        <w:t>根据2023年高新区经合中心</w:t>
      </w:r>
      <w:r>
        <w:rPr>
          <w:rFonts w:hint="eastAsia" w:ascii="仿宋" w:hAnsi="仿宋" w:eastAsia="仿宋" w:cs="仿宋"/>
          <w:color w:val="auto"/>
          <w:szCs w:val="32"/>
          <w:highlight w:val="none"/>
          <w:lang w:val="zh-CN"/>
        </w:rPr>
        <w:t>招商活动签约项目</w:t>
      </w:r>
      <w:r>
        <w:rPr>
          <w:rFonts w:hint="eastAsia" w:ascii="仿宋" w:hAnsi="仿宋" w:eastAsia="仿宋" w:cs="仿宋"/>
          <w:color w:val="auto"/>
          <w:szCs w:val="32"/>
          <w:highlight w:val="none"/>
        </w:rPr>
        <w:t>年初绩效目标</w:t>
      </w:r>
      <w:r>
        <w:rPr>
          <w:rFonts w:hint="eastAsia" w:ascii="仿宋" w:hAnsi="仿宋" w:eastAsia="仿宋" w:cs="仿宋"/>
          <w:color w:val="auto"/>
          <w:szCs w:val="32"/>
          <w:highlight w:val="none"/>
          <w:lang w:val="zh-CN"/>
        </w:rPr>
        <w:t>为</w:t>
      </w:r>
      <w:r>
        <w:rPr>
          <w:rFonts w:hint="eastAsia" w:ascii="仿宋" w:hAnsi="仿宋" w:eastAsia="仿宋" w:cs="仿宋"/>
          <w:color w:val="auto"/>
          <w:szCs w:val="32"/>
          <w:highlight w:val="none"/>
        </w:rPr>
        <w:t>20个，截至2023年12月累计签约引进亿万元以上项目19个，协议总投资达106.20亿元，其中，投资30亿万元以上项目1个，投资10亿万元以上项目1个。基本完成年初设置的目标任务。</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eastAsia="仿宋" w:cs="仿宋"/>
          <w:b/>
          <w:bCs/>
          <w:snapToGrid/>
          <w:color w:val="auto"/>
          <w:szCs w:val="32"/>
          <w:highlight w:val="none"/>
        </w:rPr>
      </w:pPr>
      <w:r>
        <w:rPr>
          <w:rFonts w:hint="eastAsia" w:ascii="仿宋" w:hAnsi="仿宋" w:eastAsia="仿宋" w:cs="仿宋"/>
          <w:b/>
          <w:bCs/>
          <w:snapToGrid/>
          <w:color w:val="auto"/>
          <w:szCs w:val="32"/>
          <w:highlight w:val="none"/>
        </w:rPr>
        <w:t>（2）产出质量</w:t>
      </w:r>
    </w:p>
    <w:p>
      <w:pPr>
        <w:pStyle w:val="7"/>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highlight w:val="none"/>
        </w:rPr>
      </w:pPr>
      <w:r>
        <w:rPr>
          <w:rFonts w:hint="eastAsia" w:ascii="仿宋" w:hAnsi="仿宋" w:eastAsia="仿宋" w:cs="仿宋"/>
          <w:color w:val="auto"/>
          <w:highlight w:val="none"/>
          <w:lang w:eastAsia="zh-CN"/>
        </w:rPr>
        <w:t>高新区经合中心2023</w:t>
      </w:r>
      <w:r>
        <w:rPr>
          <w:rFonts w:hint="eastAsia" w:ascii="仿宋" w:hAnsi="仿宋" w:eastAsia="仿宋" w:cs="仿宋"/>
          <w:color w:val="auto"/>
          <w:highlight w:val="none"/>
        </w:rPr>
        <w:t>年</w:t>
      </w:r>
      <w:r>
        <w:rPr>
          <w:rFonts w:hint="eastAsia" w:ascii="仿宋" w:hAnsi="仿宋" w:eastAsia="仿宋" w:cs="仿宋"/>
          <w:color w:val="auto"/>
          <w:highlight w:val="none"/>
          <w:lang w:eastAsia="zh-CN"/>
        </w:rPr>
        <w:t>签约项目</w:t>
      </w:r>
      <w:r>
        <w:rPr>
          <w:rFonts w:hint="eastAsia" w:ascii="仿宋" w:hAnsi="仿宋" w:eastAsia="仿宋" w:cs="仿宋"/>
          <w:color w:val="auto"/>
          <w:highlight w:val="none"/>
        </w:rPr>
        <w:t>推进的24个项目，其2023年度的工作目标设定为</w:t>
      </w:r>
      <w:r>
        <w:rPr>
          <w:rFonts w:hint="eastAsia" w:ascii="仿宋" w:hAnsi="仿宋" w:eastAsia="仿宋" w:cs="仿宋"/>
          <w:color w:val="auto"/>
          <w:highlight w:val="none"/>
          <w:lang w:eastAsia="zh-CN"/>
        </w:rPr>
        <w:t>签约项目推进</w:t>
      </w:r>
      <w:r>
        <w:rPr>
          <w:rFonts w:hint="eastAsia" w:ascii="仿宋" w:hAnsi="仿宋" w:eastAsia="仿宋" w:cs="仿宋"/>
          <w:color w:val="auto"/>
          <w:highlight w:val="none"/>
        </w:rPr>
        <w:t>履约率达到90</w:t>
      </w:r>
      <w:r>
        <w:rPr>
          <w:rFonts w:hint="eastAsia" w:ascii="仿宋" w:hAnsi="仿宋" w:eastAsia="仿宋" w:cs="仿宋"/>
          <w:color w:val="auto"/>
          <w:highlight w:val="none"/>
          <w:lang w:val="en-US" w:eastAsia="zh-CN"/>
        </w:rPr>
        <w:t>.00</w:t>
      </w:r>
      <w:r>
        <w:rPr>
          <w:rFonts w:hint="eastAsia" w:ascii="仿宋" w:hAnsi="仿宋" w:eastAsia="仿宋" w:cs="仿宋"/>
          <w:color w:val="auto"/>
          <w:highlight w:val="none"/>
        </w:rPr>
        <w:t>%，开工率达到80</w:t>
      </w:r>
      <w:r>
        <w:rPr>
          <w:rFonts w:hint="eastAsia" w:ascii="仿宋" w:hAnsi="仿宋" w:eastAsia="仿宋" w:cs="仿宋"/>
          <w:color w:val="auto"/>
          <w:highlight w:val="none"/>
          <w:lang w:val="en-US" w:eastAsia="zh-CN"/>
        </w:rPr>
        <w:t>.00</w:t>
      </w:r>
      <w:r>
        <w:rPr>
          <w:rFonts w:hint="eastAsia" w:ascii="仿宋" w:hAnsi="仿宋" w:eastAsia="仿宋" w:cs="仿宋"/>
          <w:color w:val="auto"/>
          <w:highlight w:val="none"/>
        </w:rPr>
        <w:t>%，投产率达到30</w:t>
      </w:r>
      <w:r>
        <w:rPr>
          <w:rFonts w:hint="eastAsia" w:ascii="仿宋" w:hAnsi="仿宋" w:eastAsia="仿宋" w:cs="仿宋"/>
          <w:color w:val="auto"/>
          <w:highlight w:val="none"/>
          <w:lang w:val="en-US" w:eastAsia="zh-CN"/>
        </w:rPr>
        <w:t>.00</w:t>
      </w:r>
      <w:r>
        <w:rPr>
          <w:rFonts w:hint="eastAsia" w:ascii="仿宋" w:hAnsi="仿宋" w:eastAsia="仿宋" w:cs="仿宋"/>
          <w:color w:val="auto"/>
          <w:highlight w:val="none"/>
        </w:rPr>
        <w:t>%。</w:t>
      </w:r>
      <w:r>
        <w:rPr>
          <w:rFonts w:hint="eastAsia" w:ascii="仿宋" w:hAnsi="仿宋" w:eastAsia="仿宋" w:cs="仿宋"/>
          <w:color w:val="auto"/>
          <w:highlight w:val="none"/>
          <w:lang w:eastAsia="zh-CN"/>
        </w:rPr>
        <w:t>截</w:t>
      </w:r>
      <w:r>
        <w:rPr>
          <w:rFonts w:hint="eastAsia" w:ascii="仿宋" w:hAnsi="仿宋" w:eastAsia="仿宋" w:cs="仿宋"/>
          <w:color w:val="auto"/>
          <w:highlight w:val="none"/>
        </w:rPr>
        <w:t>至2023年年底，“983”三项指标的完成情况分别为：履约率83.33%，开工率54.17%，投产率41.66%。由于经济复苏动力不足，整体投资经济环境面临严峻挑战，市场需求的波动性和不确定性有所增加，导致部门部分项目在推进过程中遭遇资金不足的困境，进而影响了项目的经济效益和投产计划，对年初设定的目标任务的完成造成了影响。</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firstLine="321" w:firstLineChars="100"/>
        <w:jc w:val="both"/>
        <w:textAlignment w:val="baseline"/>
        <w:outlineLvl w:val="3"/>
        <w:rPr>
          <w:rFonts w:hint="eastAsia" w:ascii="仿宋" w:hAnsi="仿宋" w:eastAsia="仿宋" w:cs="仿宋"/>
          <w:b/>
          <w:bCs/>
          <w:snapToGrid/>
          <w:color w:val="auto"/>
          <w:szCs w:val="32"/>
          <w:highlight w:val="none"/>
        </w:rPr>
      </w:pPr>
      <w:r>
        <w:rPr>
          <w:rFonts w:hint="eastAsia" w:ascii="仿宋" w:hAnsi="仿宋" w:eastAsia="仿宋" w:cs="仿宋"/>
          <w:b/>
          <w:bCs/>
          <w:snapToGrid/>
          <w:color w:val="auto"/>
          <w:szCs w:val="32"/>
          <w:highlight w:val="none"/>
        </w:rPr>
        <w:t>（3）职责履行</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4"/>
        <w:rPr>
          <w:rFonts w:hint="eastAsia" w:ascii="仿宋" w:hAnsi="仿宋" w:eastAsia="仿宋" w:cs="仿宋"/>
          <w:snapToGrid/>
          <w:color w:val="auto"/>
          <w:szCs w:val="32"/>
          <w:highlight w:val="none"/>
        </w:rPr>
      </w:pPr>
      <w:bookmarkStart w:id="2098" w:name="_Toc15937"/>
      <w:bookmarkStart w:id="2099" w:name="_Toc4080"/>
      <w:bookmarkStart w:id="2100" w:name="_Toc4358"/>
      <w:bookmarkStart w:id="2101" w:name="_Toc850"/>
      <w:bookmarkStart w:id="2102" w:name="_Toc26546"/>
      <w:bookmarkStart w:id="2103" w:name="_Toc1619"/>
      <w:bookmarkStart w:id="2104" w:name="_Toc8491"/>
      <w:r>
        <w:rPr>
          <w:rFonts w:hint="eastAsia" w:ascii="仿宋" w:hAnsi="仿宋" w:eastAsia="仿宋" w:cs="仿宋"/>
          <w:snapToGrid/>
          <w:color w:val="auto"/>
          <w:szCs w:val="32"/>
          <w:highlight w:val="none"/>
        </w:rPr>
        <w:t>1）工作发展</w:t>
      </w:r>
      <w:bookmarkEnd w:id="2098"/>
      <w:bookmarkEnd w:id="2099"/>
      <w:bookmarkEnd w:id="2100"/>
      <w:bookmarkEnd w:id="2101"/>
      <w:bookmarkEnd w:id="2102"/>
      <w:bookmarkEnd w:id="2103"/>
      <w:bookmarkEnd w:id="2104"/>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snapToGrid/>
          <w:color w:val="auto"/>
          <w:szCs w:val="32"/>
          <w:highlight w:val="none"/>
        </w:rPr>
      </w:pPr>
      <w:r>
        <w:rPr>
          <w:rFonts w:hint="eastAsia" w:ascii="仿宋" w:hAnsi="仿宋" w:eastAsia="仿宋" w:cs="仿宋"/>
          <w:snapToGrid/>
          <w:color w:val="auto"/>
          <w:szCs w:val="32"/>
          <w:highlight w:val="none"/>
        </w:rPr>
        <w:t>本项考核高新区经合中心在工作能力、工作影响、工作业绩等方面是否积极向前发展，是否争先进位取得突破。主要为通过履职，部门工作取得的积极发展情况，在</w:t>
      </w:r>
      <w:r>
        <w:rPr>
          <w:rFonts w:hint="eastAsia" w:ascii="仿宋" w:hAnsi="仿宋" w:eastAsia="仿宋" w:cs="仿宋"/>
          <w:color w:val="auto"/>
          <w:szCs w:val="32"/>
          <w:highlight w:val="none"/>
        </w:rPr>
        <w:t>全市排名</w:t>
      </w:r>
      <w:r>
        <w:rPr>
          <w:rFonts w:hint="eastAsia" w:ascii="仿宋" w:hAnsi="仿宋" w:eastAsia="仿宋" w:cs="仿宋"/>
          <w:snapToGrid/>
          <w:color w:val="auto"/>
          <w:szCs w:val="32"/>
          <w:highlight w:val="none"/>
        </w:rPr>
        <w:t>争先排位升降情况。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highlight w:val="none"/>
        </w:rPr>
      </w:pPr>
      <w:r>
        <w:rPr>
          <w:rFonts w:hint="eastAsia" w:ascii="仿宋" w:hAnsi="仿宋" w:eastAsia="仿宋" w:cs="仿宋"/>
          <w:color w:val="auto"/>
          <w:highlight w:val="none"/>
        </w:rPr>
        <w:t>根据高新区经合中心工作中存在的一些不足，目前在谈的企业大多要求产业基金股权投入，但园区在这一方面缺乏专业人才和运营团队，基金规模较小且风险较大；受全球经济复苏乏力影响，外资企业投资信心不强，导致外资项目少，外商直接投资任务完成较慢。专业招商队伍薄弱，对项目研判的专业度、精准度还不够，对重点产业的政策把握、产业研究、龙头企业分析还不够。</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highlight w:val="none"/>
        </w:rPr>
      </w:pPr>
      <w:r>
        <w:rPr>
          <w:rFonts w:hint="eastAsia" w:ascii="仿宋" w:hAnsi="仿宋" w:eastAsia="仿宋" w:cs="仿宋"/>
          <w:color w:val="auto"/>
          <w:highlight w:val="none"/>
        </w:rPr>
        <w:t>对于高新区经合中心工作存在的不足，高新区经合中心积极调整思路，优化服务流程，确保各项目稳步推进。</w:t>
      </w:r>
      <w:r>
        <w:rPr>
          <w:rFonts w:hint="eastAsia" w:ascii="仿宋" w:hAnsi="仿宋" w:eastAsia="仿宋" w:cs="仿宋"/>
          <w:bCs/>
          <w:color w:val="auto"/>
          <w:szCs w:val="32"/>
          <w:highlight w:val="none"/>
        </w:rPr>
        <w:t>紧盯“2+2”主导产业以及预制菜、数字经济等新兴产业，坚持靶向发力</w:t>
      </w:r>
      <w:r>
        <w:rPr>
          <w:rFonts w:hint="eastAsia" w:ascii="仿宋" w:hAnsi="仿宋" w:eastAsia="仿宋" w:cs="仿宋"/>
          <w:color w:val="auto"/>
          <w:highlight w:val="none"/>
        </w:rPr>
        <w:t>精准招商，深度对接重点城市，面向发达国家和地区及新兴市场，着力招引一批带动性、引领性、支撑性强的大项目、好项目。充分利用“中外知名企业四川行”“</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"http://www.baidu.com/link?url=jseo3u8Poup1ctAdd8ZSd5mu3YNCoqBZSvSA7uTKyWtz5mlotlTAxxr1SkQKq5BPB0QH-n6Vo_kEHmLVkkqN8kVQDSJIesWWeE0Pe2A0oRNzzFXmUPxUrX5ijxpzYH2C" \t "https://www.baidu.com/_blank"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中国（遂宁）国际锂电产业大会</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t>”等各类活动资源优势</w:t>
      </w:r>
      <w:r>
        <w:rPr>
          <w:rFonts w:hint="eastAsia" w:ascii="仿宋" w:hAnsi="仿宋" w:eastAsia="仿宋" w:cs="仿宋"/>
          <w:color w:val="auto"/>
          <w:highlight w:val="none"/>
          <w:lang w:eastAsia="zh-CN"/>
        </w:rPr>
        <w:t>。</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eastAsia="仿宋" w:cs="仿宋"/>
          <w:color w:val="auto"/>
          <w:highlight w:val="none"/>
        </w:rPr>
      </w:pPr>
      <w:r>
        <w:rPr>
          <w:rFonts w:hint="eastAsia" w:ascii="仿宋" w:hAnsi="仿宋" w:eastAsia="仿宋" w:cs="仿宋"/>
          <w:color w:val="auto"/>
          <w:szCs w:val="32"/>
          <w:highlight w:val="none"/>
          <w:lang w:bidi="ar"/>
        </w:rPr>
        <w:t>2）</w:t>
      </w:r>
      <w:r>
        <w:rPr>
          <w:rFonts w:hint="eastAsia" w:ascii="仿宋" w:hAnsi="仿宋" w:eastAsia="仿宋" w:cs="仿宋"/>
          <w:color w:val="auto"/>
          <w:highlight w:val="none"/>
        </w:rPr>
        <w:t>重点工作办理情况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snapToGrid/>
          <w:color w:val="auto"/>
          <w:szCs w:val="32"/>
          <w:highlight w:val="none"/>
        </w:rPr>
      </w:pPr>
      <w:r>
        <w:rPr>
          <w:rFonts w:hint="eastAsia" w:ascii="仿宋" w:hAnsi="仿宋" w:eastAsia="仿宋" w:cs="仿宋"/>
          <w:snapToGrid/>
          <w:color w:val="auto"/>
          <w:szCs w:val="32"/>
          <w:highlight w:val="none"/>
        </w:rPr>
        <w:t>2023年度高新区经合中心不存在涉及党委、政府、人大、相关部门交办重点工作。</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bookmarkStart w:id="2105" w:name="_Toc1362"/>
      <w:bookmarkStart w:id="2106" w:name="_Toc14487"/>
      <w:bookmarkStart w:id="2107" w:name="_Toc17029"/>
      <w:bookmarkStart w:id="2108" w:name="_Toc24198"/>
      <w:bookmarkStart w:id="2109" w:name="_Toc13185"/>
      <w:r>
        <w:rPr>
          <w:rFonts w:hint="eastAsia" w:ascii="楷体" w:hAnsi="楷体" w:eastAsia="楷体" w:cs="楷体"/>
          <w:color w:val="auto"/>
          <w:highlight w:val="none"/>
        </w:rPr>
        <w:t>4.效益指标</w:t>
      </w:r>
      <w:bookmarkEnd w:id="2105"/>
      <w:bookmarkEnd w:id="2106"/>
      <w:bookmarkEnd w:id="2107"/>
      <w:bookmarkEnd w:id="2108"/>
      <w:bookmarkEnd w:id="2109"/>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snapToGrid/>
          <w:color w:val="auto"/>
          <w:szCs w:val="32"/>
          <w:highlight w:val="none"/>
        </w:rPr>
      </w:pPr>
      <w:r>
        <w:rPr>
          <w:rFonts w:hint="eastAsia" w:ascii="仿宋" w:hAnsi="仿宋" w:cs="仿宋"/>
          <w:snapToGrid/>
          <w:color w:val="auto"/>
          <w:szCs w:val="32"/>
          <w:highlight w:val="none"/>
        </w:rPr>
        <w:t>结合2023年度高新区经合中心绩效目标设定情况，此次评价对高新区经合中心工作完成情况和效益实现进行评价，2023年高新区经合中心工作计划内所做的工作和实施的政策，增加就业岗位满足群众就业；同时通过招商引资增加税收收入，招商引资影响，2023年度高新区经合中心的工作开展和政策施行产生了一定的经济效益，具有很好的社会效益。总体满意度较高。该指标分值20.00分，得分19.50分，得分率97.50%。评分见下表：</w:t>
      </w:r>
    </w:p>
    <w:p>
      <w:pPr>
        <w:keepLines w:val="0"/>
        <w:pageBreakBefore w:val="0"/>
        <w:widowControl w:val="0"/>
        <w:kinsoku/>
        <w:wordWrap/>
        <w:overflowPunct w:val="0"/>
        <w:topLinePunct w:val="0"/>
        <w:autoSpaceDE w:val="0"/>
        <w:autoSpaceDN w:val="0"/>
        <w:bidi w:val="0"/>
        <w:spacing w:line="560" w:lineRule="exact"/>
        <w:ind w:left="0" w:leftChars="0" w:firstLine="562" w:firstLineChars="200"/>
        <w:jc w:val="center"/>
        <w:outlineLvl w:val="3"/>
        <w:rPr>
          <w:rFonts w:hint="eastAsia" w:ascii="宋体" w:hAnsi="宋体" w:eastAsia="宋体" w:cs="宋体"/>
          <w:b/>
          <w:bCs/>
          <w:iCs/>
          <w:color w:val="auto"/>
          <w:sz w:val="28"/>
          <w:highlight w:val="none"/>
        </w:rPr>
      </w:pPr>
      <w:r>
        <w:rPr>
          <w:rFonts w:hint="eastAsia" w:ascii="宋体" w:hAnsi="宋体" w:eastAsia="宋体" w:cs="宋体"/>
          <w:b/>
          <w:bCs/>
          <w:iCs/>
          <w:color w:val="auto"/>
          <w:sz w:val="28"/>
          <w:highlight w:val="none"/>
        </w:rPr>
        <w:t>效益指标设定及评分情况表</w:t>
      </w:r>
    </w:p>
    <w:p>
      <w:pPr>
        <w:pStyle w:val="29"/>
        <w:keepNext w:val="0"/>
        <w:keepLines w:val="0"/>
        <w:pageBreakBefore w:val="0"/>
        <w:widowControl w:val="0"/>
        <w:kinsoku/>
        <w:wordWrap/>
        <w:overflowPunct w:val="0"/>
        <w:topLinePunct w:val="0"/>
        <w:autoSpaceDE w:val="0"/>
        <w:autoSpaceDN w:val="0"/>
        <w:bidi w:val="0"/>
        <w:adjustRightInd w:val="0"/>
        <w:snapToGrid w:val="0"/>
        <w:spacing w:line="20" w:lineRule="atLeast"/>
        <w:textAlignment w:val="baseline"/>
        <w:rPr>
          <w:rFonts w:hint="eastAsia"/>
          <w:color w:val="auto"/>
          <w:highlight w:val="none"/>
        </w:rPr>
      </w:pPr>
    </w:p>
    <w:tbl>
      <w:tblPr>
        <w:tblStyle w:val="19"/>
        <w:tblW w:w="84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6"/>
        <w:gridCol w:w="1798"/>
        <w:gridCol w:w="2421"/>
        <w:gridCol w:w="1461"/>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74" w:type="dxa"/>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b/>
                <w:snapToGrid w:val="0"/>
                <w:color w:val="auto"/>
                <w:sz w:val="24"/>
                <w:szCs w:val="24"/>
                <w:highlight w:val="none"/>
              </w:rPr>
            </w:pPr>
            <w:r>
              <w:rPr>
                <w:rFonts w:hint="eastAsia" w:ascii="宋体" w:hAnsi="宋体" w:eastAsia="宋体" w:cs="宋体"/>
                <w:b/>
                <w:snapToGrid w:val="0"/>
                <w:color w:val="auto"/>
                <w:sz w:val="24"/>
                <w:szCs w:val="24"/>
                <w:highlight w:val="none"/>
              </w:rPr>
              <w:t>一级指标</w:t>
            </w:r>
          </w:p>
        </w:tc>
        <w:tc>
          <w:tcPr>
            <w:tcW w:w="1819"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b/>
                <w:snapToGrid w:val="0"/>
                <w:color w:val="auto"/>
                <w:sz w:val="24"/>
                <w:szCs w:val="24"/>
                <w:highlight w:val="none"/>
              </w:rPr>
            </w:pPr>
            <w:r>
              <w:rPr>
                <w:rFonts w:hint="eastAsia" w:ascii="宋体" w:hAnsi="宋体" w:eastAsia="宋体" w:cs="宋体"/>
                <w:b/>
                <w:bCs/>
                <w:snapToGrid w:val="0"/>
                <w:color w:val="auto"/>
                <w:sz w:val="24"/>
                <w:szCs w:val="24"/>
                <w:highlight w:val="none"/>
              </w:rPr>
              <w:t>二级指标</w:t>
            </w:r>
          </w:p>
        </w:tc>
        <w:tc>
          <w:tcPr>
            <w:tcW w:w="2470"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b/>
                <w:snapToGrid w:val="0"/>
                <w:color w:val="auto"/>
                <w:sz w:val="24"/>
                <w:szCs w:val="24"/>
                <w:highlight w:val="none"/>
              </w:rPr>
            </w:pPr>
            <w:r>
              <w:rPr>
                <w:rFonts w:hint="eastAsia" w:ascii="宋体" w:hAnsi="宋体" w:eastAsia="宋体" w:cs="宋体"/>
                <w:b/>
                <w:snapToGrid w:val="0"/>
                <w:color w:val="auto"/>
                <w:sz w:val="24"/>
                <w:szCs w:val="24"/>
                <w:highlight w:val="none"/>
              </w:rPr>
              <w:t>三级指标</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b/>
                <w:snapToGrid w:val="0"/>
                <w:color w:val="auto"/>
                <w:sz w:val="24"/>
                <w:szCs w:val="24"/>
                <w:highlight w:val="none"/>
              </w:rPr>
            </w:pPr>
            <w:r>
              <w:rPr>
                <w:rFonts w:hint="eastAsia" w:ascii="宋体" w:hAnsi="宋体" w:eastAsia="宋体" w:cs="宋体"/>
                <w:b/>
                <w:snapToGrid w:val="0"/>
                <w:color w:val="auto"/>
                <w:sz w:val="24"/>
                <w:szCs w:val="24"/>
                <w:highlight w:val="none"/>
              </w:rPr>
              <w:t>分值</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b/>
                <w:snapToGrid w:val="0"/>
                <w:color w:val="auto"/>
                <w:sz w:val="24"/>
                <w:szCs w:val="24"/>
                <w:highlight w:val="none"/>
              </w:rPr>
            </w:pPr>
            <w:r>
              <w:rPr>
                <w:rFonts w:hint="eastAsia" w:ascii="宋体" w:hAnsi="宋体" w:eastAsia="宋体" w:cs="宋体"/>
                <w:b/>
                <w:snapToGrid w:val="0"/>
                <w:color w:val="auto"/>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74" w:type="dxa"/>
            <w:vMerge w:val="restart"/>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效益指标</w:t>
            </w:r>
          </w:p>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（20分）</w:t>
            </w:r>
          </w:p>
        </w:tc>
        <w:tc>
          <w:tcPr>
            <w:tcW w:w="1819" w:type="dxa"/>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经济效益（5分）</w:t>
            </w:r>
          </w:p>
        </w:tc>
        <w:tc>
          <w:tcPr>
            <w:tcW w:w="2470"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完成税收</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5.00</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74"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1819" w:type="dxa"/>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社会效益（5分）</w:t>
            </w:r>
          </w:p>
        </w:tc>
        <w:tc>
          <w:tcPr>
            <w:tcW w:w="2470"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就业岗位</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5.00</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274"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1819" w:type="dxa"/>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可持续影响</w:t>
            </w:r>
          </w:p>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（5分）</w:t>
            </w:r>
          </w:p>
        </w:tc>
        <w:tc>
          <w:tcPr>
            <w:tcW w:w="2470"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可持续影响</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5.00</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274"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1819" w:type="dxa"/>
            <w:vMerge w:val="restart"/>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满意度（5分）</w:t>
            </w:r>
          </w:p>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2470" w:type="dxa"/>
            <w:vAlign w:val="center"/>
          </w:tcPr>
          <w:p>
            <w:pPr>
              <w:keepLines w:val="0"/>
              <w:pageBreakBefore w:val="0"/>
              <w:widowControl w:val="0"/>
              <w:kinsoku/>
              <w:wordWrap/>
              <w:overflowPunct w:val="0"/>
              <w:topLinePunct w:val="0"/>
              <w:autoSpaceDE w:val="0"/>
              <w:autoSpaceDN w:val="0"/>
              <w:bidi w:val="0"/>
              <w:spacing w:line="240" w:lineRule="auto"/>
              <w:jc w:val="cente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社会公众或服务对象满意度</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3.00</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274"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1819" w:type="dxa"/>
            <w:vMerge w:val="continue"/>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2470" w:type="dxa"/>
            <w:vAlign w:val="center"/>
          </w:tcPr>
          <w:p>
            <w:pPr>
              <w:keepLines w:val="0"/>
              <w:pageBreakBefore w:val="0"/>
              <w:widowControl w:val="0"/>
              <w:kinsoku/>
              <w:wordWrap/>
              <w:overflowPunct w:val="0"/>
              <w:topLinePunct w:val="0"/>
              <w:autoSpaceDE w:val="0"/>
              <w:autoSpaceDN w:val="0"/>
              <w:bidi w:val="0"/>
              <w:spacing w:line="240" w:lineRule="auto"/>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评价配合情况满意度</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2.00</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74"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1819"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0" w:firstLineChars="200"/>
              <w:jc w:val="both"/>
              <w:rPr>
                <w:rFonts w:hint="eastAsia" w:ascii="宋体" w:hAnsi="宋体" w:eastAsia="宋体" w:cs="宋体"/>
                <w:snapToGrid w:val="0"/>
                <w:color w:val="auto"/>
                <w:sz w:val="24"/>
                <w:szCs w:val="24"/>
                <w:highlight w:val="none"/>
              </w:rPr>
            </w:pPr>
          </w:p>
        </w:tc>
        <w:tc>
          <w:tcPr>
            <w:tcW w:w="2470"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snapToGrid w:val="0"/>
                <w:color w:val="auto"/>
                <w:sz w:val="24"/>
                <w:szCs w:val="24"/>
                <w:highlight w:val="none"/>
              </w:rPr>
            </w:pPr>
            <w:r>
              <w:rPr>
                <w:rFonts w:hint="eastAsia" w:ascii="宋体" w:hAnsi="宋体" w:eastAsia="宋体" w:cs="宋体"/>
                <w:b/>
                <w:snapToGrid w:val="0"/>
                <w:color w:val="auto"/>
                <w:sz w:val="24"/>
                <w:szCs w:val="24"/>
                <w:highlight w:val="none"/>
              </w:rPr>
              <w:t>本项分数合计</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b/>
                <w:bCs/>
                <w:snapToGrid w:val="0"/>
                <w:color w:val="auto"/>
                <w:sz w:val="24"/>
                <w:szCs w:val="24"/>
                <w:highlight w:val="none"/>
              </w:rPr>
            </w:pPr>
            <w:r>
              <w:rPr>
                <w:rFonts w:hint="eastAsia" w:ascii="宋体" w:hAnsi="宋体" w:eastAsia="宋体" w:cs="宋体"/>
                <w:b/>
                <w:bCs/>
                <w:snapToGrid w:val="0"/>
                <w:color w:val="auto"/>
                <w:sz w:val="24"/>
                <w:szCs w:val="24"/>
                <w:highlight w:val="none"/>
              </w:rPr>
              <w:t>20.00</w:t>
            </w:r>
          </w:p>
        </w:tc>
        <w:tc>
          <w:tcPr>
            <w:tcW w:w="1457" w:type="dxa"/>
            <w:vAlign w:val="center"/>
          </w:tcPr>
          <w:p>
            <w:pPr>
              <w:keepLines w:val="0"/>
              <w:pageBreakBefore w:val="0"/>
              <w:widowControl w:val="0"/>
              <w:kinsoku/>
              <w:wordWrap/>
              <w:overflowPunct w:val="0"/>
              <w:topLinePunct w:val="0"/>
              <w:autoSpaceDE w:val="0"/>
              <w:autoSpaceDN w:val="0"/>
              <w:bidi w:val="0"/>
              <w:spacing w:line="240" w:lineRule="auto"/>
              <w:ind w:left="0" w:leftChars="0" w:firstLine="482" w:firstLineChars="200"/>
              <w:jc w:val="both"/>
              <w:rPr>
                <w:rFonts w:hint="eastAsia" w:ascii="宋体" w:hAnsi="宋体" w:eastAsia="宋体" w:cs="宋体"/>
                <w:b/>
                <w:bCs/>
                <w:snapToGrid w:val="0"/>
                <w:color w:val="auto"/>
                <w:sz w:val="24"/>
                <w:szCs w:val="24"/>
                <w:highlight w:val="none"/>
              </w:rPr>
            </w:pPr>
            <w:r>
              <w:rPr>
                <w:rFonts w:hint="eastAsia" w:ascii="宋体" w:hAnsi="宋体" w:eastAsia="宋体" w:cs="宋体"/>
                <w:b/>
                <w:bCs/>
                <w:snapToGrid w:val="0"/>
                <w:color w:val="auto"/>
                <w:sz w:val="24"/>
                <w:szCs w:val="24"/>
                <w:highlight w:val="none"/>
              </w:rPr>
              <w:t>19.50</w:t>
            </w:r>
          </w:p>
        </w:tc>
      </w:tr>
    </w:tbl>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snapToGrid/>
          <w:color w:val="auto"/>
          <w:szCs w:val="32"/>
          <w:highlight w:val="none"/>
        </w:rPr>
      </w:pPr>
      <w:r>
        <w:rPr>
          <w:rFonts w:hint="eastAsia" w:ascii="仿宋" w:hAnsi="仿宋" w:cs="仿宋"/>
          <w:b/>
          <w:bCs/>
          <w:snapToGrid/>
          <w:color w:val="auto"/>
          <w:szCs w:val="32"/>
          <w:highlight w:val="none"/>
        </w:rPr>
        <w:t>（1）经济效益</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val="0"/>
        <w:topLinePunct w:val="0"/>
        <w:autoSpaceDE w:val="0"/>
        <w:autoSpaceDN w:val="0"/>
        <w:bidi w:val="0"/>
        <w:adjustRightInd w:val="0"/>
        <w:snapToGrid w:val="0"/>
        <w:spacing w:beforeAutospacing="0" w:afterAutospacing="0" w:line="560" w:lineRule="exact"/>
        <w:ind w:left="0" w:leftChars="0" w:right="0" w:rightChars="0" w:firstLine="640" w:firstLineChars="200"/>
        <w:jc w:val="both"/>
        <w:textAlignment w:val="baseline"/>
        <w:rPr>
          <w:rFonts w:hint="default" w:ascii="仿宋" w:hAnsi="仿宋" w:eastAsia="仿宋" w:cs="仿宋"/>
          <w:snapToGrid/>
          <w:color w:val="auto"/>
          <w:sz w:val="32"/>
          <w:highlight w:val="none"/>
        </w:rPr>
      </w:pPr>
      <w:r>
        <w:rPr>
          <w:rFonts w:hint="eastAsia" w:ascii="仿宋" w:hAnsi="仿宋" w:eastAsia="仿宋" w:cs="仿宋"/>
          <w:snapToGrid w:val="0"/>
          <w:color w:val="auto"/>
          <w:sz w:val="32"/>
          <w:szCs w:val="32"/>
          <w:highlight w:val="none"/>
          <w:lang w:val="en-US" w:eastAsia="zh-CN" w:bidi="ar-SA"/>
        </w:rPr>
        <w:t>2023年高新区经合中心工作计划内所做的工作和实施的政策，招商引资对地方经济的影响是全方位的。它可以带动地方经济的增长，改善地方的经济结构，</w:t>
      </w:r>
      <w:r>
        <w:rPr>
          <w:rFonts w:hint="default" w:ascii="仿宋" w:hAnsi="仿宋" w:eastAsia="仿宋" w:cs="仿宋"/>
          <w:snapToGrid w:val="0"/>
          <w:color w:val="auto"/>
          <w:sz w:val="32"/>
          <w:szCs w:val="32"/>
          <w:highlight w:val="none"/>
          <w:lang w:val="en-US" w:eastAsia="zh-CN" w:bidi="ar-SA"/>
        </w:rPr>
        <w:t>协议总投资达106.2</w:t>
      </w:r>
      <w:r>
        <w:rPr>
          <w:rFonts w:hint="eastAsia" w:ascii="仿宋" w:hAnsi="仿宋" w:cs="仿宋"/>
          <w:snapToGrid w:val="0"/>
          <w:color w:val="auto"/>
          <w:sz w:val="32"/>
          <w:szCs w:val="32"/>
          <w:highlight w:val="none"/>
          <w:lang w:val="en-US" w:eastAsia="zh-CN" w:bidi="ar-SA"/>
        </w:rPr>
        <w:t>0</w:t>
      </w:r>
      <w:r>
        <w:rPr>
          <w:rFonts w:hint="default" w:ascii="仿宋" w:hAnsi="仿宋" w:eastAsia="仿宋" w:cs="仿宋"/>
          <w:snapToGrid w:val="0"/>
          <w:color w:val="auto"/>
          <w:sz w:val="32"/>
          <w:szCs w:val="32"/>
          <w:highlight w:val="none"/>
          <w:lang w:val="en-US" w:eastAsia="zh-CN" w:bidi="ar-SA"/>
        </w:rPr>
        <w:t>亿元，超额完成年度签约项目个数目标任务，为区域经济带来显著的资本注入。</w:t>
      </w:r>
      <w:r>
        <w:rPr>
          <w:rFonts w:hint="eastAsia" w:ascii="仿宋" w:hAnsi="仿宋" w:eastAsia="仿宋" w:cs="仿宋"/>
          <w:snapToGrid w:val="0"/>
          <w:color w:val="auto"/>
          <w:sz w:val="32"/>
          <w:szCs w:val="32"/>
          <w:highlight w:val="none"/>
          <w:lang w:val="en-US" w:eastAsia="zh-CN" w:bidi="ar-SA"/>
        </w:rPr>
        <w:t>通过《2023年度高新技术开发区一般公共预算收入决算录入表》的数据中显示实现税收入达到2.34亿元。</w:t>
      </w:r>
      <w:r>
        <w:rPr>
          <w:rFonts w:hint="default" w:ascii="仿宋" w:hAnsi="仿宋" w:eastAsia="仿宋" w:cs="仿宋"/>
          <w:snapToGrid w:val="0"/>
          <w:color w:val="auto"/>
          <w:sz w:val="32"/>
          <w:szCs w:val="32"/>
          <w:highlight w:val="none"/>
          <w:lang w:val="en-US" w:eastAsia="zh-CN" w:bidi="ar-SA"/>
        </w:rPr>
        <w:t>大项目的引进将为来年项目建设与经济发展提供</w:t>
      </w:r>
      <w:r>
        <w:rPr>
          <w:rFonts w:hint="eastAsia" w:ascii="仿宋" w:hAnsi="仿宋" w:cs="仿宋"/>
          <w:snapToGrid w:val="0"/>
          <w:color w:val="auto"/>
          <w:sz w:val="32"/>
          <w:szCs w:val="32"/>
          <w:highlight w:val="none"/>
          <w:lang w:val="en-US" w:eastAsia="zh-CN" w:bidi="ar-SA"/>
        </w:rPr>
        <w:t>有利</w:t>
      </w:r>
      <w:r>
        <w:rPr>
          <w:rFonts w:hint="default" w:ascii="仿宋" w:hAnsi="仿宋" w:eastAsia="仿宋" w:cs="仿宋"/>
          <w:snapToGrid w:val="0"/>
          <w:color w:val="auto"/>
          <w:sz w:val="32"/>
          <w:szCs w:val="32"/>
          <w:highlight w:val="none"/>
          <w:lang w:val="en-US" w:eastAsia="zh-CN" w:bidi="ar-SA"/>
        </w:rPr>
        <w:t>基础，预计带来长期且稳定的经济增长。</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snapToGrid/>
          <w:color w:val="auto"/>
          <w:szCs w:val="32"/>
          <w:highlight w:val="none"/>
        </w:rPr>
      </w:pPr>
      <w:r>
        <w:rPr>
          <w:rFonts w:hint="eastAsia" w:ascii="仿宋" w:hAnsi="仿宋" w:cs="仿宋"/>
          <w:b/>
          <w:bCs/>
          <w:snapToGrid/>
          <w:color w:val="auto"/>
          <w:szCs w:val="32"/>
          <w:highlight w:val="none"/>
        </w:rPr>
        <w:t>（2）社会效益</w:t>
      </w:r>
    </w:p>
    <w:p>
      <w:pPr>
        <w:pStyle w:val="29"/>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 w:val="32"/>
          <w:highlight w:val="none"/>
        </w:rPr>
      </w:pPr>
      <w:r>
        <w:rPr>
          <w:rFonts w:hint="eastAsia" w:ascii="仿宋" w:hAnsi="仿宋" w:eastAsia="仿宋" w:cs="仿宋"/>
          <w:color w:val="auto"/>
          <w:sz w:val="32"/>
          <w:highlight w:val="none"/>
        </w:rPr>
        <w:t>2023年高新区经合中心在完成招商引资有利于促进园区经济快速发展引进高科技人才、促进群众就业可以推动地方就业和人才流动。引进大量的投资和项目，会创造大量的就业机会，提供更多的就业岗位，促进人口就业和转移农民工就业。引进的投资还会带动相关产业的发展，吸引更多的人才流入地方，提高地方的技术人才和管理人才的素质和数量，为地方经济发展提供人才支撑。招商引资在社会效益方面发挥了积极作用，包括增加就业机会、改善居民生活条件等方面。</w:t>
      </w:r>
    </w:p>
    <w:p>
      <w:pPr>
        <w:pStyle w:val="5"/>
        <w:keepNext/>
        <w:keepLines/>
        <w:pageBreakBefore w:val="0"/>
        <w:widowControl/>
        <w:numPr>
          <w:ilvl w:val="0"/>
          <w:numId w:val="7"/>
        </w:numPr>
        <w:kinsoku w:val="0"/>
        <w:wordWrap/>
        <w:overflowPunct/>
        <w:topLinePunct w:val="0"/>
        <w:autoSpaceDE w:val="0"/>
        <w:autoSpaceDN w:val="0"/>
        <w:bidi w:val="0"/>
        <w:adjustRightInd w:val="0"/>
        <w:snapToGrid w:val="0"/>
        <w:spacing w:before="0" w:after="0" w:line="560" w:lineRule="exact"/>
        <w:ind w:firstLine="643"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可持续性影响</w:t>
      </w:r>
    </w:p>
    <w:p>
      <w:pPr>
        <w:pStyle w:val="5"/>
        <w:keepNext/>
        <w:keepLines/>
        <w:pageBreakBefore w:val="0"/>
        <w:widowControl/>
        <w:numPr>
          <w:ilvl w:val="0"/>
          <w:numId w:val="0"/>
        </w:numPr>
        <w:kinsoku w:val="0"/>
        <w:wordWrap/>
        <w:overflowPunct/>
        <w:topLinePunct w:val="0"/>
        <w:autoSpaceDE w:val="0"/>
        <w:autoSpaceDN w:val="0"/>
        <w:bidi w:val="0"/>
        <w:adjustRightInd w:val="0"/>
        <w:snapToGrid w:val="0"/>
        <w:spacing w:before="0" w:after="0" w:line="560" w:lineRule="exact"/>
        <w:ind w:firstLine="640" w:firstLineChars="200"/>
        <w:jc w:val="both"/>
        <w:textAlignment w:val="baseline"/>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rPr>
        <w:t>通过招商引资，可以持续推动园区的经济建设、基础设施建设以及群众就业等方面的持续发展和深远影响。这种持续的影响不仅体现在短期内的经济增长和就业机会的增加，更在于长期的产业升级、技术创新和社会稳定。招商引资能够吸引更多的企业和资本进入园区，从而带动相关产业链的发展，提升整个园区的经济活力。同时，基础设施的不断完善和优化，将为园区内的企业和居民提供更好的生产和生活条件，进一步促进经济的繁荣和社会的进步。此外，随着企业的入驻和产业的发展，更多的就业机会将被创造出来，为当地群众提供稳定的收入来源，改善他们的生活水平，促进社会的和谐与稳定。因此，招商引资不仅是一种经济行为，更是一种具有深远社会影响的战略举措，能够为园区乃至整个地区的可持续发展提供强大的动力和支持。</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snapToGrid/>
          <w:color w:val="auto"/>
          <w:szCs w:val="32"/>
          <w:highlight w:val="none"/>
        </w:rPr>
      </w:pPr>
      <w:r>
        <w:rPr>
          <w:rFonts w:hint="eastAsia" w:ascii="仿宋" w:hAnsi="仿宋" w:cs="仿宋"/>
          <w:b/>
          <w:bCs/>
          <w:snapToGrid/>
          <w:color w:val="auto"/>
          <w:szCs w:val="32"/>
          <w:highlight w:val="none"/>
        </w:rPr>
        <w:t>（4）满意度指标</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0" w:firstLineChars="200"/>
        <w:jc w:val="both"/>
        <w:textAlignment w:val="baseline"/>
        <w:outlineLvl w:val="4"/>
        <w:rPr>
          <w:rFonts w:hint="eastAsia" w:ascii="仿宋" w:hAnsi="仿宋" w:cs="仿宋"/>
          <w:bCs/>
          <w:snapToGrid/>
          <w:color w:val="auto"/>
          <w:szCs w:val="32"/>
          <w:highlight w:val="none"/>
        </w:rPr>
      </w:pPr>
      <w:r>
        <w:rPr>
          <w:rStyle w:val="33"/>
          <w:rFonts w:hint="eastAsia" w:ascii="仿宋" w:hAnsi="仿宋" w:cs="仿宋"/>
          <w:b w:val="0"/>
          <w:bCs/>
          <w:color w:val="auto"/>
          <w:sz w:val="32"/>
          <w:szCs w:val="32"/>
          <w:highlight w:val="none"/>
        </w:rPr>
        <w:t>1）</w:t>
      </w:r>
      <w:r>
        <w:rPr>
          <w:rFonts w:hint="eastAsia" w:ascii="仿宋" w:hAnsi="仿宋" w:cs="仿宋"/>
          <w:bCs/>
          <w:snapToGrid/>
          <w:color w:val="auto"/>
          <w:szCs w:val="32"/>
          <w:highlight w:val="none"/>
        </w:rPr>
        <w:t>服务对象满意度</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snapToGrid/>
          <w:color w:val="auto"/>
          <w:szCs w:val="32"/>
          <w:highlight w:val="none"/>
        </w:rPr>
      </w:pPr>
      <w:r>
        <w:rPr>
          <w:rFonts w:hint="eastAsia" w:ascii="仿宋" w:hAnsi="仿宋" w:cs="仿宋"/>
          <w:snapToGrid/>
          <w:color w:val="auto"/>
          <w:szCs w:val="32"/>
          <w:highlight w:val="none"/>
        </w:rPr>
        <w:t>本次绩效评价，针对高新区经合中心职能和工作内容对本次绩效评价满意度指标调查的问卷。调查问卷采用不记名的形式，共计设计10个问题，问题内容涵盖了对</w:t>
      </w:r>
      <w:r>
        <w:rPr>
          <w:rFonts w:hint="eastAsia" w:ascii="仿宋" w:hAnsi="仿宋" w:cs="仿宋"/>
          <w:bCs/>
          <w:color w:val="auto"/>
          <w:szCs w:val="32"/>
          <w:highlight w:val="none"/>
        </w:rPr>
        <w:t>政务公开工作</w:t>
      </w:r>
      <w:r>
        <w:rPr>
          <w:rFonts w:hint="eastAsia" w:ascii="仿宋" w:hAnsi="仿宋" w:cs="仿宋"/>
          <w:snapToGrid/>
          <w:color w:val="auto"/>
          <w:szCs w:val="32"/>
          <w:highlight w:val="none"/>
        </w:rPr>
        <w:t>的及时性、完整性和真实性、本地投资政策、产业优势方面、</w:t>
      </w:r>
      <w:r>
        <w:rPr>
          <w:rFonts w:hint="eastAsia" w:ascii="仿宋" w:hAnsi="仿宋" w:cs="仿宋"/>
          <w:bCs/>
          <w:color w:val="auto"/>
          <w:szCs w:val="32"/>
          <w:highlight w:val="none"/>
        </w:rPr>
        <w:t>扩大影响力和改善营商环境方面、</w:t>
      </w:r>
      <w:r>
        <w:rPr>
          <w:rFonts w:hint="eastAsia" w:ascii="仿宋" w:hAnsi="仿宋" w:cs="仿宋"/>
          <w:snapToGrid/>
          <w:color w:val="auto"/>
          <w:szCs w:val="32"/>
          <w:highlight w:val="none"/>
        </w:rPr>
        <w:t>政策支持、资金支持和服务机制、解决服务对象反映强烈的热点、难点、焦点问题、服务态度、服务质量方面、经济发展和产业投资活动等方面。为方便被调查人填写问卷，调查问卷最大程度上减少文字填写内容，每个问题增加预设答案选项供直接选择，选项统一设置为积极印象由高到低5个等级，评价量化分的设定为从左至右依次递减：10分、8分、6分、2分和0分。问卷最后设计“意见和建议”项，供被调查者反馈其他想法、意见和建议。</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本次调查主要针对受益对象、社会群众和工作人员三类群体，为保障调查的全面性和客观性，受益对象和群众占比65.00%，工作人员占比35.00%。共进行了3次满意度调查，调查地方分别为：高新区经合中心签约单位、商场、园区周边农贸市场。共计发放调查问卷30份，回收30份。经过对回收问卷统计，确定有效问卷为30份，经统计，最高分100.00分，最低分40.00分，平均分数89.70分，本次满意度指标综合得分为89.70分（满分100分）。</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outlineLvl w:val="4"/>
        <w:rPr>
          <w:rFonts w:hint="eastAsia" w:ascii="仿宋" w:hAnsi="仿宋" w:cs="仿宋"/>
          <w:snapToGrid/>
          <w:color w:val="auto"/>
          <w:szCs w:val="32"/>
          <w:highlight w:val="none"/>
        </w:rPr>
      </w:pPr>
      <w:r>
        <w:rPr>
          <w:rFonts w:hint="eastAsia" w:ascii="仿宋" w:hAnsi="仿宋" w:cs="仿宋"/>
          <w:color w:val="auto"/>
          <w:szCs w:val="32"/>
          <w:highlight w:val="none"/>
        </w:rPr>
        <w:t>2）评价配合情况满意度</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本次绩效评价工作得到高新区经合中心全力支持，部门领导统一部署，组织人员布置了工作场地，选派了专门的人员负责协调工作。特别指示财务部门和业务部门积极配合，做到安排专人负责联系协调；各股室和下属单位人员积极准备并提供了资料，资料相对较为齐全，少部分资料提供有困难的也能克服难通过其他方式搜寻后提供；资料报送及时，准备充分，资料的及时有效提供，保证评价小组的绩效评价工作顺利。</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rPr>
          <w:color w:val="auto"/>
          <w:highlight w:val="none"/>
        </w:rPr>
      </w:pPr>
      <w:bookmarkStart w:id="2110" w:name="_Toc11656"/>
      <w:bookmarkStart w:id="2111" w:name="_Toc18670"/>
      <w:bookmarkStart w:id="2112" w:name="_Toc4757"/>
      <w:bookmarkStart w:id="2113" w:name="_Toc28804"/>
      <w:bookmarkStart w:id="2114" w:name="_Toc31251"/>
      <w:bookmarkStart w:id="2115" w:name="_Toc28151"/>
      <w:bookmarkStart w:id="2116" w:name="_Toc12846"/>
      <w:bookmarkStart w:id="2117" w:name="_Toc12799"/>
      <w:bookmarkStart w:id="2118" w:name="_Toc19050"/>
      <w:bookmarkStart w:id="2119" w:name="_Toc9306"/>
      <w:bookmarkStart w:id="2120" w:name="_Toc553"/>
      <w:bookmarkStart w:id="2121" w:name="_Toc32586"/>
      <w:bookmarkStart w:id="2122" w:name="_Toc11207"/>
      <w:bookmarkStart w:id="2123" w:name="_Toc2231"/>
      <w:bookmarkStart w:id="2124" w:name="_Toc22820"/>
      <w:bookmarkStart w:id="2125" w:name="_Toc7567"/>
      <w:bookmarkStart w:id="2126" w:name="_Toc28642"/>
      <w:r>
        <w:rPr>
          <w:rFonts w:hint="eastAsia"/>
          <w:color w:val="auto"/>
          <w:highlight w:val="none"/>
        </w:rPr>
        <w:t>六、问题及建议</w:t>
      </w:r>
      <w:bookmarkEnd w:id="2110"/>
      <w:bookmarkEnd w:id="2111"/>
      <w:bookmarkEnd w:id="2112"/>
      <w:bookmarkEnd w:id="2113"/>
      <w:bookmarkEnd w:id="2114"/>
      <w:bookmarkEnd w:id="2115"/>
      <w:bookmarkEnd w:id="2116"/>
      <w:bookmarkEnd w:id="2117"/>
      <w:bookmarkEnd w:id="2118"/>
      <w:bookmarkEnd w:id="2119"/>
      <w:bookmarkEnd w:id="2120"/>
      <w:bookmarkEnd w:id="2121"/>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2127" w:name="_Toc12175"/>
      <w:bookmarkStart w:id="2128" w:name="_Toc17704"/>
      <w:bookmarkStart w:id="2129" w:name="_Toc21741"/>
      <w:bookmarkStart w:id="2130" w:name="_Toc18299"/>
      <w:bookmarkStart w:id="2131" w:name="_Toc9537"/>
      <w:bookmarkStart w:id="2132" w:name="_Toc26681"/>
      <w:bookmarkStart w:id="2133" w:name="_Toc11166"/>
      <w:bookmarkStart w:id="2134" w:name="_Toc19251"/>
      <w:bookmarkStart w:id="2135" w:name="_Toc2155"/>
      <w:bookmarkStart w:id="2136" w:name="_Toc2170"/>
      <w:bookmarkStart w:id="2137" w:name="_Toc22071"/>
      <w:bookmarkStart w:id="2138" w:name="_Toc13197"/>
      <w:r>
        <w:rPr>
          <w:color w:val="auto"/>
          <w:highlight w:val="none"/>
        </w:rPr>
        <w:t>（一）存在的问题</w:t>
      </w:r>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2"/>
        <w:rPr>
          <w:rFonts w:hint="eastAsia" w:ascii="楷体" w:hAnsi="楷体" w:eastAsia="楷体" w:cs="Times New Roman"/>
          <w:b/>
          <w:bCs/>
          <w:color w:val="auto"/>
          <w:kern w:val="2"/>
          <w:szCs w:val="32"/>
          <w:highlight w:val="none"/>
        </w:rPr>
      </w:pPr>
      <w:r>
        <w:rPr>
          <w:rFonts w:hint="eastAsia" w:ascii="楷体" w:hAnsi="楷体" w:eastAsia="楷体" w:cs="Times New Roman"/>
          <w:b/>
          <w:bCs/>
          <w:color w:val="auto"/>
          <w:kern w:val="2"/>
          <w:szCs w:val="32"/>
          <w:highlight w:val="none"/>
        </w:rPr>
        <w:t>1.预算编制不科学</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lang w:bidi="ar"/>
        </w:rPr>
      </w:pPr>
      <w:r>
        <w:rPr>
          <w:rFonts w:hint="eastAsia" w:ascii="仿宋" w:hAnsi="仿宋" w:cs="仿宋"/>
          <w:color w:val="auto"/>
          <w:szCs w:val="32"/>
          <w:highlight w:val="none"/>
          <w:lang w:bidi="ar"/>
        </w:rPr>
        <w:t>单位年初预算编制不科学，</w:t>
      </w:r>
      <w:r>
        <w:rPr>
          <w:rFonts w:hint="eastAsia" w:ascii="Times New Roman" w:hAnsi="Times New Roman" w:cs="Times New Roman"/>
          <w:color w:val="auto"/>
          <w:kern w:val="2"/>
          <w:szCs w:val="24"/>
          <w:highlight w:val="none"/>
        </w:rPr>
        <w:t>未能对年度内支出事项充分准确预估</w:t>
      </w:r>
      <w:r>
        <w:rPr>
          <w:rFonts w:hint="eastAsia" w:ascii="仿宋" w:hAnsi="仿宋" w:cs="仿宋"/>
          <w:color w:val="auto"/>
          <w:szCs w:val="32"/>
          <w:highlight w:val="none"/>
          <w:lang w:bidi="ar"/>
        </w:rPr>
        <w:t>。年初预算金额与预算调整额差距较大，造成预算调整率较高。预算的编制应该符合部门的实际情况，按照部门职能和工作安排情况，按照科学合理规范的方法测算并编制预算额，测算的过程要有理有据，使得预算编制趋近于单位年度支出额。</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2"/>
        <w:rPr>
          <w:rFonts w:hint="eastAsia" w:ascii="楷体" w:hAnsi="楷体" w:eastAsia="楷体" w:cs="Times New Roman"/>
          <w:b/>
          <w:bCs/>
          <w:color w:val="auto"/>
          <w:kern w:val="2"/>
          <w:szCs w:val="32"/>
          <w:highlight w:val="none"/>
        </w:rPr>
      </w:pPr>
      <w:r>
        <w:rPr>
          <w:rFonts w:hint="eastAsia" w:ascii="楷体" w:hAnsi="楷体" w:eastAsia="楷体" w:cs="Times New Roman"/>
          <w:b/>
          <w:bCs/>
          <w:color w:val="auto"/>
          <w:kern w:val="2"/>
          <w:szCs w:val="32"/>
          <w:highlight w:val="none"/>
        </w:rPr>
        <w:t>2.绩效目标管理不足</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ascii="Times New Roman" w:hAnsi="Times New Roman" w:cs="Times New Roman"/>
          <w:color w:val="auto"/>
          <w:kern w:val="2"/>
          <w:szCs w:val="24"/>
          <w:highlight w:val="none"/>
        </w:rPr>
      </w:pPr>
      <w:r>
        <w:rPr>
          <w:rFonts w:hint="eastAsia" w:ascii="Times New Roman" w:hAnsi="Times New Roman" w:cs="Times New Roman"/>
          <w:color w:val="auto"/>
          <w:kern w:val="2"/>
          <w:szCs w:val="24"/>
          <w:highlight w:val="none"/>
        </w:rPr>
        <w:t>部门绩效目标设置不够完善。对于部门的项目支出，虽然设立了项目绩效目标，但指标设置不够明确、细化和量化，</w:t>
      </w:r>
      <w:r>
        <w:rPr>
          <w:rFonts w:hint="eastAsia" w:ascii="仿宋" w:hAnsi="仿宋" w:cs="仿宋"/>
          <w:color w:val="auto"/>
          <w:szCs w:val="32"/>
          <w:highlight w:val="none"/>
          <w:lang w:eastAsia="zh-CN" w:bidi="ar"/>
        </w:rPr>
        <w:t>个别指标设置</w:t>
      </w:r>
      <w:r>
        <w:rPr>
          <w:rFonts w:hint="eastAsia" w:ascii="仿宋" w:hAnsi="仿宋" w:cs="仿宋"/>
          <w:color w:val="auto"/>
          <w:szCs w:val="32"/>
          <w:highlight w:val="none"/>
          <w:lang w:bidi="ar"/>
        </w:rPr>
        <w:t>未涵盖所有</w:t>
      </w:r>
      <w:r>
        <w:rPr>
          <w:rFonts w:hint="eastAsia" w:ascii="仿宋" w:hAnsi="仿宋" w:cs="仿宋"/>
          <w:color w:val="auto"/>
          <w:szCs w:val="32"/>
          <w:highlight w:val="none"/>
          <w:lang w:eastAsia="zh-CN" w:bidi="ar"/>
        </w:rPr>
        <w:t>设</w:t>
      </w:r>
      <w:r>
        <w:rPr>
          <w:rFonts w:hint="eastAsia" w:ascii="仿宋" w:hAnsi="仿宋" w:cs="仿宋"/>
          <w:color w:val="auto"/>
          <w:szCs w:val="32"/>
          <w:highlight w:val="none"/>
          <w:lang w:bidi="ar"/>
        </w:rPr>
        <w:t>定的质量指标</w:t>
      </w:r>
      <w:r>
        <w:rPr>
          <w:rFonts w:hint="default" w:ascii="仿宋" w:hAnsi="仿宋" w:cs="仿宋"/>
          <w:color w:val="auto"/>
          <w:szCs w:val="32"/>
          <w:highlight w:val="none"/>
          <w:lang w:bidi="ar"/>
        </w:rPr>
        <w:t>，</w:t>
      </w:r>
      <w:r>
        <w:rPr>
          <w:rFonts w:hint="eastAsia" w:ascii="仿宋" w:hAnsi="仿宋" w:cs="仿宋"/>
          <w:color w:val="auto"/>
          <w:szCs w:val="32"/>
          <w:highlight w:val="none"/>
          <w:lang w:eastAsia="zh-CN" w:bidi="ar"/>
        </w:rPr>
        <w:t>如“签约项目推进的</w:t>
      </w:r>
      <w:r>
        <w:rPr>
          <w:rFonts w:hint="eastAsia" w:ascii="仿宋" w:hAnsi="仿宋" w:cs="仿宋"/>
          <w:color w:val="auto"/>
          <w:szCs w:val="32"/>
          <w:highlight w:val="none"/>
          <w:lang w:bidi="ar"/>
        </w:rPr>
        <w:t>履约率和投产率</w:t>
      </w:r>
      <w:r>
        <w:rPr>
          <w:rFonts w:hint="eastAsia" w:ascii="仿宋" w:hAnsi="仿宋" w:cs="仿宋"/>
          <w:color w:val="auto"/>
          <w:szCs w:val="32"/>
          <w:highlight w:val="none"/>
          <w:lang w:eastAsia="zh-CN" w:bidi="ar"/>
        </w:rPr>
        <w:t>”</w:t>
      </w:r>
      <w:r>
        <w:rPr>
          <w:rFonts w:hint="eastAsia" w:ascii="仿宋" w:hAnsi="仿宋" w:cs="仿宋"/>
          <w:color w:val="auto"/>
          <w:szCs w:val="32"/>
          <w:highlight w:val="none"/>
          <w:lang w:bidi="ar"/>
        </w:rPr>
        <w:t>，没有将整体质量目标细化到具体的、可衡量的指标上</w:t>
      </w:r>
      <w:r>
        <w:rPr>
          <w:rFonts w:hint="eastAsia" w:ascii="仿宋" w:hAnsi="仿宋" w:cs="仿宋"/>
          <w:color w:val="auto"/>
          <w:szCs w:val="32"/>
          <w:highlight w:val="none"/>
          <w:lang w:eastAsia="zh-CN" w:bidi="ar"/>
        </w:rPr>
        <w:t>。</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3.固定资产管理问题</w:t>
      </w:r>
    </w:p>
    <w:p>
      <w:pPr>
        <w:keepNext w:val="0"/>
        <w:keepLines w:val="0"/>
        <w:pageBreakBefore w:val="0"/>
        <w:widowControl w:val="0"/>
        <w:kinsoku/>
        <w:wordWrap/>
        <w:overflowPunct w:val="0"/>
        <w:topLinePunct w:val="0"/>
        <w:autoSpaceDE w:val="0"/>
        <w:autoSpaceDN w:val="0"/>
        <w:bidi w:val="0"/>
        <w:adjustRightInd/>
        <w:snapToGrid w:val="0"/>
        <w:spacing w:line="560" w:lineRule="exact"/>
        <w:ind w:left="0" w:leftChars="0" w:firstLine="643" w:firstLineChars="200"/>
        <w:jc w:val="both"/>
        <w:textAlignment w:val="auto"/>
        <w:outlineLvl w:val="3"/>
        <w:rPr>
          <w:rFonts w:hint="eastAsia" w:ascii="仿宋" w:hAnsi="仿宋" w:cs="仿宋"/>
          <w:b/>
          <w:bCs/>
          <w:color w:val="auto"/>
          <w:szCs w:val="32"/>
          <w:highlight w:val="none"/>
          <w:lang w:bidi="ar"/>
        </w:rPr>
      </w:pPr>
      <w:r>
        <w:rPr>
          <w:rFonts w:hint="eastAsia" w:ascii="仿宋" w:hAnsi="仿宋" w:cs="仿宋"/>
          <w:b/>
          <w:bCs/>
          <w:color w:val="auto"/>
          <w:szCs w:val="32"/>
          <w:highlight w:val="none"/>
          <w:lang w:bidi="ar"/>
        </w:rPr>
        <w:t>（1）固定资产核算不规范，账账不符</w:t>
      </w:r>
    </w:p>
    <w:p>
      <w:pPr>
        <w:pStyle w:val="7"/>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highlight w:val="none"/>
        </w:rPr>
      </w:pPr>
      <w:r>
        <w:rPr>
          <w:rFonts w:hint="eastAsia" w:ascii="仿宋" w:hAnsi="仿宋" w:eastAsia="仿宋" w:cs="仿宋"/>
          <w:color w:val="auto"/>
          <w:highlight w:val="none"/>
        </w:rPr>
        <w:t>根据2023年年末的财务报表，本单位的固定资产账面原值为4.80万元，而固定资产台账记录了40项资产，其原值为0.00万元。财务账面显示的固定资产净值为3.90万元，但固定资产台账的资产净值尚未明确。此情况表明固定资产的账目存在不一致性，即财务账上的固定资产与固定资产台账记录之间未能保持一致，未能</w:t>
      </w:r>
      <w:r>
        <w:rPr>
          <w:rFonts w:hint="eastAsia" w:ascii="仿宋" w:hAnsi="仿宋" w:eastAsia="仿宋" w:cs="仿宋"/>
          <w:color w:val="auto"/>
          <w:szCs w:val="32"/>
          <w:highlight w:val="none"/>
          <w:lang w:bidi="ar"/>
        </w:rPr>
        <w:t>做到账账相符</w:t>
      </w:r>
      <w:r>
        <w:rPr>
          <w:rFonts w:hint="eastAsia" w:ascii="仿宋" w:hAnsi="仿宋" w:eastAsia="仿宋" w:cs="仿宋"/>
          <w:color w:val="auto"/>
          <w:highlight w:val="none"/>
        </w:rPr>
        <w:t>。</w:t>
      </w:r>
    </w:p>
    <w:p>
      <w:pPr>
        <w:pStyle w:val="5"/>
        <w:pageBreakBefore w:val="0"/>
        <w:wordWrap/>
        <w:topLinePunct w:val="0"/>
        <w:autoSpaceDE w:val="0"/>
        <w:autoSpaceDN w:val="0"/>
        <w:bidi w:val="0"/>
        <w:spacing w:before="0" w:after="0" w:line="560" w:lineRule="exact"/>
        <w:ind w:firstLine="643" w:firstLineChars="200"/>
        <w:jc w:val="both"/>
        <w:rPr>
          <w:rFonts w:hint="eastAsia" w:ascii="仿宋" w:hAnsi="仿宋" w:eastAsia="仿宋" w:cs="仿宋"/>
          <w:sz w:val="32"/>
          <w:szCs w:val="32"/>
        </w:rPr>
      </w:pPr>
      <w:r>
        <w:rPr>
          <w:rFonts w:hint="eastAsia" w:ascii="仿宋" w:hAnsi="仿宋" w:eastAsia="仿宋" w:cs="仿宋"/>
          <w:sz w:val="32"/>
          <w:szCs w:val="32"/>
        </w:rPr>
        <w:t>（2）固定资产日常管理不到位</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snapToGrid/>
          <w:color w:val="auto"/>
          <w:szCs w:val="32"/>
          <w:highlight w:val="none"/>
          <w:lang w:bidi="ar"/>
        </w:rPr>
      </w:pPr>
      <w:r>
        <w:rPr>
          <w:rFonts w:hint="eastAsia" w:ascii="仿宋" w:hAnsi="仿宋" w:cs="仿宋"/>
          <w:snapToGrid/>
          <w:color w:val="auto"/>
          <w:kern w:val="2"/>
          <w:szCs w:val="32"/>
          <w:highlight w:val="none"/>
        </w:rPr>
        <w:t>经现场查看，发现部门无相关的管理制度、</w:t>
      </w:r>
      <w:r>
        <w:rPr>
          <w:rFonts w:hint="eastAsia" w:ascii="仿宋" w:hAnsi="仿宋" w:cs="仿宋"/>
          <w:snapToGrid/>
          <w:color w:val="auto"/>
          <w:szCs w:val="32"/>
          <w:highlight w:val="none"/>
          <w:lang w:bidi="ar"/>
        </w:rPr>
        <w:t>未建资产卡片、正常盘点工作和账实核对工作缺失、未落实资产使用人保管机制。</w:t>
      </w:r>
    </w:p>
    <w:p>
      <w:pPr>
        <w:keepNext w:val="0"/>
        <w:keepLines w:val="0"/>
        <w:pageBreakBefore w:val="0"/>
        <w:widowControl w:val="0"/>
        <w:kinsoku/>
        <w:wordWrap/>
        <w:overflowPunct w:val="0"/>
        <w:topLinePunct w:val="0"/>
        <w:autoSpaceDE w:val="0"/>
        <w:autoSpaceDN w:val="0"/>
        <w:bidi w:val="0"/>
        <w:adjustRightInd/>
        <w:snapToGrid/>
        <w:spacing w:line="560" w:lineRule="exact"/>
        <w:ind w:left="0" w:leftChars="0" w:firstLine="643" w:firstLineChars="200"/>
        <w:jc w:val="both"/>
        <w:textAlignment w:val="auto"/>
        <w:outlineLvl w:val="3"/>
        <w:rPr>
          <w:rFonts w:hint="eastAsia" w:ascii="仿宋" w:hAnsi="仿宋" w:cs="仿宋"/>
          <w:b/>
          <w:bCs/>
          <w:snapToGrid/>
          <w:color w:val="auto"/>
          <w:szCs w:val="32"/>
          <w:highlight w:val="none"/>
          <w:lang w:bidi="ar"/>
        </w:rPr>
      </w:pPr>
      <w:r>
        <w:rPr>
          <w:rFonts w:hint="eastAsia" w:ascii="仿宋" w:hAnsi="仿宋" w:cs="仿宋"/>
          <w:b/>
          <w:bCs/>
          <w:snapToGrid/>
          <w:color w:val="auto"/>
          <w:szCs w:val="32"/>
          <w:highlight w:val="none"/>
          <w:lang w:bidi="ar"/>
        </w:rPr>
        <w:t>（3）存在账外资产</w:t>
      </w:r>
    </w:p>
    <w:p>
      <w:pPr>
        <w:keepLines w:val="0"/>
        <w:pageBreakBefore w:val="0"/>
        <w:widowControl w:val="0"/>
        <w:kinsoku/>
        <w:wordWrap/>
        <w:overflowPunct w:val="0"/>
        <w:topLinePunct w:val="0"/>
        <w:autoSpaceDE w:val="0"/>
        <w:autoSpaceDN w:val="0"/>
        <w:bidi w:val="0"/>
        <w:adjustRightInd/>
        <w:snapToGrid/>
        <w:spacing w:line="560" w:lineRule="exact"/>
        <w:ind w:left="0" w:leftChars="0" w:firstLine="640" w:firstLineChars="200"/>
        <w:jc w:val="both"/>
        <w:textAlignment w:val="auto"/>
        <w:rPr>
          <w:rFonts w:hint="eastAsia" w:ascii="仿宋" w:hAnsi="仿宋" w:cs="仿宋"/>
          <w:snapToGrid/>
          <w:color w:val="auto"/>
          <w:szCs w:val="32"/>
          <w:highlight w:val="none"/>
          <w:lang w:bidi="ar"/>
        </w:rPr>
      </w:pPr>
      <w:r>
        <w:rPr>
          <w:rFonts w:hint="eastAsia" w:ascii="仿宋" w:hAnsi="仿宋" w:cs="仿宋"/>
          <w:snapToGrid/>
          <w:color w:val="auto"/>
          <w:szCs w:val="32"/>
          <w:highlight w:val="none"/>
          <w:lang w:bidi="ar"/>
        </w:rPr>
        <w:t>未做到账实相符，固定资产账目不准确，未能全面客观如实反映单位资产信息情况。评价组发现单位存在台式电脑11台（其中3台借党政办）、手提电脑3台、打印机4台等37项资产属于单位账外资产，未纳入财务账和实物资产台账核算，存在资产监管漏洞。单位固定资产账和《预算支出相关信息表》《主要指标变动表》未显示出这些资产的价值。</w:t>
      </w:r>
    </w:p>
    <w:p>
      <w:pPr>
        <w:keepNext w:val="0"/>
        <w:keepLines w:val="0"/>
        <w:pageBreakBefore w:val="0"/>
        <w:widowControl w:val="0"/>
        <w:kinsoku/>
        <w:wordWrap/>
        <w:overflowPunct w:val="0"/>
        <w:topLinePunct w:val="0"/>
        <w:autoSpaceDE w:val="0"/>
        <w:autoSpaceDN w:val="0"/>
        <w:bidi w:val="0"/>
        <w:adjustRightInd/>
        <w:snapToGrid/>
        <w:spacing w:line="560" w:lineRule="exact"/>
        <w:ind w:left="0" w:leftChars="0" w:firstLine="643" w:firstLineChars="200"/>
        <w:jc w:val="both"/>
        <w:textAlignment w:val="auto"/>
        <w:outlineLvl w:val="2"/>
        <w:rPr>
          <w:rFonts w:hint="eastAsia" w:ascii="楷体" w:hAnsi="楷体" w:eastAsia="楷体" w:cs="楷体"/>
          <w:b/>
          <w:bCs/>
          <w:color w:val="auto"/>
          <w:highlight w:val="none"/>
        </w:rPr>
      </w:pPr>
      <w:r>
        <w:rPr>
          <w:rFonts w:hint="eastAsia" w:ascii="楷体" w:hAnsi="楷体" w:eastAsia="楷体" w:cs="楷体"/>
          <w:b/>
          <w:bCs/>
          <w:color w:val="auto"/>
          <w:highlight w:val="none"/>
        </w:rPr>
        <w:t>4.内部管理制度执行有效性有待提升</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snapToGrid/>
          <w:color w:val="auto"/>
          <w:szCs w:val="32"/>
          <w:highlight w:val="none"/>
        </w:rPr>
      </w:pPr>
      <w:r>
        <w:rPr>
          <w:rFonts w:hint="eastAsia" w:ascii="仿宋" w:hAnsi="仿宋" w:cs="仿宋"/>
          <w:b/>
          <w:bCs/>
          <w:color w:val="auto"/>
          <w:kern w:val="2"/>
          <w:szCs w:val="32"/>
          <w:highlight w:val="none"/>
        </w:rPr>
        <w:t>（1）会计核算不准确</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经抽查相关凭证报销餐饮、住宿费合计金额为1.49万元，2023年2月20日记账1号凭证、记账17号凭证、记账18号凭证、记账22号凭证记入“30299－其他商品和服务支出”经济科目核算，未记入“30201－差旅费”科目中列支。</w:t>
      </w:r>
    </w:p>
    <w:p>
      <w:pPr>
        <w:pStyle w:val="7"/>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eastAsia="仿宋" w:cs="仿宋"/>
          <w:color w:val="auto"/>
          <w:szCs w:val="32"/>
          <w:highlight w:val="none"/>
        </w:rPr>
      </w:pPr>
      <w:r>
        <w:rPr>
          <w:rFonts w:hint="eastAsia" w:ascii="仿宋" w:hAnsi="仿宋" w:eastAsia="仿宋" w:cs="仿宋"/>
          <w:color w:val="auto"/>
          <w:szCs w:val="32"/>
          <w:highlight w:val="none"/>
        </w:rPr>
        <w:t>2023年9月26日记账4号凭证，高新区经合中心全额出资人民币10</w:t>
      </w:r>
      <w:r>
        <w:rPr>
          <w:rFonts w:hint="eastAsia" w:ascii="仿宋" w:hAnsi="仿宋" w:eastAsia="仿宋" w:cs="仿宋"/>
          <w:color w:val="auto"/>
          <w:szCs w:val="32"/>
          <w:highlight w:val="none"/>
          <w:lang w:val="en-US" w:eastAsia="zh-CN"/>
        </w:rPr>
        <w:t>,</w:t>
      </w:r>
      <w:r>
        <w:rPr>
          <w:rFonts w:hint="eastAsia" w:ascii="仿宋" w:hAnsi="仿宋" w:eastAsia="仿宋" w:cs="仿宋"/>
          <w:color w:val="auto"/>
          <w:szCs w:val="32"/>
          <w:highlight w:val="none"/>
        </w:rPr>
        <w:t>000.00万元，成立了国有独资企业—遂宁市卓安建筑发展有限公司。通过天眼查核实，该公司股东为遂宁高新区经</w:t>
      </w:r>
      <w:r>
        <w:rPr>
          <w:rFonts w:hint="eastAsia" w:ascii="仿宋" w:hAnsi="仿宋" w:eastAsia="仿宋" w:cs="仿宋"/>
          <w:color w:val="auto"/>
          <w:szCs w:val="32"/>
          <w:highlight w:val="none"/>
          <w:lang w:eastAsia="zh-CN"/>
        </w:rPr>
        <w:t>济</w:t>
      </w:r>
      <w:r>
        <w:rPr>
          <w:rFonts w:hint="eastAsia" w:ascii="仿宋" w:hAnsi="仿宋" w:eastAsia="仿宋" w:cs="仿宋"/>
          <w:color w:val="auto"/>
          <w:szCs w:val="32"/>
          <w:highlight w:val="none"/>
        </w:rPr>
        <w:t>合</w:t>
      </w:r>
      <w:r>
        <w:rPr>
          <w:rFonts w:hint="eastAsia" w:ascii="仿宋" w:hAnsi="仿宋" w:eastAsia="仿宋" w:cs="仿宋"/>
          <w:color w:val="auto"/>
          <w:szCs w:val="32"/>
          <w:highlight w:val="none"/>
          <w:lang w:eastAsia="zh-CN"/>
        </w:rPr>
        <w:t>作</w:t>
      </w:r>
      <w:r>
        <w:rPr>
          <w:rFonts w:hint="eastAsia" w:ascii="仿宋" w:hAnsi="仿宋" w:eastAsia="仿宋" w:cs="仿宋"/>
          <w:color w:val="auto"/>
          <w:szCs w:val="32"/>
          <w:highlight w:val="none"/>
        </w:rPr>
        <w:t>中心。对外投资的会计核算应归入“长期股权投资”资产类科目，而不应计入“其他应付款”负债类科目。</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color w:val="auto"/>
          <w:kern w:val="2"/>
          <w:szCs w:val="32"/>
          <w:highlight w:val="none"/>
        </w:rPr>
      </w:pPr>
      <w:r>
        <w:rPr>
          <w:rFonts w:hint="eastAsia" w:ascii="仿宋" w:hAnsi="仿宋" w:cs="仿宋"/>
          <w:b/>
          <w:bCs/>
          <w:color w:val="auto"/>
          <w:kern w:val="2"/>
          <w:szCs w:val="32"/>
          <w:highlight w:val="none"/>
        </w:rPr>
        <w:t>（2）采购执行程序缺失</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经抽查2023年5月23日记账4号凭证时发现，支付北京海融惠达网络科技有限公司招商引资委托服务基础服务费7.75万元，此笔款项未按照制定的采购制度执行，没有通过必要的采购程序和集体决议直接确定供应商。根据《遂宁高新区经济合作中心政府采购内部控制管理制度》相关规定“采购项目在5万-30万元（含30.00万元）由高新区经合中心自主招标或通过委托代理公司组织采购，通过竞争性谈判、竞争性磋商、询价等方式确定供应商”。</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color w:val="auto"/>
          <w:szCs w:val="32"/>
          <w:highlight w:val="none"/>
        </w:rPr>
      </w:pPr>
      <w:r>
        <w:rPr>
          <w:rFonts w:hint="eastAsia" w:ascii="仿宋" w:hAnsi="仿宋" w:cs="仿宋"/>
          <w:b/>
          <w:bCs/>
          <w:color w:val="auto"/>
          <w:szCs w:val="32"/>
          <w:highlight w:val="none"/>
        </w:rPr>
        <w:t>（3）“三重一大”会议纪要缺失</w:t>
      </w:r>
    </w:p>
    <w:p>
      <w:pPr>
        <w:keepLines w:val="0"/>
        <w:pageBreakBefore w:val="0"/>
        <w:widowControl w:val="0"/>
        <w:kinsoku/>
        <w:wordWrap/>
        <w:overflowPunct w:val="0"/>
        <w:topLinePunct w:val="0"/>
        <w:autoSpaceDE w:val="0"/>
        <w:autoSpaceDN w:val="0"/>
        <w:bidi w:val="0"/>
        <w:spacing w:line="560" w:lineRule="exact"/>
        <w:ind w:left="0" w:leftChars="0" w:firstLine="636" w:firstLineChars="200"/>
        <w:jc w:val="both"/>
        <w:rPr>
          <w:rFonts w:hint="eastAsia" w:ascii="仿宋" w:hAnsi="仿宋" w:cs="仿宋"/>
          <w:color w:val="auto"/>
          <w:spacing w:val="-1"/>
          <w:szCs w:val="32"/>
          <w:highlight w:val="none"/>
        </w:rPr>
      </w:pPr>
      <w:r>
        <w:rPr>
          <w:rFonts w:hint="eastAsia" w:ascii="仿宋" w:hAnsi="仿宋" w:cs="仿宋"/>
          <w:color w:val="auto"/>
          <w:spacing w:val="-1"/>
          <w:szCs w:val="32"/>
          <w:highlight w:val="none"/>
        </w:rPr>
        <w:t>设立遂宁市卓安建筑发展有限公司的对外投资事宜，并未提供《遂宁高新区经济合作中心“三重一大”事项决策制度（试行）》所要求的会议纪要文件。</w:t>
      </w:r>
    </w:p>
    <w:p>
      <w:pPr>
        <w:keepNext w:val="0"/>
        <w:keepLines w:val="0"/>
        <w:pageBreakBefore w:val="0"/>
        <w:widowControl w:val="0"/>
        <w:kinsoku/>
        <w:wordWrap/>
        <w:overflowPunct w:val="0"/>
        <w:topLinePunct w:val="0"/>
        <w:autoSpaceDE w:val="0"/>
        <w:autoSpaceDN w:val="0"/>
        <w:bidi w:val="0"/>
        <w:adjustRightInd w:val="0"/>
        <w:snapToGrid w:val="0"/>
        <w:spacing w:line="560" w:lineRule="exact"/>
        <w:ind w:left="0" w:leftChars="0" w:firstLine="643" w:firstLineChars="200"/>
        <w:jc w:val="both"/>
        <w:textAlignment w:val="baseline"/>
        <w:outlineLvl w:val="3"/>
        <w:rPr>
          <w:rFonts w:hint="eastAsia" w:ascii="仿宋" w:hAnsi="仿宋" w:cs="仿宋"/>
          <w:b/>
          <w:bCs/>
          <w:color w:val="auto"/>
          <w:szCs w:val="32"/>
          <w:highlight w:val="none"/>
        </w:rPr>
      </w:pPr>
      <w:r>
        <w:rPr>
          <w:rFonts w:hint="eastAsia" w:ascii="仿宋" w:hAnsi="仿宋" w:cs="仿宋"/>
          <w:b/>
          <w:bCs/>
          <w:color w:val="auto"/>
          <w:szCs w:val="32"/>
          <w:highlight w:val="none"/>
        </w:rPr>
        <w:t>（4）财务制度执行力不够</w:t>
      </w:r>
    </w:p>
    <w:p>
      <w:pPr>
        <w:keepLines w:val="0"/>
        <w:pageBreakBefore w:val="0"/>
        <w:widowControl w:val="0"/>
        <w:kinsoku/>
        <w:wordWrap/>
        <w:overflowPunct w:val="0"/>
        <w:topLinePunct w:val="0"/>
        <w:autoSpaceDE w:val="0"/>
        <w:autoSpaceDN w:val="0"/>
        <w:bidi w:val="0"/>
        <w:spacing w:line="560" w:lineRule="exact"/>
        <w:ind w:left="0" w:leftChars="0" w:firstLine="636" w:firstLineChars="200"/>
        <w:jc w:val="both"/>
        <w:rPr>
          <w:rFonts w:hint="eastAsia" w:ascii="仿宋" w:hAnsi="仿宋" w:cs="仿宋"/>
          <w:color w:val="auto"/>
          <w:spacing w:val="-1"/>
          <w:szCs w:val="32"/>
          <w:highlight w:val="none"/>
        </w:rPr>
      </w:pPr>
      <w:r>
        <w:rPr>
          <w:rFonts w:hint="eastAsia" w:ascii="仿宋" w:hAnsi="仿宋" w:cs="仿宋"/>
          <w:color w:val="auto"/>
          <w:spacing w:val="-1"/>
          <w:szCs w:val="32"/>
          <w:highlight w:val="none"/>
        </w:rPr>
        <w:t>在商务接待过程中，经常出现餐费与酒水费用分开报销的情况，这种做法难以清晰反映是否超出了既定的接待标准。根据《遂宁市经济合作局商务接待管理办法》（遂经合发〔2019〕22号）的规定，“餐饮安排可以采用桌餐或自助餐的形式，但不得提供香烟、高档菜肴以及使用野生保护动物制成的菜品。同时，禁止供应高档进口洋酒，但可根据工作需求适量提供地方酒类，且饮酒应保持适度，确保不影响工作”。这规定中商务接待的报销标准是包括酒水费用在内。</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kern w:val="0"/>
          <w:highlight w:val="none"/>
          <w:lang w:bidi="ar"/>
        </w:rPr>
      </w:pPr>
      <w:r>
        <w:rPr>
          <w:rFonts w:hint="eastAsia" w:ascii="仿宋" w:hAnsi="仿宋" w:cs="仿宋"/>
          <w:snapToGrid/>
          <w:color w:val="auto"/>
          <w:highlight w:val="none"/>
        </w:rPr>
        <w:t>经抽查2023年6月1日记账19号凭证中发现向四川东旭锦江酒店有限公司支付住宿费0.25万元，没在协议酒店里消费，</w:t>
      </w:r>
      <w:r>
        <w:rPr>
          <w:rFonts w:hint="eastAsia" w:ascii="仿宋" w:hAnsi="仿宋" w:cs="仿宋"/>
          <w:color w:val="auto"/>
          <w:highlight w:val="none"/>
        </w:rPr>
        <w:t>根据《遂宁市经济合作局商务接待管理办法》（遂经合发〔2019〕22号）的规定</w:t>
      </w:r>
      <w:r>
        <w:rPr>
          <w:rFonts w:hint="eastAsia" w:ascii="仿宋" w:hAnsi="仿宋" w:cs="仿宋"/>
          <w:snapToGrid/>
          <w:color w:val="auto"/>
          <w:highlight w:val="none"/>
        </w:rPr>
        <w:t>“住宿应注重安全舒适，不追求奢华，与符合条件的酒店签订长期合作协议，争取优惠价格，原则上应当在协议酒店中进行安排，确需在协议酒店之外安排住宿的，须经主要负责人同意”</w:t>
      </w:r>
      <w:r>
        <w:rPr>
          <w:rFonts w:hint="eastAsia" w:ascii="仿宋" w:hAnsi="仿宋" w:cs="仿宋"/>
          <w:color w:val="auto"/>
          <w:kern w:val="0"/>
          <w:highlight w:val="none"/>
          <w:lang w:bidi="ar"/>
        </w:rPr>
        <w:t>与高新区经合中心的财务人员确认，与该酒店并无长期合作协议。对会计信息的真实性造成了影响。</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kern w:val="0"/>
          <w:highlight w:val="none"/>
          <w:lang w:bidi="ar"/>
        </w:rPr>
      </w:pPr>
      <w:r>
        <w:rPr>
          <w:rFonts w:hint="eastAsia" w:ascii="仿宋" w:hAnsi="仿宋" w:cs="仿宋"/>
          <w:color w:val="auto"/>
          <w:kern w:val="0"/>
          <w:highlight w:val="none"/>
          <w:lang w:bidi="ar"/>
        </w:rPr>
        <w:t>存在记账凭证会计信息登记不够真实完整，原始报销凭证下方信息如会计主管、审核、记账、制单、出纳等未落款具体负责人员，影响了会计信息质量的真实性。</w:t>
      </w:r>
      <w:r>
        <w:rPr>
          <w:rFonts w:hint="eastAsia" w:ascii="仿宋" w:hAnsi="仿宋" w:cs="仿宋"/>
          <w:color w:val="auto"/>
          <w:highlight w:val="none"/>
        </w:rPr>
        <w:t>1,000.00元以上费用未使用公户支付或者公务卡支付，而是由个人垫付，相关支付凭证缺失，</w:t>
      </w:r>
      <w:r>
        <w:rPr>
          <w:rFonts w:hint="eastAsia" w:ascii="仿宋" w:hAnsi="仿宋" w:cs="仿宋"/>
          <w:color w:val="auto"/>
          <w:kern w:val="0"/>
          <w:highlight w:val="none"/>
          <w:lang w:bidi="ar"/>
        </w:rPr>
        <w:t>会计登记信息不能如实可靠反映记账实际情况。</w:t>
      </w:r>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Cs w:val="32"/>
          <w:highlight w:val="none"/>
        </w:rPr>
      </w:pPr>
      <w:r>
        <w:rPr>
          <w:rFonts w:hint="eastAsia" w:ascii="仿宋" w:hAnsi="仿宋" w:cs="仿宋"/>
          <w:color w:val="auto"/>
          <w:szCs w:val="32"/>
          <w:highlight w:val="none"/>
        </w:rPr>
        <w:t>个人垫付单位支出，无付款凭证或支付证据资料，</w:t>
      </w:r>
      <w:r>
        <w:rPr>
          <w:rFonts w:hint="eastAsia" w:ascii="仿宋" w:hAnsi="仿宋" w:cs="仿宋"/>
          <w:color w:val="auto"/>
          <w:szCs w:val="32"/>
          <w:highlight w:val="none"/>
          <w:lang w:bidi="ar"/>
        </w:rPr>
        <w:t>如：2023年6月20日记账4号凭证，支出金额0.35万元，用于</w:t>
      </w:r>
      <w:r>
        <w:rPr>
          <w:rFonts w:hint="eastAsia" w:ascii="仿宋" w:hAnsi="仿宋" w:cs="仿宋"/>
          <w:color w:val="auto"/>
          <w:szCs w:val="32"/>
          <w:highlight w:val="none"/>
        </w:rPr>
        <w:t>支付</w:t>
      </w:r>
      <w:r>
        <w:rPr>
          <w:rFonts w:hint="eastAsia"/>
          <w:color w:val="auto"/>
          <w:highlight w:val="none"/>
          <w:lang w:eastAsia="zh-CN"/>
        </w:rPr>
        <w:t>个人去</w:t>
      </w:r>
      <w:r>
        <w:rPr>
          <w:rFonts w:hint="eastAsia" w:ascii="仿宋" w:hAnsi="仿宋" w:cs="仿宋"/>
          <w:color w:val="auto"/>
          <w:szCs w:val="32"/>
          <w:highlight w:val="none"/>
        </w:rPr>
        <w:t>成都、广州等地差旅费；未提供相应的支付凭证。</w:t>
      </w:r>
    </w:p>
    <w:p>
      <w:pPr>
        <w:pStyle w:val="3"/>
        <w:keepNext/>
        <w:keepLines w:val="0"/>
        <w:pageBreakBefore w:val="0"/>
        <w:widowControl w:val="0"/>
        <w:kinsoku/>
        <w:wordWrap/>
        <w:overflowPunct w:val="0"/>
        <w:topLinePunct w:val="0"/>
        <w:autoSpaceDE w:val="0"/>
        <w:autoSpaceDN w:val="0"/>
        <w:bidi w:val="0"/>
        <w:adjustRightInd w:val="0"/>
        <w:snapToGrid w:val="0"/>
        <w:spacing w:before="0" w:beforeLines="0" w:after="0" w:afterLines="0" w:line="560" w:lineRule="exact"/>
        <w:ind w:left="0" w:leftChars="0" w:firstLine="643" w:firstLineChars="200"/>
        <w:jc w:val="both"/>
        <w:textAlignment w:val="baseline"/>
        <w:rPr>
          <w:color w:val="auto"/>
          <w:highlight w:val="none"/>
        </w:rPr>
      </w:pPr>
      <w:bookmarkStart w:id="2139" w:name="_Toc2301"/>
      <w:bookmarkStart w:id="2140" w:name="_Toc12923"/>
      <w:bookmarkStart w:id="2141" w:name="_Toc17120"/>
      <w:bookmarkStart w:id="2142" w:name="_Toc7074"/>
      <w:bookmarkStart w:id="2143" w:name="_Toc1692"/>
      <w:bookmarkStart w:id="2144" w:name="_Toc14183"/>
      <w:bookmarkStart w:id="2145" w:name="_Toc22622"/>
      <w:bookmarkStart w:id="2146" w:name="_Toc14012"/>
      <w:bookmarkStart w:id="2147" w:name="_Toc30552"/>
      <w:bookmarkStart w:id="2148" w:name="_Toc6405"/>
      <w:bookmarkStart w:id="2149" w:name="_Toc17136"/>
      <w:bookmarkStart w:id="2150" w:name="_Toc15983"/>
      <w:bookmarkStart w:id="2151" w:name="_Toc9615"/>
      <w:bookmarkStart w:id="2152" w:name="_Toc13818"/>
      <w:bookmarkStart w:id="2153" w:name="_Toc7238"/>
      <w:r>
        <w:rPr>
          <w:rFonts w:hint="eastAsia"/>
          <w:color w:val="auto"/>
          <w:highlight w:val="none"/>
        </w:rPr>
        <w:t>（二）相关建议</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lang w:val="zh-CN"/>
        </w:rPr>
      </w:pPr>
      <w:r>
        <w:rPr>
          <w:rFonts w:hint="eastAsia" w:ascii="楷体" w:hAnsi="楷体" w:eastAsia="楷体" w:cs="楷体"/>
          <w:color w:val="auto"/>
          <w:highlight w:val="none"/>
        </w:rPr>
        <w:t>1.</w:t>
      </w:r>
      <w:r>
        <w:rPr>
          <w:rFonts w:hint="eastAsia" w:ascii="楷体" w:hAnsi="楷体" w:eastAsia="楷体" w:cs="楷体"/>
          <w:color w:val="auto"/>
          <w:highlight w:val="none"/>
          <w:lang w:val="zh-CN"/>
        </w:rPr>
        <w:t>提高预算编制及管理执行水平</w:t>
      </w:r>
    </w:p>
    <w:p>
      <w:pPr>
        <w:pStyle w:val="8"/>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highlight w:val="none"/>
        </w:rPr>
      </w:pPr>
      <w:r>
        <w:rPr>
          <w:rFonts w:hint="eastAsia" w:ascii="仿宋" w:hAnsi="仿宋" w:cs="仿宋"/>
          <w:color w:val="auto"/>
          <w:highlight w:val="none"/>
        </w:rPr>
        <w:t>在预算期初，结合上年度资金使用情况及预计业务水平来编制预算，并在预算实施的过程中，根据情况调整预算，不断提高预算编制的准确性和精细性。</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2.加强固定资产管理工作</w:t>
      </w:r>
    </w:p>
    <w:p>
      <w:pPr>
        <w:pStyle w:val="11"/>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kern w:val="0"/>
          <w:sz w:val="32"/>
          <w:szCs w:val="32"/>
          <w:highlight w:val="none"/>
          <w:lang w:eastAsia="zh-CN" w:bidi="ar"/>
        </w:rPr>
      </w:pPr>
      <w:r>
        <w:rPr>
          <w:rFonts w:hint="eastAsia" w:ascii="仿宋" w:hAnsi="仿宋" w:cs="仿宋"/>
          <w:color w:val="auto"/>
          <w:kern w:val="0"/>
          <w:sz w:val="32"/>
          <w:szCs w:val="32"/>
          <w:highlight w:val="none"/>
          <w:lang w:eastAsia="zh-CN" w:bidi="ar"/>
        </w:rPr>
        <w:t>建议对单位国有资产的管理方法进行完善，并强化及落实资产管理的责任。建议单位定期每季度、半年以及年末进行资产清查，以全面了解行政事业单位国有资产的实际情况，对资产进行详细清点，并及时更新账目，确保账目与实际资产相符。同时，应积极盘活闲置资产，提升资产使用效率，并加强内部控制管理及相关制度的构建。</w:t>
      </w:r>
    </w:p>
    <w:p>
      <w:pPr>
        <w:pStyle w:val="4"/>
        <w:keepNext/>
        <w:keepLines w:val="0"/>
        <w:pageBreakBefore w:val="0"/>
        <w:widowControl w:val="0"/>
        <w:kinsoku/>
        <w:wordWrap/>
        <w:overflowPunct w:val="0"/>
        <w:topLinePunct w:val="0"/>
        <w:autoSpaceDE w:val="0"/>
        <w:autoSpaceDN w:val="0"/>
        <w:bidi w:val="0"/>
        <w:adjustRightInd w:val="0"/>
        <w:snapToGrid w:val="0"/>
        <w:spacing w:before="0" w:beforeLines="0" w:line="560" w:lineRule="exact"/>
        <w:ind w:left="0" w:leftChars="0" w:firstLine="643" w:firstLineChars="200"/>
        <w:jc w:val="both"/>
        <w:textAlignment w:val="baseline"/>
        <w:rPr>
          <w:rFonts w:hint="eastAsia" w:ascii="楷体" w:hAnsi="楷体" w:eastAsia="楷体" w:cs="楷体"/>
          <w:color w:val="auto"/>
          <w:highlight w:val="none"/>
        </w:rPr>
      </w:pPr>
      <w:r>
        <w:rPr>
          <w:rFonts w:hint="eastAsia" w:ascii="楷体" w:hAnsi="楷体" w:eastAsia="楷体" w:cs="楷体"/>
          <w:color w:val="auto"/>
          <w:highlight w:val="none"/>
        </w:rPr>
        <w:t>3.</w:t>
      </w:r>
      <w:r>
        <w:rPr>
          <w:rFonts w:hint="eastAsia" w:ascii="楷体" w:hAnsi="楷体" w:eastAsia="楷体" w:cs="楷体"/>
          <w:color w:val="auto"/>
          <w:spacing w:val="5"/>
          <w:highlight w:val="none"/>
        </w:rPr>
        <w:t>提高内部管理的落实执行</w:t>
      </w:r>
    </w:p>
    <w:p>
      <w:pPr>
        <w:pStyle w:val="11"/>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sz w:val="32"/>
          <w:szCs w:val="32"/>
          <w:highlight w:val="none"/>
        </w:rPr>
      </w:pPr>
      <w:bookmarkStart w:id="2154" w:name="_Toc27512"/>
      <w:bookmarkStart w:id="2155" w:name="_Toc4156"/>
      <w:bookmarkStart w:id="2156" w:name="_Toc5723"/>
      <w:bookmarkStart w:id="2157" w:name="_Toc29567"/>
      <w:r>
        <w:rPr>
          <w:rFonts w:hint="eastAsia" w:ascii="仿宋" w:hAnsi="仿宋" w:cs="仿宋"/>
          <w:color w:val="auto"/>
          <w:kern w:val="0"/>
          <w:sz w:val="32"/>
          <w:szCs w:val="32"/>
          <w:highlight w:val="none"/>
          <w:lang w:bidi="ar"/>
        </w:rPr>
        <w:t>部门制度有待于进一步完善，同时制度执行不够到位，建议建立健全各项管理制度，完善执行机制，加强制度控制作用，使制度落地生根，增加督查力度，对制度执行中的重要节点和关键环节进行督查，保证制度能够顺利执行；加强宣传和教育，让部门员工认识到制度执行的重要性和必要性；给予制度执行者充分的激励和考核机制。</w:t>
      </w:r>
    </w:p>
    <w:p>
      <w:pPr>
        <w:pStyle w:val="2"/>
        <w:keepNext/>
        <w:keepLines w:val="0"/>
        <w:pageBreakBefore w:val="0"/>
        <w:widowControl w:val="0"/>
        <w:kinsoku/>
        <w:wordWrap/>
        <w:overflowPunct w:val="0"/>
        <w:topLinePunct w:val="0"/>
        <w:autoSpaceDE w:val="0"/>
        <w:autoSpaceDN w:val="0"/>
        <w:bidi w:val="0"/>
        <w:adjustRightInd w:val="0"/>
        <w:snapToGrid w:val="0"/>
        <w:spacing w:before="0" w:after="0" w:line="560" w:lineRule="exact"/>
        <w:ind w:left="0" w:leftChars="0" w:firstLine="640" w:firstLineChars="200"/>
        <w:jc w:val="both"/>
        <w:textAlignment w:val="baseline"/>
        <w:rPr>
          <w:color w:val="auto"/>
          <w:highlight w:val="none"/>
        </w:rPr>
      </w:pPr>
      <w:bookmarkStart w:id="2158" w:name="_Toc25572"/>
      <w:bookmarkStart w:id="2159" w:name="_Toc27082"/>
      <w:bookmarkStart w:id="2160" w:name="_Toc23507"/>
      <w:bookmarkStart w:id="2161" w:name="_Toc18121"/>
      <w:bookmarkStart w:id="2162" w:name="_Toc2869"/>
      <w:bookmarkStart w:id="2163" w:name="_Toc32178"/>
      <w:bookmarkStart w:id="2164" w:name="_Toc1286"/>
      <w:bookmarkStart w:id="2165" w:name="_Toc17744"/>
      <w:bookmarkStart w:id="2166" w:name="_Toc26931"/>
      <w:bookmarkStart w:id="2167" w:name="_Toc23945"/>
      <w:bookmarkStart w:id="2168" w:name="_Toc21698"/>
      <w:r>
        <w:rPr>
          <w:rFonts w:hint="eastAsia"/>
          <w:color w:val="auto"/>
          <w:highlight w:val="none"/>
        </w:rPr>
        <w:t>七、相关附件</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p>
    <w:p>
      <w:pPr>
        <w:keepLines w:val="0"/>
        <w:pageBreakBefore w:val="0"/>
        <w:widowControl w:val="0"/>
        <w:kinsoku/>
        <w:wordWrap/>
        <w:overflowPunct w:val="0"/>
        <w:topLinePunct w:val="0"/>
        <w:autoSpaceDE w:val="0"/>
        <w:autoSpaceDN w:val="0"/>
        <w:bidi w:val="0"/>
        <w:spacing w:line="560" w:lineRule="exact"/>
        <w:ind w:left="0" w:leftChars="0" w:firstLine="640" w:firstLineChars="200"/>
        <w:jc w:val="both"/>
        <w:rPr>
          <w:rFonts w:hint="eastAsia" w:ascii="仿宋" w:hAnsi="仿宋" w:cs="仿宋"/>
          <w:color w:val="auto"/>
          <w:highlight w:val="none"/>
        </w:rPr>
      </w:pPr>
      <w:bookmarkStart w:id="2169" w:name="_Toc6320"/>
      <w:r>
        <w:rPr>
          <w:rFonts w:hint="eastAsia" w:ascii="仿宋" w:hAnsi="仿宋" w:cs="仿宋"/>
          <w:color w:val="auto"/>
          <w:highlight w:val="none"/>
        </w:rPr>
        <w:t>附件：</w:t>
      </w:r>
      <w:bookmarkEnd w:id="2169"/>
      <w:r>
        <w:rPr>
          <w:rFonts w:hint="eastAsia" w:ascii="仿宋" w:hAnsi="仿宋" w:cs="仿宋"/>
          <w:color w:val="auto"/>
          <w:highlight w:val="none"/>
        </w:rPr>
        <w:t>遂宁高新区经济合作中心2023年度部门整体支出绩效评价</w:t>
      </w:r>
      <w:r>
        <w:rPr>
          <w:rFonts w:hint="eastAsia" w:ascii="仿宋" w:hAnsi="仿宋" w:cs="仿宋"/>
          <w:color w:val="auto"/>
          <w:highlight w:val="none"/>
          <w:lang w:eastAsia="zh-CN"/>
        </w:rPr>
        <w:t>指标</w:t>
      </w:r>
      <w:r>
        <w:rPr>
          <w:rFonts w:hint="eastAsia" w:ascii="仿宋" w:hAnsi="仿宋" w:cs="仿宋"/>
          <w:color w:val="auto"/>
          <w:highlight w:val="none"/>
        </w:rPr>
        <w:t>评分表</w:t>
      </w:r>
    </w:p>
    <w:p>
      <w:pPr>
        <w:pStyle w:val="25"/>
      </w:pPr>
    </w:p>
    <w:sectPr>
      <w:headerReference r:id="rId11" w:type="default"/>
      <w:footerReference r:id="rId12"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ì.">
    <w:altName w:val="仿宋_GB2312"/>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663575"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6635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129</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52.25pt;mso-position-horizontal:center;mso-position-horizontal-relative:margin;z-index:251662336;mso-width-relative:page;mso-height-relative:page;" filled="f" stroked="f" coordsize="21600,21600" o:gfxdata="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eXMr7UAAAABQEAAA8AAAAAAAAAAQAgAAAAIgAAAGRycy9kb3ducmV2&#10;LnhtbFBLAQIUABQAAAAIAIdO4kDP0tFaOQIAAGQEAAAOAAAAAAAAAAEAIAAAACMBAABkcnMvZTJv&#10;RG9jLnhtbFBLBQYAAAAABgAGAFkBAADO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129</w:t>
                    </w:r>
                    <w:r>
                      <w:fldChar w:fldCharType="end"/>
                    </w:r>
                  </w:p>
                </w:txbxContent>
              </v:textbox>
            </v:shape>
          </w:pict>
        </mc:Fallback>
      </mc:AlternateContent>
    </w:r>
  </w:p>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D63C03"/>
    <w:multiLevelType w:val="singleLevel"/>
    <w:tmpl w:val="A5D63C03"/>
    <w:lvl w:ilvl="0" w:tentative="0">
      <w:start w:val="2"/>
      <w:numFmt w:val="decimal"/>
      <w:suff w:val="nothing"/>
      <w:lvlText w:val="%1）"/>
      <w:lvlJc w:val="left"/>
    </w:lvl>
  </w:abstractNum>
  <w:abstractNum w:abstractNumId="1">
    <w:nsid w:val="B0E8980E"/>
    <w:multiLevelType w:val="singleLevel"/>
    <w:tmpl w:val="B0E8980E"/>
    <w:lvl w:ilvl="0" w:tentative="0">
      <w:start w:val="3"/>
      <w:numFmt w:val="decimal"/>
      <w:suff w:val="nothing"/>
      <w:lvlText w:val="（%1）"/>
      <w:lvlJc w:val="left"/>
      <w:rPr>
        <w:rFonts w:hint="default" w:ascii="仿宋" w:hAnsi="仿宋" w:eastAsia="仿宋" w:cs="仿宋"/>
        <w:sz w:val="32"/>
        <w:szCs w:val="32"/>
      </w:rPr>
    </w:lvl>
  </w:abstractNum>
  <w:abstractNum w:abstractNumId="2">
    <w:nsid w:val="1026F662"/>
    <w:multiLevelType w:val="singleLevel"/>
    <w:tmpl w:val="1026F662"/>
    <w:lvl w:ilvl="0" w:tentative="0">
      <w:start w:val="2"/>
      <w:numFmt w:val="chineseCounting"/>
      <w:suff w:val="nothing"/>
      <w:lvlText w:val="（%1）"/>
      <w:lvlJc w:val="left"/>
      <w:rPr>
        <w:rFonts w:hint="eastAsia"/>
      </w:rPr>
    </w:lvl>
  </w:abstractNum>
  <w:abstractNum w:abstractNumId="3">
    <w:nsid w:val="33E4D40E"/>
    <w:multiLevelType w:val="singleLevel"/>
    <w:tmpl w:val="33E4D40E"/>
    <w:lvl w:ilvl="0" w:tentative="0">
      <w:start w:val="1"/>
      <w:numFmt w:val="chineseCounting"/>
      <w:suff w:val="nothing"/>
      <w:lvlText w:val="%1、"/>
      <w:lvlJc w:val="left"/>
      <w:rPr>
        <w:rFonts w:hint="eastAsia"/>
      </w:rPr>
    </w:lvl>
  </w:abstractNum>
  <w:abstractNum w:abstractNumId="4">
    <w:nsid w:val="5870F090"/>
    <w:multiLevelType w:val="singleLevel"/>
    <w:tmpl w:val="5870F090"/>
    <w:lvl w:ilvl="0" w:tentative="0">
      <w:start w:val="3"/>
      <w:numFmt w:val="decimal"/>
      <w:suff w:val="nothing"/>
      <w:lvlText w:val="%1）"/>
      <w:lvlJc w:val="left"/>
    </w:lvl>
  </w:abstractNum>
  <w:abstractNum w:abstractNumId="5">
    <w:nsid w:val="5887CC84"/>
    <w:multiLevelType w:val="singleLevel"/>
    <w:tmpl w:val="5887CC84"/>
    <w:lvl w:ilvl="0" w:tentative="0">
      <w:start w:val="1"/>
      <w:numFmt w:val="decimal"/>
      <w:suff w:val="nothing"/>
      <w:lvlText w:val="（%1）"/>
      <w:lvlJc w:val="left"/>
    </w:lvl>
  </w:abstractNum>
  <w:abstractNum w:abstractNumId="6">
    <w:nsid w:val="5BFF30D7"/>
    <w:multiLevelType w:val="singleLevel"/>
    <w:tmpl w:val="5BFF30D7"/>
    <w:lvl w:ilvl="0" w:tentative="0">
      <w:start w:val="4"/>
      <w:numFmt w:val="decimal"/>
      <w:suff w:val="nothing"/>
      <w:lvlText w:val="%1）"/>
      <w:lvlJc w:val="left"/>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zZDEzYzdiZDQ1MWRiY2NmMDc1ZTQ5MDgzZTAzYmIifQ=="/>
  </w:docVars>
  <w:rsids>
    <w:rsidRoot w:val="0C2A7E87"/>
    <w:rsid w:val="04402605"/>
    <w:rsid w:val="04A84205"/>
    <w:rsid w:val="05903704"/>
    <w:rsid w:val="0C2A7E87"/>
    <w:rsid w:val="14ED20AD"/>
    <w:rsid w:val="1B9238A2"/>
    <w:rsid w:val="3714538E"/>
    <w:rsid w:val="422E5823"/>
    <w:rsid w:val="476B6BD2"/>
    <w:rsid w:val="52AB6477"/>
    <w:rsid w:val="56642DC8"/>
    <w:rsid w:val="64DE77A6"/>
    <w:rsid w:val="6CFD6986"/>
    <w:rsid w:val="6DCC6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qFormat/>
    <w:uiPriority w:val="0"/>
    <w:pPr>
      <w:keepNext/>
      <w:keepLines/>
      <w:spacing w:line="560" w:lineRule="exact"/>
      <w:ind w:firstLine="200" w:firstLineChars="200"/>
      <w:outlineLvl w:val="0"/>
    </w:pPr>
    <w:rPr>
      <w:rFonts w:eastAsia="黑体"/>
      <w:bCs/>
      <w:kern w:val="44"/>
      <w:szCs w:val="44"/>
    </w:rPr>
  </w:style>
  <w:style w:type="paragraph" w:styleId="3">
    <w:name w:val="heading 2"/>
    <w:basedOn w:val="1"/>
    <w:next w:val="1"/>
    <w:qFormat/>
    <w:uiPriority w:val="0"/>
    <w:pPr>
      <w:keepNext/>
      <w:keepLines/>
      <w:outlineLvl w:val="1"/>
    </w:pPr>
    <w:rPr>
      <w:rFonts w:ascii="Cambria" w:hAnsi="Cambria" w:eastAsia="仿宋_GB2312" w:cs="Times New Roman"/>
      <w:b/>
      <w:bCs/>
      <w:szCs w:val="32"/>
    </w:rPr>
  </w:style>
  <w:style w:type="paragraph" w:styleId="4">
    <w:name w:val="heading 3"/>
    <w:basedOn w:val="1"/>
    <w:next w:val="1"/>
    <w:link w:val="28"/>
    <w:qFormat/>
    <w:uiPriority w:val="0"/>
    <w:pPr>
      <w:keepNext/>
      <w:keepLines/>
      <w:spacing w:line="560" w:lineRule="exact"/>
      <w:ind w:firstLine="200" w:firstLineChars="200"/>
      <w:outlineLvl w:val="2"/>
    </w:pPr>
    <w:rPr>
      <w:rFonts w:ascii="楷体" w:hAnsi="楷体" w:eastAsia="楷体"/>
      <w:b/>
      <w:bCs/>
      <w:szCs w:val="32"/>
    </w:rPr>
  </w:style>
  <w:style w:type="paragraph" w:styleId="5">
    <w:name w:val="heading 4"/>
    <w:basedOn w:val="1"/>
    <w:next w:val="1"/>
    <w:qFormat/>
    <w:uiPriority w:val="0"/>
    <w:pPr>
      <w:keepNext/>
      <w:keepLines/>
      <w:spacing w:line="560" w:lineRule="exact"/>
      <w:ind w:firstLine="200" w:firstLineChars="200"/>
      <w:outlineLvl w:val="3"/>
    </w:pPr>
    <w:rPr>
      <w:rFonts w:ascii="仿宋" w:hAnsi="仿宋" w:eastAsia="仿宋" w:cs="Times New Roman"/>
      <w:b/>
      <w:bCs/>
      <w:szCs w:val="28"/>
    </w:rPr>
  </w:style>
  <w:style w:type="paragraph" w:styleId="6">
    <w:name w:val="heading 5"/>
    <w:basedOn w:val="1"/>
    <w:next w:val="1"/>
    <w:link w:val="33"/>
    <w:unhideWhenUsed/>
    <w:qFormat/>
    <w:uiPriority w:val="9"/>
    <w:pPr>
      <w:keepNext/>
      <w:keepLines/>
      <w:spacing w:before="280" w:after="290" w:line="372" w:lineRule="auto"/>
      <w:outlineLvl w:val="4"/>
    </w:pPr>
    <w:rPr>
      <w:b/>
      <w:sz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7">
    <w:name w:val="Normal Indent"/>
    <w:basedOn w:val="1"/>
    <w:link w:val="27"/>
    <w:unhideWhenUsed/>
    <w:qFormat/>
    <w:uiPriority w:val="0"/>
    <w:pPr>
      <w:ind w:firstLine="420" w:firstLineChars="200"/>
    </w:pPr>
  </w:style>
  <w:style w:type="paragraph" w:styleId="8">
    <w:name w:val="annotation text"/>
    <w:basedOn w:val="1"/>
    <w:qFormat/>
    <w:uiPriority w:val="0"/>
    <w:pPr>
      <w:jc w:val="left"/>
    </w:pPr>
  </w:style>
  <w:style w:type="paragraph" w:styleId="9">
    <w:name w:val="Salutation"/>
    <w:basedOn w:val="1"/>
    <w:next w:val="1"/>
    <w:qFormat/>
    <w:uiPriority w:val="0"/>
    <w:pPr>
      <w:widowControl w:val="0"/>
      <w:spacing w:after="0"/>
      <w:jc w:val="both"/>
    </w:pPr>
    <w:rPr>
      <w:rFonts w:ascii="Times New Roman" w:hAnsi="Times New Roman" w:eastAsia="宋体" w:cs="Times New Roman"/>
      <w:kern w:val="2"/>
      <w:sz w:val="24"/>
      <w:szCs w:val="24"/>
      <w:lang w:val="en-US" w:eastAsia="zh-CN" w:bidi="ar-SA"/>
    </w:rPr>
  </w:style>
  <w:style w:type="paragraph" w:styleId="10">
    <w:name w:val="toc 5"/>
    <w:basedOn w:val="1"/>
    <w:next w:val="1"/>
    <w:qFormat/>
    <w:uiPriority w:val="0"/>
    <w:pPr>
      <w:ind w:left="1680"/>
    </w:pPr>
  </w:style>
  <w:style w:type="paragraph" w:styleId="11">
    <w:name w:val="Plain Text"/>
    <w:basedOn w:val="1"/>
    <w:unhideWhenUsed/>
    <w:qFormat/>
    <w:uiPriority w:val="99"/>
    <w:rPr>
      <w:rFonts w:ascii="宋体" w:hAnsi="Courier New" w:cs="Courier New"/>
      <w:sz w:val="21"/>
      <w:szCs w:val="21"/>
    </w:r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tabs>
        <w:tab w:val="left" w:pos="840"/>
        <w:tab w:val="right" w:leader="dot" w:pos="8296"/>
      </w:tabs>
      <w:spacing w:line="560" w:lineRule="exact"/>
      <w:jc w:val="left"/>
    </w:pPr>
    <w:rPr>
      <w:rFonts w:ascii="仿宋_GB2312" w:hAnsi="新宋体" w:eastAsia="仿宋_GB2312" w:cs="Calibri"/>
      <w:b/>
      <w:bCs/>
      <w:caps/>
      <w:sz w:val="28"/>
      <w:szCs w:val="28"/>
    </w:rPr>
  </w:style>
  <w:style w:type="paragraph" w:styleId="15">
    <w:name w:val="toc 2"/>
    <w:basedOn w:val="1"/>
    <w:next w:val="1"/>
    <w:qFormat/>
    <w:uiPriority w:val="39"/>
    <w:pPr>
      <w:tabs>
        <w:tab w:val="right" w:leader="dot" w:pos="8494"/>
      </w:tabs>
      <w:spacing w:line="560" w:lineRule="exact"/>
      <w:ind w:left="210"/>
      <w:jc w:val="left"/>
    </w:pPr>
    <w:rPr>
      <w:rFonts w:ascii="仿宋_GB2312" w:hAnsi="Calibri" w:eastAsia="仿宋_GB2312" w:cs="Calibri"/>
      <w:smallCaps/>
      <w:sz w:val="28"/>
      <w:szCs w:val="28"/>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Title"/>
    <w:basedOn w:val="1"/>
    <w:next w:val="1"/>
    <w:qFormat/>
    <w:uiPriority w:val="0"/>
    <w:pPr>
      <w:spacing w:before="100" w:beforeLines="100" w:after="100" w:afterLines="100"/>
      <w:ind w:firstLine="0" w:firstLineChars="0"/>
      <w:jc w:val="center"/>
      <w:outlineLvl w:val="0"/>
    </w:pPr>
    <w:rPr>
      <w:rFonts w:ascii="Cambria" w:hAnsi="Cambria" w:eastAsia="宋体" w:cs="Times New Roman"/>
      <w:b/>
      <w:bCs/>
      <w:sz w:val="44"/>
      <w:szCs w:val="32"/>
    </w:rPr>
  </w:style>
  <w:style w:type="table" w:styleId="19">
    <w:name w:val="Table Grid"/>
    <w:basedOn w:val="18"/>
    <w:qFormat/>
    <w:uiPriority w:val="59"/>
    <w:rPr>
      <w:rFonts w:ascii="Arial" w:hAnsi="Arial" w:cs="Arial"/>
      <w:snapToGrid w:val="0"/>
      <w:color w:val="000000"/>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bCs/>
    </w:rPr>
  </w:style>
  <w:style w:type="character" w:styleId="22">
    <w:name w:val="FollowedHyperlink"/>
    <w:qFormat/>
    <w:uiPriority w:val="0"/>
    <w:rPr>
      <w:color w:val="800080"/>
      <w:u w:val="single"/>
    </w:rPr>
  </w:style>
  <w:style w:type="character" w:styleId="23">
    <w:name w:val="Hyperlink"/>
    <w:basedOn w:val="20"/>
    <w:qFormat/>
    <w:uiPriority w:val="0"/>
    <w:rPr>
      <w:color w:val="0000FF"/>
      <w:u w:val="single"/>
    </w:rPr>
  </w:style>
  <w:style w:type="character" w:styleId="24">
    <w:name w:val="annotation reference"/>
    <w:qFormat/>
    <w:uiPriority w:val="0"/>
    <w:rPr>
      <w:sz w:val="21"/>
      <w:szCs w:val="21"/>
    </w:rPr>
  </w:style>
  <w:style w:type="paragraph" w:customStyle="1" w:styleId="25">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character" w:customStyle="1" w:styleId="27">
    <w:name w:val="正文缩进 字符"/>
    <w:link w:val="7"/>
    <w:qFormat/>
    <w:uiPriority w:val="0"/>
  </w:style>
  <w:style w:type="character" w:customStyle="1" w:styleId="28">
    <w:name w:val="标题 3 字符"/>
    <w:link w:val="4"/>
    <w:qFormat/>
    <w:uiPriority w:val="0"/>
    <w:rPr>
      <w:rFonts w:ascii="楷体" w:hAnsi="楷体" w:eastAsia="楷体"/>
      <w:b/>
      <w:bCs/>
      <w:szCs w:val="32"/>
    </w:rPr>
  </w:style>
  <w:style w:type="paragraph" w:customStyle="1" w:styleId="29">
    <w:name w:val="常用样式（方正仿宋简）"/>
    <w:basedOn w:val="1"/>
    <w:qFormat/>
    <w:uiPriority w:val="99"/>
    <w:pPr>
      <w:spacing w:line="560" w:lineRule="exact"/>
      <w:ind w:firstLine="640" w:firstLineChars="200"/>
    </w:pPr>
    <w:rPr>
      <w:rFonts w:ascii="等线" w:hAnsi="等线" w:eastAsia="等线"/>
      <w:sz w:val="21"/>
      <w:szCs w:val="32"/>
    </w:rPr>
  </w:style>
  <w:style w:type="paragraph" w:customStyle="1" w:styleId="30">
    <w:name w:val="Footer1"/>
    <w:basedOn w:val="1"/>
    <w:qFormat/>
    <w:uiPriority w:val="0"/>
    <w:pPr>
      <w:tabs>
        <w:tab w:val="center" w:pos="4153"/>
        <w:tab w:val="right" w:pos="8306"/>
      </w:tabs>
      <w:snapToGrid w:val="0"/>
      <w:jc w:val="left"/>
    </w:pPr>
    <w:rPr>
      <w:sz w:val="18"/>
    </w:rPr>
  </w:style>
  <w:style w:type="paragraph" w:styleId="31">
    <w:name w:val="List Paragraph"/>
    <w:basedOn w:val="1"/>
    <w:qFormat/>
    <w:uiPriority w:val="34"/>
    <w:pPr>
      <w:ind w:firstLine="420" w:firstLineChars="200"/>
    </w:pPr>
    <w:rPr>
      <w:rFonts w:ascii="Calibri" w:hAnsi="Calibri"/>
      <w:szCs w:val="22"/>
    </w:rPr>
  </w:style>
  <w:style w:type="character" w:customStyle="1" w:styleId="32">
    <w:name w:val="font11"/>
    <w:basedOn w:val="20"/>
    <w:qFormat/>
    <w:uiPriority w:val="0"/>
    <w:rPr>
      <w:rFonts w:hint="eastAsia" w:ascii="仿宋" w:hAnsi="仿宋" w:eastAsia="仿宋" w:cs="仿宋"/>
      <w:b/>
      <w:bCs/>
      <w:color w:val="000000"/>
      <w:sz w:val="24"/>
      <w:szCs w:val="24"/>
      <w:u w:val="none"/>
    </w:rPr>
  </w:style>
  <w:style w:type="character" w:customStyle="1" w:styleId="33">
    <w:name w:val="标题 5 字符"/>
    <w:link w:val="6"/>
    <w:qFormat/>
    <w:uiPriority w:val="0"/>
    <w:rPr>
      <w:b/>
      <w:sz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261</Pages>
  <Words>114590</Words>
  <Characters>124151</Characters>
  <Lines>0</Lines>
  <Paragraphs>0</Paragraphs>
  <TotalTime>17</TotalTime>
  <ScaleCrop>false</ScaleCrop>
  <LinksUpToDate>false</LinksUpToDate>
  <CharactersWithSpaces>124460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2024-09-02T16:28:00Z</dcterms:created>
  <dc:creator>WPS_1602208359</dc:creator>
  <cp:lastModifiedBy>x</cp:lastModifiedBy>
  <dcterms:modified xsi:type="dcterms:W3CDTF">2025-06-04T09:06:46Z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6FC567DDDF9542F6AD8A6DC82F84029B_13</vt:lpwstr>
  </property>
</Properties>
</file>