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0" w:line="560" w:lineRule="exact"/>
        <w:jc w:val="center"/>
        <w:textAlignment w:val="baseline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"/>
          <w:position w:val="2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</w:t>
      </w:r>
      <w:r>
        <w:rPr>
          <w:rFonts w:hint="eastAsia" w:ascii="Times New Roman" w:hAnsi="Times New Roman" w:eastAsia="方正小标宋简体" w:cs="Times New Roman"/>
          <w:spacing w:val="-1"/>
          <w:position w:val="2"/>
          <w:sz w:val="44"/>
          <w:szCs w:val="44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hint="default" w:ascii="Times New Roman" w:hAnsi="Times New Roman" w:eastAsia="方正小标宋简体" w:cs="Times New Roman"/>
          <w:spacing w:val="-1"/>
          <w:position w:val="2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年度高新技术开发区</w:t>
      </w:r>
      <w:r>
        <w:rPr>
          <w:rFonts w:hint="eastAsia" w:ascii="Times New Roman" w:hAnsi="Times New Roman" w:eastAsia="方正小标宋简体" w:cs="Times New Roman"/>
          <w:spacing w:val="-1"/>
          <w:position w:val="2"/>
          <w:sz w:val="44"/>
          <w:szCs w:val="44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区本级</w:t>
      </w:r>
      <w:r>
        <w:rPr>
          <w:rFonts w:hint="default" w:ascii="Times New Roman" w:hAnsi="Times New Roman" w:eastAsia="方正小标宋简体" w:cs="Times New Roman"/>
          <w:spacing w:val="-1"/>
          <w:position w:val="2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重大投资项目情况的说明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default" w:ascii="Times New Roman" w:hAnsi="Times New Roman" w:cs="Times New Roman"/>
          <w:sz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560" w:lineRule="exact"/>
        <w:ind w:firstLine="632" w:firstLineChars="200"/>
        <w:textAlignment w:val="baseline"/>
        <w:rPr>
          <w:rFonts w:hint="default" w:ascii="Times New Roman" w:hAnsi="Times New Roman" w:eastAsia="黑体" w:cs="Times New Roman"/>
          <w:spacing w:val="-2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2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pacing w:val="-2"/>
          <w:sz w:val="32"/>
          <w:szCs w:val="32"/>
        </w:rPr>
        <w:t>遂宁高新区川渝农产品冷链物流配送中心（一期）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560" w:lineRule="exact"/>
        <w:ind w:left="561"/>
        <w:textAlignment w:val="baseline"/>
        <w:rPr>
          <w:rFonts w:hint="default" w:ascii="Times New Roman" w:hAnsi="Times New Roman" w:eastAsia="楷体_GB2312" w:cs="Times New Roman"/>
          <w:b w:val="0"/>
          <w:bCs w:val="0"/>
          <w:spacing w:val="-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pacing w:val="-1"/>
          <w:sz w:val="32"/>
          <w:szCs w:val="32"/>
          <w:lang w:eastAsia="zh-CN"/>
        </w:rPr>
        <w:t>项目概况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7" w:right="6" w:firstLine="58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</w:rPr>
        <w:t>规划总用地面积12965.46平方米，规划总建筑面积37755.08平方米；包括新建集农贸市场、商业、冷链物流办公与城市智能停车场等为一体的八层商业综合楼。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firstLine="0" w:firstLine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firstLine="0" w:firstLine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000万元。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left="40" w:firstLine="632" w:firstLineChars="200"/>
        <w:textAlignment w:val="baseline"/>
        <w:rPr>
          <w:rFonts w:hint="default" w:ascii="Times New Roman" w:hAnsi="Times New Roman" w:eastAsia="黑体" w:cs="Times New Roman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遂宁高新区锂电产业园配套基础设施项目（一期）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5" w:line="560" w:lineRule="exact"/>
        <w:ind w:firstLine="636" w:firstLineChars="200"/>
        <w:textAlignment w:val="baseline"/>
        <w:rPr>
          <w:rFonts w:hint="default" w:ascii="Times New Roman" w:hAnsi="Times New Roman" w:eastAsia="楷体_GB2312" w:cs="Times New Roman"/>
          <w:b w:val="0"/>
          <w:bCs w:val="0"/>
          <w:spacing w:val="-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spacing w:val="-1"/>
          <w:sz w:val="32"/>
          <w:szCs w:val="32"/>
          <w:lang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A、B路道路剩余路面油面层，新建南部横路九、横路十、横路十一、纵路十一、纵路十二、纵路十三延长线等共计8条道路，新建道路总长约5.9公里，宽20-35米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000万元。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遂宁高新区智能机械装备产业园基础设施建设项目（一期）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32" w:firstLineChars="200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spacing w:val="-2"/>
          <w:kern w:val="0"/>
          <w:sz w:val="32"/>
          <w:szCs w:val="32"/>
          <w:lang w:val="en-US" w:eastAsia="zh-CN" w:bidi="ar-SA"/>
        </w:rPr>
        <w:t>包括北部片区道路横路六、横路八（东段）、横路一、纵路九、纵路八，北部纵路四等道路，宽20-40米,及相关配套附属工程。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610万元。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遂宁高新区新材料产业园配套基础设施项目（二期）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改建凌云路、水井路及C路、D路，新建南山支路。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遂宁高新区创客孵化中心配套设施建设项目（一期）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改建道路2.6公里：春晓路和北湖路2条现状城市道路，宽30米-35米。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000万元。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遂宁高新区遂潼合作示范园创新能级提升建设项目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新建约1.97万平方米创新创业中心，及相关附属设施建设。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已完成主体建设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（三）2022年资金安排计划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2022年已安排地方政府专项债券资金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700万元。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遂宁高新区南片区老旧小区改造项目（一期)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561" w:leftChars="0" w:right="6" w:rightChars="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对瑰宝明珠小区老旧小区进行改造：内屋顶改造、外墙面改造、局部修补、增设消防设施及改造椿香水韵老旧小区配套基础设施。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年已安排地方政府专项债券资金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遂宁高新区全民健身中心项目 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新建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全民健身体育馆、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室外跑道及其他配套设施。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eastAsia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年已安排地方政府专项债券资金11700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遂宁高新区公共领域充换电基础设施建设项目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北部一期小区、凉水井小区一、二、三、四期、天星坝小区等十个社区及鹭栖湖、遂宁高新区高速路口、健坤大厦停车区的充电桩及配套、地坪处理及恢复、停车坪修建等 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年已安排地方政府专项债券资金4300 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遂宁高新区鹭栖湖体育公园项目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 xml:space="preserve">鹭栖湖公园内绿化工程、园建工程、水电工程、水质提升及湖底清淤。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已完成足球场、篮球场施工和分部分项验收 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年已安排地方政府专项债券资金2350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遂宁高新区交通新型基础设施升级改造项目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新建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 xml:space="preserve">公交车候车亭、318保升段及原S205路灯等 。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年已安排地方政府专项债券资金2000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遂宁高新区南片区老旧小区配套基础设施建设项目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 xml:space="preserve">改建致远路、春晓路、云锦路、金桃路、远成路道路路面；改建奔驰口袋公园；新建瑰宝明珠公园；保升危桥、保升初中外道路改造 。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年已安排地方政府专项债券资金2000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遂宁高新区排水设施更新改造项目（一期）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 xml:space="preserve">西部机械城以南堰塞湖治理、焙里思以北沟渠治理、秀强背面排水改造、其他市政道路排水改造 。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年已安排地方政府专项债券资金2000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="40" w:leftChars="0" w:right="6" w:rightChars="0" w:firstLine="608" w:firstLineChars="200"/>
        <w:jc w:val="both"/>
        <w:textAlignment w:val="baseline"/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 xml:space="preserve">遂宁高新区电子产业园区及配套基础设施建设项目（二期）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新建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 xml:space="preserve">2栋框架结构办公楼及配套用房，总建筑面积约96970.96㎡，共建设厂房9栋、办公楼2栋 。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已完成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总工程量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75%，1、2、3、8号楼已完成项目建设并移交企业使用；4号楼、6号楼、科研楼、研发楼装饰装修完成70%；7号楼夹层混凝土浇筑完成，一层架体搭设完成50%；5、9号楼完成二层混凝土施工，三层架体模板安装完成60%；总平管网施工完成50%。 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（三）202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  <w:t>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leftChars="200" w:right="6" w:rightChars="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>202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" w:eastAsia="zh-CN"/>
        </w:rPr>
        <w:t xml:space="preserve">年已安排地方政府专项债券资金9900 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1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十五、</w:t>
      </w:r>
      <w:r>
        <w:rPr>
          <w:rFonts w:hint="default" w:ascii="Times New Roman" w:hAnsi="Times New Roman" w:eastAsia="黑体" w:cs="Times New Roman"/>
          <w:spacing w:val="-8"/>
          <w:sz w:val="32"/>
          <w:szCs w:val="32"/>
          <w:lang w:val="en-US" w:eastAsia="zh-CN"/>
        </w:rPr>
        <w:t>遂宁高新区大宗物资集散分拨中心项目（一期）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项目总占地面积约407.45亩，总建筑面积约19.97万平方米，其中一般仓储建筑面积3.92万平方米，冷冻库1万平方米，气调库0.96万平方米等相关配套附属设施。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完成项目大宗物资交易区建设；正在进行加工交易区建设。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（三）2023年资金安排计划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2023年安排地方政府专项债资金12364万元。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10" w:firstLineChars="200"/>
        <w:jc w:val="both"/>
        <w:textAlignment w:val="baseline"/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十六、</w:t>
      </w:r>
      <w:r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遂宁高新区智慧城市现代信息化建设项目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对现有市政停车位进行智慧化升级增设充电设施，部署智慧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停车管理系统;搭建综合服务系统，增设280套智慧LED信息展示屏：进行信安与管理升级，建设网络安全及舆情监测体系等;建设智慧门禁服务体系，新增4套智慧门禁系统、36套道闸系统及广告位，建设300组无轨密集架等；建设城市管理平台，配套建设云计算中心、服务器机房等；建设城市智慧安防信息化，集成实名采集、视频会议、图码联侦、数据取证功能，部署人脸解析系统，完善图像应用平台，建设综治监控中心、设备机房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完成项目一期工程建设。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（三）2023年资金安排计划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2023年已安排地方政府专项债券资金5000万元。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10" w:firstLineChars="200"/>
        <w:jc w:val="both"/>
        <w:textAlignment w:val="baseline"/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十七、</w:t>
      </w:r>
      <w:r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遂宁高新区智慧停车场建设项目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总用地规划140亩，建设2处城市智慧停车场，立体停车场一座，设置小车位2150个，大车停车位150个，在两个停车场之间增设智能公交站点3处，配套建设快速充电桩45个，改造配套道路2.3公里及其他附属设施建设。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完成项目一期工程建设。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（三）2023年资金安排计划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2023年已安排地方政府专项债券资金1000万元。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10" w:firstLineChars="200"/>
        <w:jc w:val="both"/>
        <w:textAlignment w:val="baseline"/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十八、</w:t>
      </w:r>
      <w:r>
        <w:rPr>
          <w:rFonts w:hint="default" w:ascii="Times New Roman" w:hAnsi="Times New Roman" w:eastAsia="仿宋_GB2312" w:cs="Times New Roman"/>
          <w:b/>
          <w:bCs/>
          <w:spacing w:val="-8"/>
          <w:sz w:val="32"/>
          <w:szCs w:val="32"/>
          <w:lang w:val="en-US" w:eastAsia="zh-CN"/>
        </w:rPr>
        <w:t>遂宁高新区西部铁路物流园配套基础设施建设项目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（一）项目概况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项目总用地面积约83.7亩，总建筑面积约3.2万平方米，主要建设物流仓储用房及相关配套附属设施。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（二）进展情况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主体结构及钢结构完成，二次结构完成，内装修工程完成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40%。2#、3#、4#厂房、门卫室防水完成。总平土石方完成。安装工程：管线安装完成40%。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（三）2023年资金安排计划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2023年已安排地方政府专项债券资金4850万元。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560" w:lineRule="exact"/>
        <w:ind w:right="6" w:rightChars="0" w:firstLine="608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08" w:firstLineChars="200"/>
        <w:textAlignment w:val="baseline"/>
        <w:rPr>
          <w:rFonts w:hint="default" w:ascii="Times New Roman" w:hAnsi="Times New Roman" w:eastAsia="楷体_GB2312" w:cs="Times New Roman"/>
          <w:spacing w:val="-8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9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FC82F"/>
    <w:multiLevelType w:val="singleLevel"/>
    <w:tmpl w:val="BFBFC82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7FB77A"/>
    <w:multiLevelType w:val="singleLevel"/>
    <w:tmpl w:val="CD7FB7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D1E0D68"/>
    <w:multiLevelType w:val="singleLevel"/>
    <w:tmpl w:val="FD1E0D6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M2QwNmZlNzNjODc1ZTRiNDIwMGQ5MzZhMWZiMTgxMDAifQ=="/>
  </w:docVars>
  <w:rsids>
    <w:rsidRoot w:val="00000000"/>
    <w:rsid w:val="1CA8668D"/>
    <w:rsid w:val="1F6F2CD9"/>
    <w:rsid w:val="2FE7AC7F"/>
    <w:rsid w:val="30C46C04"/>
    <w:rsid w:val="4B7C5827"/>
    <w:rsid w:val="4FB6053F"/>
    <w:rsid w:val="56F9C851"/>
    <w:rsid w:val="58F54D3A"/>
    <w:rsid w:val="7AEF15A3"/>
    <w:rsid w:val="BA779C3B"/>
    <w:rsid w:val="BFEFC878"/>
    <w:rsid w:val="EDDD691A"/>
    <w:rsid w:val="F1CF4AD3"/>
    <w:rsid w:val="F7AF1746"/>
    <w:rsid w:val="FD7B92EF"/>
    <w:rsid w:val="FFBFF5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1087</Words>
  <Characters>1276</Characters>
  <TotalTime>3</TotalTime>
  <ScaleCrop>false</ScaleCrop>
  <LinksUpToDate>false</LinksUpToDate>
  <CharactersWithSpaces>1276</CharactersWithSpaces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2023-08-17T18:36:00Z</dcterms:created>
  <dc:creator>dengjun</dc:creator>
  <cp:lastModifiedBy>user</cp:lastModifiedBy>
  <dcterms:modified xsi:type="dcterms:W3CDTF">2024-09-09T09:57:36Z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2023-08-15T10:16:14Z</vt:filetime>
  </property>
  <property fmtid="{D5CDD505-2E9C-101B-9397-08002B2CF9AE}" pid="4" name="KSOProductBuildVer">
    <vt:lpwstr>2052-11.8.2.10458</vt:lpwstr>
  </property>
  <property fmtid="{D5CDD505-2E9C-101B-9397-08002B2CF9AE}" pid="5" name="ICV">
    <vt:lpwstr>397E4748D38F41B08F38745F0FFB9B5B_12</vt:lpwstr>
  </property>
</Properties>
</file>