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11</w:t>
      </w:r>
    </w:p>
    <w:p>
      <w:pPr>
        <w:pStyle w:val="6"/>
        <w:widowControl w:val="0"/>
        <w:adjustRightInd w:val="0"/>
        <w:snapToGrid w:val="0"/>
        <w:spacing w:before="0" w:beforeAutospacing="0" w:after="0" w:afterAutospacing="0" w:line="570" w:lineRule="exact"/>
        <w:jc w:val="center"/>
        <w:rPr>
          <w:rFonts w:hint="default" w:ascii="Times New Roman" w:hAnsi="Times New Roman" w:eastAsia="仿宋_GB2312" w:cs="Times New Roman"/>
          <w:b/>
          <w:bCs/>
          <w:sz w:val="40"/>
          <w:szCs w:val="32"/>
        </w:rPr>
      </w:pPr>
      <w:r>
        <w:rPr>
          <w:rFonts w:hint="default" w:ascii="Times New Roman" w:hAnsi="Times New Roman" w:eastAsia="方正小标宋简体" w:cs="Times New Roman"/>
          <w:b w:val="0"/>
          <w:bCs w:val="0"/>
          <w:color w:val="auto"/>
          <w:sz w:val="44"/>
          <w:szCs w:val="44"/>
        </w:rPr>
        <w:t>名 词 解 释</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1</w:t>
      </w:r>
      <w:r>
        <w:rPr>
          <w:rFonts w:hint="eastAsia" w:eastAsia="黑体" w:cs="Times New Roman"/>
          <w:sz w:val="32"/>
          <w:szCs w:val="32"/>
          <w:lang w:val="en-US" w:eastAsia="zh-CN"/>
        </w:rPr>
        <w:t>.</w:t>
      </w:r>
      <w:r>
        <w:rPr>
          <w:rFonts w:hint="default" w:ascii="Times New Roman" w:hAnsi="Times New Roman" w:eastAsia="黑体" w:cs="Times New Roman"/>
          <w:sz w:val="32"/>
          <w:szCs w:val="32"/>
        </w:rPr>
        <w:t>零基预算：</w:t>
      </w:r>
      <w:r>
        <w:rPr>
          <w:rFonts w:hint="default" w:ascii="Times New Roman" w:hAnsi="Times New Roman" w:eastAsia="仿宋_GB2312" w:cs="Times New Roman"/>
          <w:sz w:val="32"/>
          <w:szCs w:val="32"/>
        </w:rPr>
        <w:t>是指不考虑过去的预算项目和收支水平，以零为基点编制的预算。零基预算的基本特征是不受以往预算安排和预算执行情况的影响，一切预算收支都建立在成本效益分析的基础上，根据需要和可能来编制预算。</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w:t>
      </w:r>
      <w:r>
        <w:rPr>
          <w:rFonts w:hint="default" w:ascii="Times New Roman" w:hAnsi="Times New Roman" w:eastAsia="黑体" w:cs="Times New Roman"/>
          <w:sz w:val="32"/>
          <w:szCs w:val="32"/>
        </w:rPr>
        <w:t>“三保”：</w:t>
      </w:r>
      <w:r>
        <w:rPr>
          <w:rFonts w:hint="default" w:ascii="Times New Roman" w:hAnsi="Times New Roman" w:eastAsia="仿宋_GB2312" w:cs="Times New Roman"/>
          <w:sz w:val="32"/>
          <w:szCs w:val="32"/>
        </w:rPr>
        <w:t>是指保基本民生、保工资、保运转。</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3</w:t>
      </w:r>
      <w:r>
        <w:rPr>
          <w:rFonts w:hint="eastAsia" w:eastAsia="黑体" w:cs="Times New Roman"/>
          <w:sz w:val="32"/>
          <w:szCs w:val="32"/>
          <w:lang w:val="en-US" w:eastAsia="zh-CN"/>
        </w:rPr>
        <w:t>.</w:t>
      </w:r>
      <w:r>
        <w:rPr>
          <w:rFonts w:hint="default" w:ascii="Times New Roman" w:hAnsi="Times New Roman" w:eastAsia="黑体" w:cs="Times New Roman"/>
          <w:sz w:val="32"/>
          <w:szCs w:val="32"/>
        </w:rPr>
        <w:t>“三公”经费：</w:t>
      </w:r>
      <w:r>
        <w:rPr>
          <w:rFonts w:hint="default" w:ascii="Times New Roman" w:hAnsi="Times New Roman" w:eastAsia="仿宋_GB2312" w:cs="Times New Roman"/>
          <w:sz w:val="32"/>
          <w:szCs w:val="32"/>
        </w:rPr>
        <w:t>是指公务接待费、因公出国（境）费用、公务用车购置及运行维护费。</w:t>
      </w:r>
    </w:p>
    <w:p>
      <w:pPr>
        <w:adjustRightInd w:val="0"/>
        <w:ind w:firstLine="635"/>
        <w:rPr>
          <w:rFonts w:hint="eastAsia" w:eastAsia="仿宋_GB2312" w:cs="Times New Roman"/>
          <w:sz w:val="32"/>
          <w:szCs w:val="32"/>
          <w:lang w:val="en-US" w:eastAsia="zh-CN"/>
        </w:rPr>
      </w:pPr>
      <w:r>
        <w:rPr>
          <w:rFonts w:hint="default" w:ascii="Times New Roman" w:hAnsi="Times New Roman" w:eastAsia="黑体" w:cs="Times New Roman"/>
          <w:sz w:val="32"/>
          <w:szCs w:val="32"/>
        </w:rPr>
        <w:t>4.“六保”任务：</w:t>
      </w:r>
      <w:r>
        <w:rPr>
          <w:rFonts w:hint="default" w:ascii="Times New Roman" w:hAnsi="Times New Roman" w:eastAsia="仿宋_GB2312" w:cs="Times New Roman"/>
          <w:sz w:val="32"/>
          <w:szCs w:val="32"/>
        </w:rPr>
        <w:t>保居民就业、保基本民生、保市场主体、保粮食资源安全、保产业链供应链稳定、保基本运转。</w:t>
      </w:r>
      <w:r>
        <w:rPr>
          <w:rFonts w:hint="eastAsia" w:ascii="Times New Roman" w:hAnsi="Times New Roman" w:eastAsia="仿宋_GB2312" w:cs="Times New Roman"/>
          <w:sz w:val="32"/>
          <w:szCs w:val="32"/>
        </w:rPr>
        <w:br w:type="textWrapping"/>
      </w:r>
      <w:r>
        <w:rPr>
          <w:rFonts w:hint="eastAsia" w:eastAsia="仿宋_GB2312" w:cs="Times New Roman"/>
          <w:sz w:val="32"/>
          <w:szCs w:val="32"/>
          <w:lang w:val="en-US" w:eastAsia="zh-CN"/>
        </w:rPr>
        <w:t xml:space="preserve">    </w:t>
      </w:r>
      <w:r>
        <w:rPr>
          <w:rFonts w:hint="eastAsia" w:ascii="Times New Roman" w:hAnsi="Times New Roman" w:eastAsia="黑体" w:cs="Times New Roman"/>
          <w:sz w:val="32"/>
          <w:szCs w:val="32"/>
        </w:rPr>
        <w:t>5.“放管服”改革：</w:t>
      </w:r>
      <w:r>
        <w:rPr>
          <w:rFonts w:hint="eastAsia" w:ascii="Times New Roman" w:hAnsi="Times New Roman" w:eastAsia="仿宋_GB2312" w:cs="Times New Roman"/>
          <w:sz w:val="32"/>
          <w:szCs w:val="32"/>
        </w:rPr>
        <w:t>“放”即简政放权，降低准入门槛；“管”即创新监管，促进公平竞争；“服”即高效服务，营造便利环境。</w:t>
      </w:r>
    </w:p>
    <w:p>
      <w:pPr>
        <w:adjustRightInd w:val="0"/>
        <w:ind w:firstLine="640"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6.“厕所革命”：</w:t>
      </w:r>
      <w:r>
        <w:rPr>
          <w:rFonts w:hint="eastAsia" w:ascii="Times New Roman" w:hAnsi="Times New Roman" w:eastAsia="仿宋_GB2312" w:cs="Times New Roman"/>
          <w:sz w:val="32"/>
          <w:szCs w:val="32"/>
        </w:rPr>
        <w:t>对农村地区厕所进行改造。</w:t>
      </w:r>
    </w:p>
    <w:p>
      <w:pPr>
        <w:adjustRightInd w:val="0"/>
        <w:ind w:firstLine="640"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7.人员类项目：</w:t>
      </w:r>
      <w:r>
        <w:rPr>
          <w:rFonts w:hint="eastAsia" w:ascii="Times New Roman" w:hAnsi="Times New Roman" w:eastAsia="仿宋_GB2312" w:cs="Times New Roman"/>
          <w:sz w:val="32"/>
          <w:szCs w:val="32"/>
        </w:rPr>
        <w:t>指部门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单位)有关人员的工资福利支出、对个人和家庭的补助等项目，包括在编在岗人员工资福利支出、离退休人员离退休待遇以及编外长期聘用人员经费(不含劳务派遣人员支出项目)等。</w:t>
      </w:r>
    </w:p>
    <w:p>
      <w:pPr>
        <w:adjustRightInd w:val="0"/>
        <w:ind w:firstLine="635"/>
        <w:rPr>
          <w:rFonts w:hint="eastAsia" w:eastAsia="仿宋_GB2312" w:cs="Times New Roman"/>
          <w:sz w:val="32"/>
          <w:szCs w:val="32"/>
          <w:lang w:val="en-US" w:eastAsia="zh-CN"/>
        </w:rPr>
      </w:pPr>
      <w:r>
        <w:rPr>
          <w:rFonts w:hint="default" w:ascii="Times New Roman" w:hAnsi="Times New Roman" w:eastAsia="黑体" w:cs="Times New Roman"/>
          <w:sz w:val="32"/>
          <w:szCs w:val="32"/>
        </w:rPr>
        <w:t>8</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运转类项目：</w:t>
      </w:r>
      <w:r>
        <w:rPr>
          <w:rFonts w:hint="default" w:ascii="Times New Roman" w:hAnsi="Times New Roman" w:eastAsia="仿宋_GB2312" w:cs="Times New Roman"/>
          <w:sz w:val="32"/>
          <w:szCs w:val="32"/>
        </w:rPr>
        <w:t>指部门(单位)为保障其机构自身正常运转、完成日常工作任务所发生的公用经费项目和专项用于大型公用设施运行维护等其他运转类项目。</w:t>
      </w:r>
      <w:r>
        <w:rPr>
          <w:rFonts w:hint="eastAsia" w:ascii="Times New Roman" w:hAnsi="Times New Roman" w:eastAsia="仿宋_GB2312" w:cs="Times New Roman"/>
          <w:sz w:val="32"/>
          <w:szCs w:val="32"/>
        </w:rPr>
        <w:br w:type="textWrapping"/>
      </w:r>
      <w:r>
        <w:rPr>
          <w:rFonts w:hint="eastAsia" w:eastAsia="仿宋_GB2312" w:cs="Times New Roman"/>
          <w:sz w:val="32"/>
          <w:szCs w:val="32"/>
          <w:lang w:val="en-US" w:eastAsia="zh-CN"/>
        </w:rPr>
        <w:t xml:space="preserve">    </w:t>
      </w:r>
      <w:r>
        <w:rPr>
          <w:rFonts w:hint="eastAsia" w:ascii="Times New Roman" w:hAnsi="Times New Roman" w:eastAsia="黑体" w:cs="Times New Roman"/>
          <w:sz w:val="32"/>
          <w:szCs w:val="32"/>
          <w:lang w:val="en-US" w:eastAsia="zh-CN"/>
        </w:rPr>
        <w:t>9.</w:t>
      </w:r>
      <w:r>
        <w:rPr>
          <w:rFonts w:hint="eastAsia" w:ascii="Times New Roman" w:hAnsi="Times New Roman" w:eastAsia="黑体" w:cs="Times New Roman"/>
          <w:sz w:val="32"/>
          <w:szCs w:val="32"/>
        </w:rPr>
        <w:t>特定目标类项目：</w:t>
      </w:r>
      <w:r>
        <w:rPr>
          <w:rFonts w:hint="eastAsia" w:ascii="Times New Roman" w:hAnsi="Times New Roman" w:eastAsia="仿宋_GB2312" w:cs="Times New Roman"/>
          <w:sz w:val="32"/>
          <w:szCs w:val="32"/>
        </w:rPr>
        <w:t>是指部门(单位)为完成其特定的工作任务和事业发展目标所发生的支出项目。</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rPr>
        <w:t>10.地方政府性债务：</w:t>
      </w:r>
      <w:r>
        <w:rPr>
          <w:rFonts w:hint="eastAsia" w:ascii="Times New Roman" w:hAnsi="Times New Roman" w:eastAsia="仿宋_GB2312" w:cs="Times New Roman"/>
          <w:sz w:val="32"/>
          <w:szCs w:val="32"/>
        </w:rPr>
        <w:t>包括政府债务和或有债务。政府债务：指各级政府为公益性事业发展举措，需地方政府承担偿还责任的债务。具体包括：经国务院批准纳入政府债务管理的存量债务；通过发行地方政府债券形成的债务；符合国家规定的在建项目后续融资形成，需地方政府承担偿还责任的债务。或有债务：指存量债务中政府负有担保责任和可能承担一定救助责任的债务，以及国务院批准锁定存量后新发生的政府依法担保债务。</w:t>
      </w:r>
    </w:p>
    <w:p>
      <w:pPr>
        <w:adjustRightInd w:val="0"/>
        <w:ind w:firstLine="635"/>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11.政府隐性债务：</w:t>
      </w:r>
      <w:r>
        <w:rPr>
          <w:rFonts w:hint="eastAsia" w:ascii="Times New Roman" w:hAnsi="Times New Roman" w:eastAsia="仿宋_GB2312" w:cs="Times New Roman"/>
          <w:sz w:val="32"/>
          <w:szCs w:val="32"/>
        </w:rPr>
        <w:t>是指地方政府在法定政府债务限额之外直接或承诺以财政资金偿还以及违法提供担保等方式举借的债务。</w:t>
      </w:r>
      <w:r>
        <w:rPr>
          <w:rFonts w:hint="eastAsia" w:ascii="Times New Roman" w:hAnsi="Times New Roman" w:eastAsia="仿宋_GB2312" w:cs="Times New Roman"/>
          <w:sz w:val="32"/>
          <w:szCs w:val="32"/>
        </w:rPr>
        <w:br w:type="textWrapping"/>
      </w:r>
      <w:r>
        <w:rPr>
          <w:rFonts w:hint="eastAsia" w:eastAsia="仿宋_GB2312" w:cs="Times New Roman"/>
          <w:sz w:val="32"/>
          <w:szCs w:val="32"/>
          <w:lang w:val="en-US" w:eastAsia="zh-CN"/>
        </w:rPr>
        <w:t xml:space="preserve">    </w:t>
      </w:r>
      <w:r>
        <w:rPr>
          <w:rFonts w:hint="eastAsia" w:ascii="Times New Roman" w:hAnsi="Times New Roman" w:eastAsia="黑体" w:cs="Times New Roman"/>
          <w:sz w:val="32"/>
          <w:szCs w:val="32"/>
        </w:rPr>
        <w:t>12.债务率：</w:t>
      </w:r>
      <w:r>
        <w:rPr>
          <w:rFonts w:hint="eastAsia" w:ascii="Times New Roman" w:hAnsi="Times New Roman" w:eastAsia="仿宋_GB2312" w:cs="Times New Roman"/>
          <w:sz w:val="32"/>
          <w:szCs w:val="32"/>
        </w:rPr>
        <w:t>反映法定债务总体偿还能力的指标。</w:t>
      </w:r>
      <w:r>
        <w:rPr>
          <w:rFonts w:hint="eastAsia" w:ascii="Times New Roman" w:hAnsi="Times New Roman" w:eastAsia="仿宋_GB2312" w:cs="Times New Roman"/>
          <w:sz w:val="32"/>
          <w:szCs w:val="32"/>
        </w:rPr>
        <w:br w:type="textWrapping"/>
      </w:r>
      <w:r>
        <w:rPr>
          <w:rFonts w:hint="eastAsia" w:eastAsia="仿宋_GB2312" w:cs="Times New Roman"/>
          <w:sz w:val="32"/>
          <w:szCs w:val="32"/>
          <w:lang w:val="en-US" w:eastAsia="zh-CN"/>
        </w:rPr>
        <w:t xml:space="preserve">    </w:t>
      </w:r>
      <w:r>
        <w:rPr>
          <w:rFonts w:hint="eastAsia" w:ascii="Times New Roman" w:hAnsi="Times New Roman" w:eastAsia="黑体" w:cs="Times New Roman"/>
          <w:sz w:val="32"/>
          <w:szCs w:val="32"/>
        </w:rPr>
        <w:t>13.利息支出率：</w:t>
      </w:r>
      <w:r>
        <w:rPr>
          <w:rFonts w:hint="eastAsia" w:ascii="Times New Roman" w:hAnsi="Times New Roman" w:eastAsia="仿宋_GB2312" w:cs="Times New Roman"/>
          <w:sz w:val="32"/>
          <w:szCs w:val="32"/>
        </w:rPr>
        <w:t>反映一般公共预算和政府性基金预算对一般债务和专项债务按时履约付息的保障能力的指标。</w:t>
      </w:r>
    </w:p>
    <w:p>
      <w:pPr>
        <w:adjustRightInd w:val="0"/>
        <w:ind w:firstLine="635"/>
        <w:rPr>
          <w:rFonts w:hint="eastAsia" w:ascii="Times New Roman" w:hAnsi="Times New Roman" w:eastAsia="仿宋_GB2312" w:cs="Times New Roman"/>
          <w:sz w:val="32"/>
          <w:szCs w:val="32"/>
        </w:rPr>
      </w:pPr>
      <w:r>
        <w:rPr>
          <w:rFonts w:hint="default" w:ascii="Times New Roman" w:hAnsi="Times New Roman" w:eastAsia="黑体" w:cs="Times New Roman"/>
          <w:sz w:val="32"/>
          <w:szCs w:val="32"/>
        </w:rPr>
        <w:t>14.政府债务风险等级评定制度：</w:t>
      </w:r>
      <w:r>
        <w:rPr>
          <w:rFonts w:hint="default" w:ascii="Times New Roman" w:hAnsi="Times New Roman" w:eastAsia="仿宋_GB2312" w:cs="Times New Roman"/>
          <w:sz w:val="32"/>
          <w:szCs w:val="32"/>
        </w:rPr>
        <w:t>根据地方政府法定债务的债务率水平由高到低设置红(债务率≥300%)、橙(200%债务率&lt;300%)、黄(120%债务率&lt;200%)、绿(债务率&lt;120%)四个风险等级档次。</w:t>
      </w:r>
      <w:r>
        <w:rPr>
          <w:rFonts w:hint="eastAsia" w:ascii="Times New Roman" w:hAnsi="Times New Roman" w:eastAsia="仿宋_GB2312" w:cs="Times New Roman"/>
          <w:sz w:val="32"/>
          <w:szCs w:val="32"/>
        </w:rPr>
        <w:br w:type="textWrapping"/>
      </w:r>
      <w:r>
        <w:rPr>
          <w:rFonts w:hint="eastAsia" w:eastAsia="仿宋_GB2312" w:cs="Times New Roman"/>
          <w:sz w:val="32"/>
          <w:szCs w:val="32"/>
          <w:lang w:val="en-US" w:eastAsia="zh-CN"/>
        </w:rPr>
        <w:t xml:space="preserve">    </w:t>
      </w:r>
      <w:r>
        <w:rPr>
          <w:rFonts w:hint="eastAsia" w:ascii="Times New Roman" w:hAnsi="Times New Roman" w:eastAsia="黑体" w:cs="Times New Roman"/>
          <w:sz w:val="32"/>
          <w:szCs w:val="32"/>
        </w:rPr>
        <w:t>15.政府隐性债务风险等级评定制度：</w:t>
      </w:r>
      <w:r>
        <w:rPr>
          <w:rFonts w:hint="eastAsia" w:ascii="Times New Roman" w:hAnsi="Times New Roman" w:eastAsia="仿宋_GB2312" w:cs="Times New Roman"/>
          <w:sz w:val="32"/>
          <w:szCs w:val="32"/>
        </w:rPr>
        <w:t>原则上按隐性债务率由高到低设置红(债务率≥300%)、橙(200%≤债务率&lt;300%)、黄(120%≤债务率&lt;200%)、绿(债务率&lt;120%)四个风险等级。</w:t>
      </w:r>
    </w:p>
    <w:p>
      <w:pPr>
        <w:adjustRightInd w:val="0"/>
        <w:ind w:firstLine="635"/>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rPr>
        <w:t>16.三单列三专项：</w:t>
      </w:r>
      <w:r>
        <w:rPr>
          <w:rFonts w:hint="eastAsia" w:ascii="Times New Roman" w:hAnsi="Times New Roman" w:eastAsia="仿宋_GB2312" w:cs="Times New Roman"/>
          <w:sz w:val="32"/>
          <w:szCs w:val="32"/>
        </w:rPr>
        <w:t>是指预算编制单列，</w:t>
      </w:r>
      <w:r>
        <w:rPr>
          <w:rFonts w:hint="eastAsia" w:eastAsia="仿宋_GB2312" w:cs="Times New Roman"/>
          <w:sz w:val="32"/>
          <w:szCs w:val="32"/>
          <w:lang w:val="en-US" w:eastAsia="zh-CN"/>
        </w:rPr>
        <w:t>账户</w:t>
      </w:r>
      <w:bookmarkStart w:id="0" w:name="_GoBack"/>
      <w:bookmarkEnd w:id="0"/>
      <w:r>
        <w:rPr>
          <w:rFonts w:hint="eastAsia" w:ascii="Times New Roman" w:hAnsi="Times New Roman" w:eastAsia="仿宋_GB2312" w:cs="Times New Roman"/>
          <w:sz w:val="32"/>
          <w:szCs w:val="32"/>
        </w:rPr>
        <w:t>设置单列，资金拨付单列，实行专项监控，实施专项监督，绩效专项评价。</w:t>
      </w:r>
    </w:p>
    <w:sectPr>
      <w:footerReference r:id="rId3" w:type="default"/>
      <w:pgSz w:w="11906" w:h="16838"/>
      <w:pgMar w:top="2154" w:right="1474" w:bottom="209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-220980</wp:posOffset>
              </wp:positionV>
              <wp:extent cx="720090" cy="3524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0090" cy="352425"/>
                      </a:xfrm>
                      <a:prstGeom prst="rect">
                        <a:avLst/>
                      </a:prstGeom>
                      <a:noFill/>
                      <a:ln>
                        <a:noFill/>
                      </a:ln>
                    </wps:spPr>
                    <wps:txbx>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17.4pt;height:27.75pt;width:56.7pt;mso-position-horizontal:outside;mso-position-horizontal-relative:margin;z-index:251659264;mso-width-relative:page;mso-height-relative:page;" filled="f" stroked="f" coordsize="21600,21600" o:gfxdata="UEsDBAoAAAAAAIdO4kAAAAAAAAAAAAAAAAAEAAAAZHJzL1BLAwQUAAAACACHTuJAcqMVG9YAAAAH&#10;AQAADwAAAGRycy9kb3ducmV2LnhtbE2PzU7DMBCE70i8g7VI3Fo7bVUgZFMhBCckRBoOHJ14m1iN&#10;1yF2f3h73BMcRzOa+abYnN0gjjQF6xkhmysQxK03ljuEz/p1dg8iRM1GD54J4YcCbMrrq0Lnxp+4&#10;ouM2diKVcMg1Qh/jmEsZ2p6cDnM/Eidv5yenY5JTJ82kT6ncDXKh1Fo6bTkt9Hqk557a/fbgEJ6+&#10;uHqx3+/NR7WrbF0/KH5b7xFvbzL1CCLSOf6F4YKf0KFMTI0/sAliQEhHIsJsuUoHLna2XIFoEBbq&#10;DmRZyP/85S9QSwMEFAAAAAgAh07iQAzpSju5AQAAcQMAAA4AAABkcnMvZTJvRG9jLnhtbK1TzY7T&#10;MBC+I/EOlu/UbWH5iZquhKpFSAiQFh7AdezGkv804zbpC8AbcOLCnefqc+w4SbuwXPbAxZnMTD5/&#10;3zeT1XXvHTtoQBtDzRezOWc6qNjYsKv51y83z15zhlmGRroYdM2PGvn1+umTVZcqvYxtdI0GRiAB&#10;qy7VvM05VUKgarWXOItJByqaCF5meoWdaEB2hO6dWM7nL0UXoUkQlUak7GYs8gkRHgMYjbFKb6La&#10;ex3yiArayUySsLUJ+Xpga4xW+ZMxqDNzNSeleTjpEoq35RTrlax2IFNr1URBPobCA01e2kCXXqA2&#10;Mku2B/sPlLcKIkaTZyp6MQoZHCEVi/kDb25bmfSghazGdDEd/x+s+nj4DMw2tAmcBelp4Kcf308/&#10;f59+fWOLYk+XsKKu20R9uX8b+9I65ZGSRXVvwJcn6WFUJ3OPF3N1n5mi5Csa/huqKCo9v1q+WF4V&#10;FHH/cQLM73T0rAQ1B5rdYKk8fMA8tp5byl0h3ljnKC8rF/5KEGbJiMJ8ZFii3G/7ifY2NkdS494H&#10;crJsxTmAc7A9B/sEdtcOa1MoFCCaxMB72poy6j/fh677P2V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KjFRvWAAAABwEAAA8AAAAAAAAAAQAgAAAAIgAAAGRycy9kb3ducmV2LnhtbFBLAQIUABQA&#10;AAAIAIdO4kAM6Uo7uQEAAHEDAAAOAAAAAAAAAAEAIAAAACUBAABkcnMvZTJvRG9jLnhtbFBLBQYA&#10;AAAABgAGAFkBAABQBQAAAAA=&#10;">
              <v:fill on="f" focussize="0,0"/>
              <v:stroke on="f"/>
              <v:imagedata o:title=""/>
              <o:lock v:ext="edit" aspectratio="f"/>
              <v:textbox inset="0mm,0mm,0mm,0mm">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jdjNjc4OGI0ZjMzNDFlZTZhYjI3ZDA2ZjZlODUifQ=="/>
  </w:docVars>
  <w:rsids>
    <w:rsidRoot w:val="7D9B6F0B"/>
    <w:rsid w:val="0C4548C9"/>
    <w:rsid w:val="132D60B6"/>
    <w:rsid w:val="195E2A00"/>
    <w:rsid w:val="1EC45B21"/>
    <w:rsid w:val="4D050AB9"/>
    <w:rsid w:val="55F6431A"/>
    <w:rsid w:val="59FE217B"/>
    <w:rsid w:val="5D227FDD"/>
    <w:rsid w:val="72C70B92"/>
    <w:rsid w:val="7D9B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pPr>
    <w:rPr>
      <w:rFonts w:ascii="Calibri" w:hAnsi="Calibri" w:cs="宋体"/>
      <w:color w:val="00000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title-d"/>
    <w:basedOn w:val="1"/>
    <w:qFormat/>
    <w:uiPriority w:val="0"/>
    <w:pPr>
      <w:widowControl/>
      <w:spacing w:before="100" w:beforeAutospacing="1" w:after="100" w:afterAutospacing="1"/>
      <w:jc w:val="left"/>
    </w:pPr>
    <w:rPr>
      <w:rFonts w:ascii="ˎ̥" w:hAnsi="ˎ̥" w:cs="宋体"/>
      <w:b/>
      <w:bCs/>
      <w:color w:val="99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999</Words>
  <Characters>1080</Characters>
  <Lines>0</Lines>
  <Paragraphs>0</Paragraphs>
  <TotalTime>8</TotalTime>
  <ScaleCrop>false</ScaleCrop>
  <LinksUpToDate>false</LinksUpToDate>
  <CharactersWithSpaces>1107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2021-06-07T07:35:00Z</dcterms:created>
  <dc:creator>霖霖</dc:creator>
  <cp:lastModifiedBy>x</cp:lastModifiedBy>
  <dcterms:modified xsi:type="dcterms:W3CDTF">2025-05-28T08:27:37Z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BFE7624E330742A5B6161528687ED986</vt:lpwstr>
  </property>
</Properties>
</file>