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征收农用地区片综合地价标准表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</w:pPr>
    </w:p>
    <w:tbl>
      <w:tblPr>
        <w:tblStyle w:val="7"/>
        <w:tblW w:w="144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1333"/>
        <w:gridCol w:w="1360"/>
        <w:gridCol w:w="1785"/>
        <w:gridCol w:w="6390"/>
        <w:gridCol w:w="20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县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（市、区）</w:t>
            </w:r>
          </w:p>
        </w:tc>
        <w:tc>
          <w:tcPr>
            <w:tcW w:w="13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区片编号</w:t>
            </w:r>
          </w:p>
        </w:tc>
        <w:tc>
          <w:tcPr>
            <w:tcW w:w="1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片区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综合地价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（元/亩）</w:t>
            </w:r>
          </w:p>
        </w:tc>
        <w:tc>
          <w:tcPr>
            <w:tcW w:w="8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区片范围描述</w:t>
            </w: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土地补偿及安置补助费比例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乡镇（街道）</w:t>
            </w:r>
          </w:p>
        </w:tc>
        <w:tc>
          <w:tcPr>
            <w:tcW w:w="6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村（社区）</w:t>
            </w:r>
          </w:p>
        </w:tc>
        <w:tc>
          <w:tcPr>
            <w:tcW w:w="20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  <w:jc w:val="center"/>
        </w:trPr>
        <w:tc>
          <w:tcPr>
            <w:tcW w:w="1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船山区</w:t>
            </w:r>
          </w:p>
        </w:tc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Ⅰ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55800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西宁街道、保升镇</w:t>
            </w:r>
          </w:p>
        </w:tc>
        <w:tc>
          <w:tcPr>
            <w:tcW w:w="6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285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金桂社区、文星桥社区、青岗社区、五里垭社区、樟树堰村、福光庙村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包含联升片区）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、徐家堰村；升红社区、金桃社区、金家沟社区、凉水井社区、金荷社区、新开寺社区、保升村、插板堰村、太和桥村、和兴村、观山村；共涉及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个乡镇（街道），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村（社区）。</w:t>
            </w:r>
          </w:p>
        </w:tc>
        <w:tc>
          <w:tcPr>
            <w:tcW w:w="20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土地补偿费30%，安置补助费70%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  <w:jc w:val="center"/>
        </w:trPr>
        <w:tc>
          <w:tcPr>
            <w:tcW w:w="1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船山区</w:t>
            </w:r>
          </w:p>
        </w:tc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Ⅱ</w:t>
            </w:r>
          </w:p>
        </w:tc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53000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西宁街道</w:t>
            </w:r>
          </w:p>
        </w:tc>
        <w:tc>
          <w:tcPr>
            <w:tcW w:w="6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兰井村；共涉及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个乡镇（街道），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个村（社区）。</w:t>
            </w:r>
          </w:p>
        </w:tc>
        <w:tc>
          <w:tcPr>
            <w:tcW w:w="20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  <w:t>土地补偿费30%，安置补助费70%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50" w:leftChars="200" w:right="0" w:rightChars="0" w:hanging="63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备注：（一）片区综合地价标准发布实施后，2023年11月1日起申请农用地转用和土地征收并实施征地的，按照区片价新标准测算，并在新标准公布施行之日起3个月内足额支付到位，确保被征地农民合法权益不受损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50" w:leftChars="5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sectPr>
          <w:pgSz w:w="16838" w:h="11906" w:orient="landscape"/>
          <w:pgMar w:top="2098" w:right="1474" w:bottom="1984" w:left="1587" w:header="0" w:footer="1531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（二）征收农用地区片综合地价由土地补偿费和安置补助费组成。征收集体农用地以外的其他集体土地补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偿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标准按照征收农用地区片综合地价的0.5倍计算。大中型水利、水电工程建设征收土地的补偿标准，按照法律法规有关规定执行。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615" w:lineRule="atLeast"/>
        <w:ind w:left="0" w:right="0" w:firstLine="0"/>
        <w:jc w:val="left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 w:line="615" w:lineRule="atLeast"/>
        <w:ind w:left="0" w:firstLine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征收土地青苗补偿费标准表</w:t>
      </w:r>
    </w:p>
    <w:tbl>
      <w:tblPr>
        <w:tblStyle w:val="7"/>
        <w:tblW w:w="94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3480"/>
        <w:gridCol w:w="46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</w:trPr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补偿项目</w:t>
            </w:r>
          </w:p>
        </w:tc>
        <w:tc>
          <w:tcPr>
            <w:tcW w:w="4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补偿标准（元/亩/年）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13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大春、小春</w:t>
            </w:r>
          </w:p>
        </w:tc>
        <w:tc>
          <w:tcPr>
            <w:tcW w:w="4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line="30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2410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20" w:leftChars="0" w:right="0" w:rightChars="0" w:firstLine="720" w:firstLineChars="300"/>
        <w:jc w:val="both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615" w:lineRule="atLeast"/>
        <w:ind w:left="0" w:right="0" w:firstLine="0"/>
        <w:jc w:val="left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附件3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 w:line="615" w:lineRule="atLeast"/>
        <w:ind w:left="0" w:firstLine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房屋重置价标准表</w:t>
      </w:r>
    </w:p>
    <w:tbl>
      <w:tblPr>
        <w:tblStyle w:val="7"/>
        <w:tblW w:w="92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3450"/>
        <w:gridCol w:w="45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8"/>
                <w:szCs w:val="28"/>
              </w:rPr>
              <w:t>补偿项目</w:t>
            </w:r>
          </w:p>
        </w:tc>
        <w:tc>
          <w:tcPr>
            <w:tcW w:w="4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auto"/>
                <w:spacing w:val="0"/>
                <w:sz w:val="28"/>
                <w:szCs w:val="28"/>
              </w:rPr>
              <w:t>补偿标准（元/平方米）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钢结构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钢混结构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砖混（现浇）结构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砖混（预制）结构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980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砖木结构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、木结构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其他结构</w:t>
            </w:r>
          </w:p>
        </w:tc>
        <w:tc>
          <w:tcPr>
            <w:tcW w:w="4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20" w:leftChars="0" w:right="0" w:rightChars="0" w:firstLine="720" w:firstLineChars="300"/>
        <w:jc w:val="both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615" w:lineRule="atLeast"/>
        <w:ind w:left="0" w:right="0"/>
        <w:jc w:val="both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 w:line="615" w:lineRule="atLeast"/>
        <w:ind w:left="0" w:firstLine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地上构筑物及其他附属设施补偿标准表</w:t>
      </w:r>
    </w:p>
    <w:tbl>
      <w:tblPr>
        <w:tblStyle w:val="7"/>
        <w:tblW w:w="10380" w:type="dxa"/>
        <w:tblInd w:w="-62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196"/>
        <w:gridCol w:w="2929"/>
        <w:gridCol w:w="2475"/>
        <w:gridCol w:w="28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补偿项目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补偿标准（元）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围墙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乱石垒、土围墙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砖、石围墙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380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院（晒）坝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三合土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砖、石、水泥砂浆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土坝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石板坝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堡坎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石堡坎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砼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砖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乱石堡坎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水泥砂浆砌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水缸</w:t>
            </w:r>
          </w:p>
        </w:tc>
        <w:tc>
          <w:tcPr>
            <w:tcW w:w="247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地窖</w:t>
            </w:r>
          </w:p>
        </w:tc>
        <w:tc>
          <w:tcPr>
            <w:tcW w:w="247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粪池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土粪池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水泥、三合土粪池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条石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粪池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水窖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土水窖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三合土水窖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条石及砼水窖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水池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砣石、条石池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石砌、砖砌、混凝土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造型水池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水井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土水井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条石水井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压水井（含机械取水）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机井（含抗旱井）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灶台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单眼灶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双眼灶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红砖砌灶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瓷砖灶、水泥灶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节能灶（含设施）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眼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坟墓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普通土堆坟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座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砖、石、水泥修砌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座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砖、石、水泥修砌加有花岗石、其他材料刻成的墓碑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座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水管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钢管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PE管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PVC管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胶管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沼气池</w:t>
            </w: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产气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未产气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14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粮仓</w:t>
            </w:r>
          </w:p>
        </w:tc>
        <w:tc>
          <w:tcPr>
            <w:tcW w:w="247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15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砖、石、混凝土柜</w:t>
            </w:r>
          </w:p>
        </w:tc>
        <w:tc>
          <w:tcPr>
            <w:tcW w:w="2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排灌沟渠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衬砌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未衬砌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17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围墙大门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铁大门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木大门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（花棚、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蔬菜大棚、蘑菇棚等）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竹架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钢架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塑钢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水泥柱架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其他棚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19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水塔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彩钢房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平方米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21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鱼塘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浆砌鱼池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砖石砌筑鱼池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土鱼池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立方米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附件5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firstLine="0"/>
        <w:jc w:val="center"/>
        <w:textAlignment w:val="auto"/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  <w:t>零星林木补偿标准表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</w:pPr>
    </w:p>
    <w:tbl>
      <w:tblPr>
        <w:tblStyle w:val="7"/>
        <w:tblW w:w="10530" w:type="dxa"/>
        <w:tblInd w:w="-59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575"/>
        <w:gridCol w:w="1125"/>
        <w:gridCol w:w="1155"/>
        <w:gridCol w:w="3075"/>
        <w:gridCol w:w="1065"/>
        <w:gridCol w:w="16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补偿项目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单位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补偿标准（元）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林木名称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龄组（生长发育阶段）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说明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锦橙、血橙、脐橙、夏橙、椪柑、柑橘、柠檬等柑橘类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挂果3—9年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挂果9年及以上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香柚等柚类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挂果3—9年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挂果9年及以上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桃子、樱桃、李子、梨子、苹果、杏子、柿子、青枣、梅子、枇杷等类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挂果3—11年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挂果11年及以上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离地面高度1米以下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离地面高度1米及以上未产果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板栗、核桃、花椒等干果类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挂果3—9年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挂果9年及以上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定植未挂果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定植嫁接幼树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定植3年内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葡萄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地径在5厘米及以上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中产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地径在2—5厘米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（含2厘米）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地径在1—2厘米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（含1厘米）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地径在1厘米以下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香（芭）蕉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苗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桑树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离地面高度1米以下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叶桑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产叶（果）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中产叶（果）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盛产叶（果）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老化树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3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竹类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25根以上（含25根）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8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10—25根（含10根）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8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10根以下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笼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松、杉、柏等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针叶类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干胸径2厘米以下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干胸径2—6厘米（含2厘米）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干胸径6—15厘米（含6厘米）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干胸径15厘米以上（含15厘米）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杂树等阔叶类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离地面高度0.5—1米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离地面高度1米及以上，主干胸径5厘米以下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离地面高度2米及以上，主干胸径5—16厘米（含5厘米）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离地面高度3米及以上，主干胸径16厘米及以上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银杏、桂花、黄桷树、其他园林乔木树种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胸径5厘米以下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胸径5—10厘米（含5厘米）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胸径10厘米以上（含10厘米）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20" w:leftChars="0" w:right="0" w:rightChars="0" w:firstLine="720" w:firstLineChars="300"/>
        <w:jc w:val="both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附件6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firstLine="0"/>
        <w:jc w:val="center"/>
        <w:textAlignment w:val="auto"/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  <w:t>成片林木补偿标准表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3"/>
          <w:szCs w:val="43"/>
          <w:shd w:val="clear" w:color="auto" w:fill="FFFFFF"/>
        </w:rPr>
      </w:pPr>
    </w:p>
    <w:tbl>
      <w:tblPr>
        <w:tblStyle w:val="7"/>
        <w:tblW w:w="10560" w:type="dxa"/>
        <w:tblInd w:w="-6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404"/>
        <w:gridCol w:w="966"/>
        <w:gridCol w:w="1425"/>
        <w:gridCol w:w="3225"/>
        <w:gridCol w:w="1065"/>
        <w:gridCol w:w="16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补偿项目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补偿标准（元）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林木名称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龄组（生长发育阶段）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  <w:t>说明</w:t>
            </w: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锦橙、血橙、脐橙、夏橙、椪柑、柑橘、柠檬等柑橘类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1800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2400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香柚等柚类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1800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2400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桃子、樱桃、李子、梨子、苹果、杏子、柿子、青枣、梅子、枇杷等类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5600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4600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1750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米及以上未产果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板栗、核桃、花椒等干果类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产果期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初果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5900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8900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定植未挂果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2800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定植嫁接幼树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定植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年内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葡萄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中产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7500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地径在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香（芭）蕉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挂果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桑树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产叶（果）桑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初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产叶（果）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中产叶（果）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盛产叶（果）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老化树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4200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笋用竹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379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竹类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根以上（含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根）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根（含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根）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根以下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松、杉、柏等针叶类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1900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-15"/>
                <w:sz w:val="21"/>
                <w:szCs w:val="21"/>
              </w:rPr>
              <w:t>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-15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-15"/>
                <w:sz w:val="21"/>
                <w:szCs w:val="21"/>
              </w:rPr>
              <w:t>厘米以上（含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-15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-15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杂树等阔叶类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幼树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0.5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1900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米及以上，主干胸径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2700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米及以上，主干胸径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16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厘米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5200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离地面高度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米及以上，主干胸径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7000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12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银杏、桂花、黄桷树、其他园林乔木树种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小树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中树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7800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Segoe UI" w:cs="Segoe UI"/>
                <w:b w:val="0"/>
                <w:b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大树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胸径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厘米以上（含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厘米）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亩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sz w:val="21"/>
                <w:szCs w:val="21"/>
              </w:rPr>
              <w:t>10500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920" w:leftChars="0" w:right="0" w:rightChars="0" w:firstLine="720" w:firstLineChars="300"/>
        <w:jc w:val="both"/>
        <w:textAlignment w:val="auto"/>
        <w:outlineLvl w:val="9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附件7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  <w:t>房屋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结构补差、货币安置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  <w:t>补偿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、优惠和超选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购房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标准表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</w:pPr>
    </w:p>
    <w:tbl>
      <w:tblPr>
        <w:tblStyle w:val="7"/>
        <w:tblW w:w="13965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115"/>
        <w:gridCol w:w="2010"/>
        <w:gridCol w:w="60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房屋结构</w:t>
            </w:r>
          </w:p>
        </w:tc>
        <w:tc>
          <w:tcPr>
            <w:tcW w:w="21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产权调换相等部分由被搬迁人向搬迁人补差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货币收购</w:t>
            </w:r>
          </w:p>
        </w:tc>
        <w:tc>
          <w:tcPr>
            <w:tcW w:w="6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优惠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和超选购房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砖混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10元/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  <w:t>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3000</w:t>
            </w:r>
          </w:p>
        </w:tc>
        <w:tc>
          <w:tcPr>
            <w:tcW w:w="6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据核准确认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拆迁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房屋所有人户籍人口，属征地拆迁所在村、社区户籍人口的，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按照每人给予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第1个4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㎡优惠购房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由被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迁人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优惠价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元/㎡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支付购房款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在每户已享受优惠购房后超选面积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第2个4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由被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迁人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2400元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/㎡支付购房款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每人超选8㎡以上的平方米，北部二期安置小区由被拆迁人按照4300元/㎡支付，南部一期安置小区由被拆迁人按照4200元/㎡支付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砖木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30元/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  <w:t>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2980</w:t>
            </w:r>
          </w:p>
        </w:tc>
        <w:tc>
          <w:tcPr>
            <w:tcW w:w="6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逗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40元/㎡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2970</w:t>
            </w:r>
          </w:p>
        </w:tc>
        <w:tc>
          <w:tcPr>
            <w:tcW w:w="6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1361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附件8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安置住宅房屋楼层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补差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b w:val="0"/>
          <w:bCs w:val="0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32385</wp:posOffset>
            </wp:positionV>
            <wp:extent cx="9563100" cy="4073525"/>
            <wp:effectExtent l="0" t="0" r="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6782" r="-4514" b="3406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sectPr>
          <w:pgSz w:w="16838" w:h="11906" w:orient="landscape"/>
          <w:pgMar w:top="1588" w:right="2098" w:bottom="1474" w:left="1985" w:header="851" w:footer="1304" w:gutter="0"/>
          <w:pgNumType w:fmt="decimal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D0BA8"/>
    <w:rsid w:val="3DB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9"/>
      <w:szCs w:val="29"/>
      <w:lang w:val="en-US" w:eastAsia="zh-CN" w:bidi="ar-SA"/>
    </w:rPr>
  </w:style>
  <w:style w:type="paragraph" w:styleId="4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uiPriority w:val="0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9">
    <w:name w:val="Body text|1"/>
    <w:qFormat/>
    <w:uiPriority w:val="0"/>
    <w:pPr>
      <w:widowControl w:val="0"/>
      <w:shd w:val="clear" w:color="auto" w:fill="auto"/>
      <w:spacing w:after="50" w:line="322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常用样式（方正仿宋简）"/>
    <w:next w:val="1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2024-11-15T07:02:00Z</dcterms:created>
  <dc:creator>x</dc:creator>
  <cp:lastModifiedBy>x</cp:lastModifiedBy>
  <dcterms:modified xsi:type="dcterms:W3CDTF">2024-11-15T07:03:14Z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5FB3B87DDBBC4ABAAF4A1E449E13882E</vt:lpwstr>
  </property>
</Properties>
</file>