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96A3A6">
      <w:pPr>
        <w:spacing w:line="600" w:lineRule="exact"/>
        <w:jc w:val="center"/>
        <w:outlineLvl w:val="9"/>
        <w:rPr>
          <w:rFonts w:hint="default" w:ascii="Times New Roman" w:hAnsi="Times New Roman" w:eastAsia="方正小标宋简体" w:cs="Times New Roman"/>
          <w:color w:val="auto"/>
          <w:sz w:val="72"/>
          <w:szCs w:val="72"/>
          <w:highlight w:val="none"/>
        </w:rPr>
      </w:pPr>
      <w:bookmarkStart w:id="0" w:name="_Toc15396475"/>
      <w:bookmarkStart w:id="1" w:name="_Toc15377425"/>
      <w:bookmarkStart w:id="2" w:name="_Toc15378441"/>
      <w:bookmarkStart w:id="3" w:name="_Toc15396597"/>
      <w:bookmarkStart w:id="4" w:name="_Toc15377193"/>
      <w:bookmarkStart w:id="5" w:name="_Toc15306267"/>
    </w:p>
    <w:p w14:paraId="52C06F1F">
      <w:pPr>
        <w:pStyle w:val="11"/>
        <w:rPr>
          <w:rFonts w:hint="default" w:ascii="Times New Roman" w:hAnsi="Times New Roman" w:eastAsia="方正小标宋简体" w:cs="Times New Roman"/>
          <w:color w:val="auto"/>
          <w:sz w:val="72"/>
          <w:szCs w:val="72"/>
          <w:highlight w:val="none"/>
        </w:rPr>
      </w:pPr>
    </w:p>
    <w:p w14:paraId="5DA9E429">
      <w:pPr>
        <w:pStyle w:val="11"/>
        <w:rPr>
          <w:rFonts w:hint="default" w:ascii="Times New Roman" w:hAnsi="Times New Roman" w:eastAsia="方正小标宋简体" w:cs="Times New Roman"/>
          <w:color w:val="auto"/>
          <w:sz w:val="72"/>
          <w:szCs w:val="72"/>
          <w:highlight w:val="none"/>
        </w:rPr>
      </w:pPr>
    </w:p>
    <w:p w14:paraId="2E462421">
      <w:pPr>
        <w:spacing w:line="600" w:lineRule="exact"/>
        <w:jc w:val="center"/>
        <w:outlineLvl w:val="9"/>
        <w:rPr>
          <w:rFonts w:hint="default" w:ascii="Times New Roman" w:hAnsi="Times New Roman" w:eastAsia="方正小标宋简体" w:cs="Times New Roman"/>
          <w:color w:val="auto"/>
          <w:sz w:val="72"/>
          <w:szCs w:val="72"/>
          <w:highlight w:val="none"/>
        </w:rPr>
      </w:pPr>
    </w:p>
    <w:p w14:paraId="7E9B4E35">
      <w:pPr>
        <w:spacing w:line="600" w:lineRule="exact"/>
        <w:jc w:val="center"/>
        <w:outlineLvl w:val="9"/>
        <w:rPr>
          <w:rFonts w:hint="default" w:ascii="Times New Roman" w:hAnsi="Times New Roman" w:eastAsia="方正小标宋简体" w:cs="Times New Roman"/>
          <w:color w:val="auto"/>
          <w:sz w:val="72"/>
          <w:szCs w:val="72"/>
          <w:highlight w:val="none"/>
        </w:rPr>
      </w:pPr>
    </w:p>
    <w:p w14:paraId="1114B7B7">
      <w:pPr>
        <w:adjustRightInd w:val="0"/>
        <w:snapToGrid w:val="0"/>
        <w:spacing w:line="360" w:lineRule="auto"/>
        <w:jc w:val="center"/>
        <w:outlineLvl w:val="0"/>
        <w:rPr>
          <w:rFonts w:hint="default" w:ascii="Times New Roman" w:hAnsi="Times New Roman" w:eastAsia="方正小标宋简体" w:cs="Times New Roman"/>
          <w:color w:val="auto"/>
          <w:sz w:val="72"/>
          <w:szCs w:val="72"/>
          <w:highlight w:val="none"/>
        </w:rPr>
      </w:pPr>
      <w:bookmarkStart w:id="6" w:name="_Toc22035"/>
      <w:r>
        <w:rPr>
          <w:rFonts w:hint="default" w:ascii="Times New Roman" w:hAnsi="Times New Roman" w:eastAsia="方正小标宋简体" w:cs="Times New Roman"/>
          <w:color w:val="auto"/>
          <w:sz w:val="72"/>
          <w:szCs w:val="72"/>
          <w:highlight w:val="none"/>
        </w:rPr>
        <w:t>20</w:t>
      </w:r>
      <w:r>
        <w:rPr>
          <w:rFonts w:hint="default" w:ascii="Times New Roman" w:hAnsi="Times New Roman" w:eastAsia="方正小标宋简体" w:cs="Times New Roman"/>
          <w:color w:val="auto"/>
          <w:sz w:val="72"/>
          <w:szCs w:val="72"/>
          <w:highlight w:val="none"/>
          <w:lang w:val="en-US" w:eastAsia="zh-CN"/>
        </w:rPr>
        <w:t>23</w:t>
      </w:r>
      <w:r>
        <w:rPr>
          <w:rFonts w:hint="default" w:ascii="Times New Roman" w:hAnsi="Times New Roman" w:eastAsia="方正小标宋简体" w:cs="Times New Roman"/>
          <w:color w:val="auto"/>
          <w:sz w:val="72"/>
          <w:szCs w:val="72"/>
          <w:highlight w:val="none"/>
        </w:rPr>
        <w:t>年度</w:t>
      </w:r>
      <w:bookmarkEnd w:id="0"/>
      <w:bookmarkEnd w:id="1"/>
      <w:bookmarkEnd w:id="2"/>
      <w:bookmarkEnd w:id="3"/>
      <w:bookmarkEnd w:id="4"/>
      <w:bookmarkEnd w:id="6"/>
    </w:p>
    <w:bookmarkEnd w:id="5"/>
    <w:p w14:paraId="458DF124">
      <w:pPr>
        <w:adjustRightInd w:val="0"/>
        <w:snapToGrid w:val="0"/>
        <w:spacing w:line="360" w:lineRule="auto"/>
        <w:jc w:val="center"/>
        <w:outlineLvl w:val="0"/>
        <w:rPr>
          <w:rFonts w:hint="default" w:ascii="Times New Roman" w:hAnsi="Times New Roman" w:eastAsia="黑体" w:cs="Times New Roman"/>
          <w:color w:val="auto"/>
          <w:sz w:val="48"/>
          <w:szCs w:val="48"/>
          <w:highlight w:val="none"/>
          <w:lang w:val="en-US" w:eastAsia="zh-CN"/>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bookmarkStart w:id="7" w:name="_Toc15396476"/>
      <w:bookmarkStart w:id="8" w:name="_Toc29745"/>
      <w:bookmarkStart w:id="9" w:name="_Toc15378442"/>
      <w:bookmarkStart w:id="10" w:name="_Toc15377426"/>
      <w:bookmarkStart w:id="11" w:name="_Toc15396598"/>
      <w:bookmarkStart w:id="12" w:name="_Toc15377194"/>
      <w:bookmarkStart w:id="13" w:name="_Toc15306268"/>
      <w:r>
        <w:rPr>
          <w:rFonts w:hint="default" w:ascii="Times New Roman" w:hAnsi="Times New Roman" w:eastAsia="方正小标宋简体" w:cs="Times New Roman"/>
          <w:color w:val="auto"/>
          <w:sz w:val="72"/>
          <w:szCs w:val="72"/>
          <w:highlight w:val="none"/>
          <w:lang w:eastAsia="zh-CN"/>
        </w:rPr>
        <w:t>遂宁高新区退役军人服务中心</w:t>
      </w:r>
      <w:r>
        <w:rPr>
          <w:rFonts w:hint="default" w:ascii="Times New Roman" w:hAnsi="Times New Roman" w:eastAsia="方正小标宋简体" w:cs="Times New Roman"/>
          <w:color w:val="auto"/>
          <w:sz w:val="72"/>
          <w:szCs w:val="72"/>
          <w:highlight w:val="none"/>
        </w:rPr>
        <w:t>决算</w:t>
      </w:r>
      <w:bookmarkEnd w:id="7"/>
      <w:bookmarkEnd w:id="8"/>
      <w:bookmarkEnd w:id="9"/>
      <w:bookmarkEnd w:id="10"/>
      <w:bookmarkEnd w:id="11"/>
      <w:bookmarkEnd w:id="12"/>
      <w:bookmarkEnd w:id="13"/>
      <w:r>
        <w:rPr>
          <w:rFonts w:hint="default" w:ascii="Times New Roman" w:hAnsi="Times New Roman" w:eastAsia="方正小标宋简体" w:cs="Times New Roman"/>
          <w:color w:val="auto"/>
          <w:sz w:val="72"/>
          <w:szCs w:val="72"/>
          <w:highlight w:val="none"/>
          <w:lang w:val="en-US" w:eastAsia="zh-CN"/>
        </w:rPr>
        <w:t>公开</w:t>
      </w:r>
    </w:p>
    <w:sdt>
      <w:sdtPr>
        <w:rPr>
          <w:rFonts w:hint="default" w:ascii="Times New Roman" w:hAnsi="Times New Roman" w:eastAsia="黑体" w:cs="Times New Roman"/>
          <w:color w:val="auto"/>
          <w:kern w:val="2"/>
          <w:sz w:val="32"/>
          <w:szCs w:val="24"/>
          <w:lang w:val="en-US" w:eastAsia="zh-CN"/>
        </w:rPr>
        <w:id w:val="147472362"/>
        <w15:color w:val="DBDBDB"/>
        <w:docPartObj>
          <w:docPartGallery w:val="Table of Contents"/>
          <w:docPartUnique/>
        </w:docPartObj>
      </w:sdtPr>
      <w:sdtEndPr>
        <w:rPr>
          <w:rFonts w:hint="default" w:ascii="Times New Roman" w:hAnsi="Times New Roman" w:eastAsia="仿宋" w:cs="Times New Roman"/>
          <w:b/>
          <w:bCs/>
          <w:color w:val="auto"/>
          <w:kern w:val="44"/>
          <w:sz w:val="44"/>
          <w:szCs w:val="28"/>
          <w:highlight w:val="none"/>
          <w:lang w:val="en-US" w:eastAsia="zh-CN" w:bidi="ar-SA"/>
        </w:rPr>
      </w:sdtEndPr>
      <w:sdtContent>
        <w:p w14:paraId="02C8F23D">
          <w:pPr>
            <w:autoSpaceDE w:val="0"/>
            <w:autoSpaceDN w:val="0"/>
            <w:adjustRightInd w:val="0"/>
            <w:jc w:val="center"/>
            <w:rPr>
              <w:rFonts w:hint="default" w:ascii="Times New Roman" w:hAnsi="Times New Roman" w:eastAsia="黑体" w:cs="Times New Roman"/>
              <w:color w:val="auto"/>
              <w:kern w:val="2"/>
              <w:sz w:val="32"/>
              <w:szCs w:val="24"/>
              <w:lang w:val="zh-CN"/>
            </w:rPr>
          </w:pPr>
          <w:bookmarkStart w:id="14" w:name="_Toc15377196"/>
          <w:bookmarkStart w:id="15" w:name="_Toc15396599"/>
          <w:r>
            <w:rPr>
              <w:rFonts w:hint="default" w:ascii="Times New Roman" w:hAnsi="Times New Roman" w:eastAsia="黑体" w:cs="Times New Roman"/>
              <w:color w:val="auto"/>
              <w:kern w:val="2"/>
              <w:sz w:val="32"/>
              <w:szCs w:val="24"/>
              <w:lang w:val="zh-CN"/>
            </w:rPr>
            <w:t>目录</w:t>
          </w:r>
        </w:p>
        <w:p w14:paraId="093CBE97">
          <w:pPr>
            <w:tabs>
              <w:tab w:val="right" w:leader="dot" w:pos="8296"/>
            </w:tabs>
            <w:spacing w:before="93"/>
            <w:jc w:val="center"/>
            <w:rPr>
              <w:rFonts w:hint="default" w:ascii="Times New Roman" w:hAnsi="Times New Roman" w:eastAsia="楷体_GB2312" w:cs="Times New Roman"/>
              <w:color w:val="auto"/>
              <w:kern w:val="2"/>
              <w:sz w:val="32"/>
              <w:szCs w:val="32"/>
              <w:lang w:val="zh-CN"/>
            </w:rPr>
          </w:pPr>
          <w:r>
            <w:rPr>
              <w:rFonts w:hint="default" w:ascii="Times New Roman" w:hAnsi="Times New Roman" w:eastAsia="楷体_GB2312" w:cs="Times New Roman"/>
              <w:color w:val="auto"/>
              <w:kern w:val="2"/>
              <w:sz w:val="32"/>
              <w:szCs w:val="32"/>
              <w:lang w:val="zh-CN"/>
            </w:rPr>
            <w:t>公开时间：202</w:t>
          </w:r>
          <w:r>
            <w:rPr>
              <w:rFonts w:hint="default" w:ascii="Times New Roman" w:hAnsi="Times New Roman" w:eastAsia="楷体_GB2312" w:cs="Times New Roman"/>
              <w:color w:val="auto"/>
              <w:kern w:val="2"/>
              <w:sz w:val="32"/>
              <w:szCs w:val="32"/>
              <w:lang w:val="en-US" w:eastAsia="zh-CN"/>
            </w:rPr>
            <w:t>4</w:t>
          </w:r>
          <w:r>
            <w:rPr>
              <w:rFonts w:hint="default" w:ascii="Times New Roman" w:hAnsi="Times New Roman" w:eastAsia="楷体_GB2312" w:cs="Times New Roman"/>
              <w:color w:val="auto"/>
              <w:kern w:val="2"/>
              <w:sz w:val="32"/>
              <w:szCs w:val="32"/>
              <w:lang w:val="zh-CN"/>
            </w:rPr>
            <w:t xml:space="preserve">年 </w:t>
          </w:r>
          <w:r>
            <w:rPr>
              <w:rFonts w:hint="default" w:ascii="Times New Roman" w:hAnsi="Times New Roman" w:eastAsia="楷体_GB2312" w:cs="Times New Roman"/>
              <w:color w:val="auto"/>
              <w:kern w:val="2"/>
              <w:sz w:val="32"/>
              <w:szCs w:val="32"/>
              <w:lang w:val="en-US" w:eastAsia="zh-CN"/>
            </w:rPr>
            <w:t>8</w:t>
          </w:r>
          <w:r>
            <w:rPr>
              <w:rFonts w:hint="default" w:ascii="Times New Roman" w:hAnsi="Times New Roman" w:eastAsia="楷体_GB2312" w:cs="Times New Roman"/>
              <w:color w:val="auto"/>
              <w:kern w:val="2"/>
              <w:sz w:val="32"/>
              <w:szCs w:val="32"/>
              <w:lang w:val="zh-CN"/>
            </w:rPr>
            <w:t xml:space="preserve"> 月</w:t>
          </w:r>
          <w:r>
            <w:rPr>
              <w:rFonts w:hint="default" w:ascii="Times New Roman" w:hAnsi="Times New Roman" w:eastAsia="楷体_GB2312" w:cs="Times New Roman"/>
              <w:color w:val="auto"/>
              <w:kern w:val="2"/>
              <w:sz w:val="32"/>
              <w:szCs w:val="32"/>
              <w:lang w:val="en-US" w:eastAsia="zh-CN"/>
            </w:rPr>
            <w:t>28</w:t>
          </w:r>
          <w:r>
            <w:rPr>
              <w:rFonts w:hint="default" w:ascii="Times New Roman" w:hAnsi="Times New Roman" w:eastAsia="楷体_GB2312" w:cs="Times New Roman"/>
              <w:color w:val="auto"/>
              <w:kern w:val="2"/>
              <w:sz w:val="32"/>
              <w:szCs w:val="32"/>
              <w:lang w:val="zh-CN"/>
            </w:rPr>
            <w:t>日</w:t>
          </w:r>
        </w:p>
        <w:p w14:paraId="2079CD0F">
          <w:pPr>
            <w:pStyle w:val="23"/>
            <w:rPr>
              <w:rFonts w:hint="default" w:ascii="Times New Roman" w:hAnsi="Times New Roman" w:cs="Times New Roman"/>
              <w:lang w:val="zh-CN"/>
            </w:rPr>
          </w:pPr>
        </w:p>
        <w:p w14:paraId="562EC1CF">
          <w:pPr>
            <w:pStyle w:val="16"/>
            <w:pageBreakBefore w:val="0"/>
            <w:kinsoku/>
            <w:wordWrap/>
            <w:overflowPunct/>
            <w:topLinePunct w:val="0"/>
            <w:bidi w:val="0"/>
            <w:adjustRightInd w:val="0"/>
            <w:snapToGrid w:val="0"/>
            <w:spacing w:before="0" w:line="560" w:lineRule="exact"/>
            <w:jc w:val="lef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楷体_GB2312" w:cs="Times New Roman"/>
              <w:color w:val="auto"/>
              <w:sz w:val="32"/>
              <w:szCs w:val="32"/>
              <w:highlight w:val="none"/>
            </w:rPr>
            <w:t xml:space="preserve">第一部分 </w:t>
          </w:r>
          <w:r>
            <w:rPr>
              <w:rFonts w:hint="default" w:ascii="Times New Roman" w:hAnsi="Times New Roman" w:eastAsia="楷体_GB2312" w:cs="Times New Roman"/>
              <w:color w:val="auto"/>
              <w:sz w:val="32"/>
              <w:szCs w:val="32"/>
              <w:highlight w:val="none"/>
              <w:lang w:eastAsia="zh-CN"/>
            </w:rPr>
            <w:t>单位</w:t>
          </w:r>
          <w:r>
            <w:rPr>
              <w:rFonts w:hint="default" w:ascii="Times New Roman" w:hAnsi="Times New Roman" w:eastAsia="楷体_GB2312" w:cs="Times New Roman"/>
              <w:color w:val="auto"/>
              <w:sz w:val="32"/>
              <w:szCs w:val="32"/>
              <w:highlight w:val="none"/>
            </w:rPr>
            <w:t>概况</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lang w:val="en-US" w:eastAsia="zh-CN"/>
            </w:rPr>
            <w:t>1</w:t>
          </w:r>
        </w:p>
        <w:p w14:paraId="69C552AB">
          <w:pPr>
            <w:pStyle w:val="17"/>
            <w:pageBreakBefore w:val="0"/>
            <w:kinsoku/>
            <w:wordWrap/>
            <w:overflowPunct/>
            <w:topLinePunct w:val="0"/>
            <w:bidi w:val="0"/>
            <w:adjustRightInd w:val="0"/>
            <w:snapToGrid w:val="0"/>
            <w:spacing w:line="560" w:lineRule="exact"/>
            <w:jc w:val="lef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rPr>
            <w:t>一、</w:t>
          </w:r>
          <w:r>
            <w:rPr>
              <w:rFonts w:hint="default" w:ascii="Times New Roman" w:hAnsi="Times New Roman" w:eastAsia="仿宋_GB2312" w:cs="Times New Roman"/>
              <w:color w:val="auto"/>
              <w:sz w:val="24"/>
              <w:szCs w:val="24"/>
              <w:highlight w:val="none"/>
              <w:lang w:eastAsia="zh-CN"/>
            </w:rPr>
            <w:t>主要职责</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lang w:val="en-US" w:eastAsia="zh-CN"/>
            </w:rPr>
            <w:t>1</w:t>
          </w:r>
        </w:p>
        <w:p w14:paraId="1BCE5F7F">
          <w:pPr>
            <w:pStyle w:val="17"/>
            <w:pageBreakBefore w:val="0"/>
            <w:kinsoku/>
            <w:wordWrap/>
            <w:overflowPunct/>
            <w:topLinePunct w:val="0"/>
            <w:bidi w:val="0"/>
            <w:adjustRightInd w:val="0"/>
            <w:snapToGrid w:val="0"/>
            <w:spacing w:line="560" w:lineRule="exact"/>
            <w:jc w:val="lef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highlight w:val="none"/>
              <w:lang w:eastAsia="zh-CN"/>
            </w:rPr>
            <w:t>二</w:t>
          </w:r>
          <w:r>
            <w:rPr>
              <w:rFonts w:hint="default" w:ascii="Times New Roman" w:hAnsi="Times New Roman" w:eastAsia="仿宋_GB2312" w:cs="Times New Roman"/>
              <w:color w:val="auto"/>
              <w:sz w:val="24"/>
              <w:szCs w:val="24"/>
              <w:highlight w:val="none"/>
            </w:rPr>
            <w:t>、</w:t>
          </w:r>
          <w:r>
            <w:rPr>
              <w:rFonts w:hint="default" w:ascii="Times New Roman" w:hAnsi="Times New Roman" w:eastAsia="仿宋_GB2312" w:cs="Times New Roman"/>
              <w:color w:val="auto"/>
              <w:sz w:val="24"/>
              <w:szCs w:val="24"/>
              <w:highlight w:val="none"/>
              <w:lang w:eastAsia="zh-CN"/>
            </w:rPr>
            <w:t>机构设置</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lang w:val="en-US" w:eastAsia="zh-CN"/>
            </w:rPr>
            <w:t>1</w:t>
          </w:r>
        </w:p>
        <w:p w14:paraId="3F3E24AF">
          <w:pPr>
            <w:pStyle w:val="16"/>
            <w:pageBreakBefore w:val="0"/>
            <w:kinsoku/>
            <w:wordWrap/>
            <w:overflowPunct/>
            <w:topLinePunct w:val="0"/>
            <w:bidi w:val="0"/>
            <w:adjustRightInd w:val="0"/>
            <w:snapToGrid w:val="0"/>
            <w:spacing w:before="0" w:line="560" w:lineRule="exact"/>
            <w:jc w:val="lef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楷体_GB2312" w:cs="Times New Roman"/>
              <w:color w:val="auto"/>
              <w:sz w:val="32"/>
              <w:szCs w:val="32"/>
              <w:highlight w:val="none"/>
            </w:rPr>
            <w:t>第二部分</w:t>
          </w:r>
          <w:r>
            <w:rPr>
              <w:rFonts w:hint="default" w:ascii="Times New Roman" w:hAnsi="Times New Roman" w:eastAsia="楷体_GB2312" w:cs="Times New Roman"/>
              <w:color w:val="auto"/>
              <w:sz w:val="32"/>
              <w:szCs w:val="32"/>
              <w:highlight w:val="none"/>
              <w:lang w:val="en-US" w:eastAsia="zh-CN"/>
            </w:rPr>
            <w:t xml:space="preserve"> 2023年度</w:t>
          </w:r>
          <w:r>
            <w:rPr>
              <w:rFonts w:hint="default" w:ascii="Times New Roman" w:hAnsi="Times New Roman" w:eastAsia="楷体_GB2312" w:cs="Times New Roman"/>
              <w:color w:val="auto"/>
              <w:sz w:val="32"/>
              <w:szCs w:val="32"/>
              <w:highlight w:val="none"/>
              <w:lang w:eastAsia="zh-CN"/>
            </w:rPr>
            <w:t>单位</w:t>
          </w:r>
          <w:r>
            <w:rPr>
              <w:rFonts w:hint="default" w:ascii="Times New Roman" w:hAnsi="Times New Roman" w:eastAsia="楷体_GB2312" w:cs="Times New Roman"/>
              <w:color w:val="auto"/>
              <w:sz w:val="32"/>
              <w:szCs w:val="32"/>
              <w:highlight w:val="none"/>
            </w:rPr>
            <w:t>决算情况说明</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lang w:val="en-US" w:eastAsia="zh-CN"/>
            </w:rPr>
            <w:t>2</w:t>
          </w:r>
        </w:p>
        <w:p w14:paraId="47674C90">
          <w:pPr>
            <w:pStyle w:val="17"/>
            <w:pageBreakBefore w:val="0"/>
            <w:kinsoku/>
            <w:wordWrap/>
            <w:overflowPunct/>
            <w:topLinePunct w:val="0"/>
            <w:bidi w:val="0"/>
            <w:adjustRightInd w:val="0"/>
            <w:snapToGrid w:val="0"/>
            <w:spacing w:line="560" w:lineRule="exact"/>
            <w:jc w:val="lef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rPr>
            <w:t>一、收入支出决算总体情况说明</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lang w:val="en-US" w:eastAsia="zh-CN"/>
            </w:rPr>
            <w:t>2</w:t>
          </w:r>
        </w:p>
        <w:p w14:paraId="7E652457">
          <w:pPr>
            <w:pStyle w:val="17"/>
            <w:pageBreakBefore w:val="0"/>
            <w:kinsoku/>
            <w:wordWrap/>
            <w:overflowPunct/>
            <w:topLinePunct w:val="0"/>
            <w:bidi w:val="0"/>
            <w:adjustRightInd w:val="0"/>
            <w:snapToGrid w:val="0"/>
            <w:spacing w:line="560" w:lineRule="exact"/>
            <w:jc w:val="lef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rPr>
            <w:t>二、收入决算情况说明</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lang w:val="en-US" w:eastAsia="zh-CN"/>
            </w:rPr>
            <w:t>2</w:t>
          </w:r>
        </w:p>
        <w:p w14:paraId="2132F65E">
          <w:pPr>
            <w:pStyle w:val="17"/>
            <w:pageBreakBefore w:val="0"/>
            <w:kinsoku/>
            <w:wordWrap/>
            <w:overflowPunct/>
            <w:topLinePunct w:val="0"/>
            <w:bidi w:val="0"/>
            <w:adjustRightInd w:val="0"/>
            <w:snapToGrid w:val="0"/>
            <w:spacing w:line="560" w:lineRule="exact"/>
            <w:jc w:val="lef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rPr>
            <w:t>三、支出决算情况说明</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lang w:val="en-US" w:eastAsia="zh-CN"/>
            </w:rPr>
            <w:t>3</w:t>
          </w:r>
        </w:p>
        <w:p w14:paraId="290F7DB4">
          <w:pPr>
            <w:pStyle w:val="17"/>
            <w:pageBreakBefore w:val="0"/>
            <w:kinsoku/>
            <w:wordWrap/>
            <w:overflowPunct/>
            <w:topLinePunct w:val="0"/>
            <w:bidi w:val="0"/>
            <w:adjustRightInd w:val="0"/>
            <w:snapToGrid w:val="0"/>
            <w:spacing w:line="560" w:lineRule="exact"/>
            <w:jc w:val="lef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rPr>
            <w:t>四、财政拨款收入支出决算总体情况说明</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lang w:val="en-US" w:eastAsia="zh-CN"/>
            </w:rPr>
            <w:t>4</w:t>
          </w:r>
        </w:p>
        <w:p w14:paraId="3F1E5ED1">
          <w:pPr>
            <w:pStyle w:val="17"/>
            <w:pageBreakBefore w:val="0"/>
            <w:kinsoku/>
            <w:wordWrap/>
            <w:overflowPunct/>
            <w:topLinePunct w:val="0"/>
            <w:bidi w:val="0"/>
            <w:adjustRightInd w:val="0"/>
            <w:snapToGrid w:val="0"/>
            <w:spacing w:line="560" w:lineRule="exact"/>
            <w:jc w:val="lef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rPr>
            <w:t>五、一般公共预算财政拨款支出决算情况说明</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lang w:val="en-US" w:eastAsia="zh-CN"/>
            </w:rPr>
            <w:t>4</w:t>
          </w:r>
        </w:p>
        <w:p w14:paraId="523B6946">
          <w:pPr>
            <w:pStyle w:val="17"/>
            <w:pageBreakBefore w:val="0"/>
            <w:kinsoku/>
            <w:wordWrap/>
            <w:overflowPunct/>
            <w:topLinePunct w:val="0"/>
            <w:bidi w:val="0"/>
            <w:adjustRightInd w:val="0"/>
            <w:snapToGrid w:val="0"/>
            <w:spacing w:line="560" w:lineRule="exact"/>
            <w:jc w:val="lef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rPr>
            <w:t>六、一般公共预算财政拨款基本支出决算情况说明</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lang w:val="en-US" w:eastAsia="zh-CN"/>
            </w:rPr>
            <w:t>8</w:t>
          </w:r>
        </w:p>
        <w:p w14:paraId="572DC3CF">
          <w:pPr>
            <w:pStyle w:val="17"/>
            <w:pageBreakBefore w:val="0"/>
            <w:kinsoku/>
            <w:wordWrap/>
            <w:overflowPunct/>
            <w:topLinePunct w:val="0"/>
            <w:bidi w:val="0"/>
            <w:adjustRightInd w:val="0"/>
            <w:snapToGrid w:val="0"/>
            <w:spacing w:line="560" w:lineRule="exact"/>
            <w:jc w:val="lef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rPr>
            <w:t>七、财政拨款</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三公”经费支出决算情况说明</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lang w:val="en-US" w:eastAsia="zh-CN"/>
            </w:rPr>
            <w:t>9</w:t>
          </w:r>
        </w:p>
        <w:p w14:paraId="48D7B7AA">
          <w:pPr>
            <w:pStyle w:val="17"/>
            <w:pageBreakBefore w:val="0"/>
            <w:kinsoku/>
            <w:wordWrap/>
            <w:overflowPunct/>
            <w:topLinePunct w:val="0"/>
            <w:bidi w:val="0"/>
            <w:adjustRightInd w:val="0"/>
            <w:snapToGrid w:val="0"/>
            <w:spacing w:line="560" w:lineRule="exact"/>
            <w:jc w:val="lef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rPr>
            <w:t>八、政府性基金预算支出决算情况说明</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lang w:val="en-US" w:eastAsia="zh-CN"/>
            </w:rPr>
            <w:t>10</w:t>
          </w:r>
        </w:p>
        <w:p w14:paraId="38C8ADAD">
          <w:pPr>
            <w:pStyle w:val="17"/>
            <w:pageBreakBefore w:val="0"/>
            <w:kinsoku/>
            <w:wordWrap/>
            <w:overflowPunct/>
            <w:topLinePunct w:val="0"/>
            <w:bidi w:val="0"/>
            <w:adjustRightInd w:val="0"/>
            <w:snapToGrid w:val="0"/>
            <w:spacing w:line="560" w:lineRule="exact"/>
            <w:jc w:val="lef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rPr>
            <w:t>九、国有资本经营预算支出决算情况说明</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lang w:val="en-US" w:eastAsia="zh-CN"/>
            </w:rPr>
            <w:t>10</w:t>
          </w:r>
        </w:p>
        <w:p w14:paraId="3F521BAE">
          <w:pPr>
            <w:pStyle w:val="17"/>
            <w:pageBreakBefore w:val="0"/>
            <w:kinsoku/>
            <w:wordWrap/>
            <w:overflowPunct/>
            <w:topLinePunct w:val="0"/>
            <w:bidi w:val="0"/>
            <w:adjustRightInd w:val="0"/>
            <w:snapToGrid w:val="0"/>
            <w:spacing w:line="560" w:lineRule="exact"/>
            <w:jc w:val="lef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rPr>
            <w:t>十、其他重要事项的情况说明</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lang w:val="en-US" w:eastAsia="zh-CN"/>
            </w:rPr>
            <w:t>11</w:t>
          </w:r>
        </w:p>
        <w:p w14:paraId="0EE2F438">
          <w:pPr>
            <w:pStyle w:val="16"/>
            <w:pageBreakBefore w:val="0"/>
            <w:kinsoku/>
            <w:wordWrap/>
            <w:overflowPunct/>
            <w:topLinePunct w:val="0"/>
            <w:bidi w:val="0"/>
            <w:adjustRightInd w:val="0"/>
            <w:snapToGrid w:val="0"/>
            <w:spacing w:before="0" w:line="560" w:lineRule="exact"/>
            <w:jc w:val="lef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楷体_GB2312" w:cs="Times New Roman"/>
              <w:color w:val="auto"/>
              <w:sz w:val="32"/>
              <w:szCs w:val="32"/>
              <w:highlight w:val="none"/>
            </w:rPr>
            <w:t>第三部分 名词解释</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lang w:val="en-US" w:eastAsia="zh-CN"/>
            </w:rPr>
            <w:t>13</w:t>
          </w:r>
        </w:p>
        <w:p w14:paraId="585CDB12">
          <w:pPr>
            <w:pStyle w:val="16"/>
            <w:pageBreakBefore w:val="0"/>
            <w:kinsoku/>
            <w:wordWrap/>
            <w:overflowPunct/>
            <w:topLinePunct w:val="0"/>
            <w:bidi w:val="0"/>
            <w:adjustRightInd w:val="0"/>
            <w:snapToGrid w:val="0"/>
            <w:spacing w:before="0" w:line="560" w:lineRule="exact"/>
            <w:jc w:val="lef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楷体_GB2312" w:cs="Times New Roman"/>
              <w:color w:val="auto"/>
              <w:sz w:val="32"/>
              <w:szCs w:val="32"/>
              <w:highlight w:val="none"/>
            </w:rPr>
            <w:t>第四部分 附件</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lang w:val="en-US" w:eastAsia="zh-CN"/>
            </w:rPr>
            <w:t>17</w:t>
          </w:r>
        </w:p>
        <w:p w14:paraId="561A824F">
          <w:pPr>
            <w:pStyle w:val="16"/>
            <w:pageBreakBefore w:val="0"/>
            <w:kinsoku/>
            <w:wordWrap/>
            <w:overflowPunct/>
            <w:topLinePunct w:val="0"/>
            <w:bidi w:val="0"/>
            <w:adjustRightInd w:val="0"/>
            <w:snapToGrid w:val="0"/>
            <w:spacing w:before="0" w:line="560" w:lineRule="exact"/>
            <w:jc w:val="lef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楷体_GB2312" w:cs="Times New Roman"/>
              <w:color w:val="auto"/>
              <w:sz w:val="32"/>
              <w:szCs w:val="32"/>
              <w:highlight w:val="none"/>
            </w:rPr>
            <w:t>第五部分 附表</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lang w:val="en-US" w:eastAsia="zh-CN"/>
            </w:rPr>
            <w:t>53</w:t>
          </w:r>
        </w:p>
        <w:p w14:paraId="342FD5AA">
          <w:pPr>
            <w:pStyle w:val="17"/>
            <w:pageBreakBefore w:val="0"/>
            <w:kinsoku/>
            <w:wordWrap/>
            <w:overflowPunct/>
            <w:topLinePunct w:val="0"/>
            <w:bidi w:val="0"/>
            <w:adjustRightInd w:val="0"/>
            <w:snapToGrid w:val="0"/>
            <w:spacing w:line="560" w:lineRule="exact"/>
            <w:jc w:val="lef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rPr>
            <w:t>一、收入支出决算总表</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lang w:val="en-US" w:eastAsia="zh-CN"/>
            </w:rPr>
            <w:t>53</w:t>
          </w:r>
        </w:p>
        <w:p w14:paraId="35BDE57D">
          <w:pPr>
            <w:pStyle w:val="17"/>
            <w:pageBreakBefore w:val="0"/>
            <w:kinsoku/>
            <w:wordWrap/>
            <w:overflowPunct/>
            <w:topLinePunct w:val="0"/>
            <w:bidi w:val="0"/>
            <w:adjustRightInd w:val="0"/>
            <w:snapToGrid w:val="0"/>
            <w:spacing w:line="560" w:lineRule="exact"/>
            <w:jc w:val="lef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rPr>
            <w:t>二、收入决算表</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lang w:val="en-US" w:eastAsia="zh-CN"/>
            </w:rPr>
            <w:t>53</w:t>
          </w:r>
        </w:p>
        <w:p w14:paraId="0D48CA35">
          <w:pPr>
            <w:pStyle w:val="17"/>
            <w:pageBreakBefore w:val="0"/>
            <w:kinsoku/>
            <w:wordWrap/>
            <w:overflowPunct/>
            <w:topLinePunct w:val="0"/>
            <w:bidi w:val="0"/>
            <w:adjustRightInd w:val="0"/>
            <w:snapToGrid w:val="0"/>
            <w:spacing w:line="560" w:lineRule="exact"/>
            <w:jc w:val="lef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rPr>
            <w:t>三、支出决算表</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lang w:val="en-US" w:eastAsia="zh-CN"/>
            </w:rPr>
            <w:t>53</w:t>
          </w:r>
        </w:p>
        <w:p w14:paraId="5355432F">
          <w:pPr>
            <w:pStyle w:val="17"/>
            <w:pageBreakBefore w:val="0"/>
            <w:kinsoku/>
            <w:wordWrap/>
            <w:overflowPunct/>
            <w:topLinePunct w:val="0"/>
            <w:bidi w:val="0"/>
            <w:adjustRightInd w:val="0"/>
            <w:snapToGrid w:val="0"/>
            <w:spacing w:line="560" w:lineRule="exact"/>
            <w:jc w:val="left"/>
            <w:textAlignment w:val="auto"/>
            <w:rPr>
              <w:rFonts w:hint="default" w:ascii="Times New Roman" w:hAnsi="Times New Roman" w:eastAsia="仿宋_GB2312" w:cs="Times New Roman"/>
              <w:color w:val="auto"/>
              <w:sz w:val="24"/>
              <w:szCs w:val="24"/>
              <w:highlight w:val="none"/>
            </w:rPr>
            <w:sectPr>
              <w:footerReference r:id="rId5" w:type="default"/>
              <w:pgSz w:w="11906" w:h="16838"/>
              <w:pgMar w:top="1440" w:right="1800" w:bottom="1440" w:left="1800" w:header="720" w:footer="720" w:gutter="0"/>
              <w:pgNumType w:fmt="numberInDash" w:start="1"/>
              <w:cols w:space="720" w:num="1"/>
              <w:docGrid w:type="lines" w:linePitch="312" w:charSpace="0"/>
            </w:sectPr>
          </w:pPr>
        </w:p>
        <w:p w14:paraId="45A9B028">
          <w:pPr>
            <w:pStyle w:val="17"/>
            <w:pageBreakBefore w:val="0"/>
            <w:kinsoku/>
            <w:wordWrap/>
            <w:overflowPunct/>
            <w:topLinePunct w:val="0"/>
            <w:bidi w:val="0"/>
            <w:adjustRightInd w:val="0"/>
            <w:snapToGrid w:val="0"/>
            <w:spacing w:line="560" w:lineRule="exact"/>
            <w:jc w:val="lef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rPr>
            <w:t>四、财政拨款收入支出决算总表</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lang w:val="en-US" w:eastAsia="zh-CN"/>
            </w:rPr>
            <w:t>53</w:t>
          </w:r>
        </w:p>
        <w:p w14:paraId="0611A9BD">
          <w:pPr>
            <w:pStyle w:val="17"/>
            <w:pageBreakBefore w:val="0"/>
            <w:kinsoku/>
            <w:wordWrap/>
            <w:overflowPunct/>
            <w:topLinePunct w:val="0"/>
            <w:bidi w:val="0"/>
            <w:adjustRightInd w:val="0"/>
            <w:snapToGrid w:val="0"/>
            <w:spacing w:line="560" w:lineRule="exact"/>
            <w:jc w:val="lef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rPr>
            <w:t>五、财政拨款支出决算明细表</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lang w:val="en-US" w:eastAsia="zh-CN"/>
            </w:rPr>
            <w:t>53</w:t>
          </w:r>
        </w:p>
        <w:p w14:paraId="37E47A07">
          <w:pPr>
            <w:pStyle w:val="17"/>
            <w:pageBreakBefore w:val="0"/>
            <w:kinsoku/>
            <w:wordWrap/>
            <w:overflowPunct/>
            <w:topLinePunct w:val="0"/>
            <w:bidi w:val="0"/>
            <w:adjustRightInd w:val="0"/>
            <w:snapToGrid w:val="0"/>
            <w:spacing w:line="560" w:lineRule="exact"/>
            <w:jc w:val="lef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rPr>
            <w:t>六、一般公共预算财政拨款支出决算表</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lang w:val="en-US" w:eastAsia="zh-CN"/>
            </w:rPr>
            <w:t>53</w:t>
          </w:r>
        </w:p>
        <w:p w14:paraId="021ACA7F">
          <w:pPr>
            <w:pStyle w:val="17"/>
            <w:pageBreakBefore w:val="0"/>
            <w:kinsoku/>
            <w:wordWrap/>
            <w:overflowPunct/>
            <w:topLinePunct w:val="0"/>
            <w:bidi w:val="0"/>
            <w:adjustRightInd w:val="0"/>
            <w:snapToGrid w:val="0"/>
            <w:spacing w:line="560" w:lineRule="exact"/>
            <w:jc w:val="lef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rPr>
            <w:t>七、一般公共预算财政拨款支出决算明细表</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lang w:val="en-US" w:eastAsia="zh-CN"/>
            </w:rPr>
            <w:t>53</w:t>
          </w:r>
        </w:p>
        <w:p w14:paraId="2FAAA150">
          <w:pPr>
            <w:pStyle w:val="17"/>
            <w:pageBreakBefore w:val="0"/>
            <w:kinsoku/>
            <w:wordWrap/>
            <w:overflowPunct/>
            <w:topLinePunct w:val="0"/>
            <w:bidi w:val="0"/>
            <w:adjustRightInd w:val="0"/>
            <w:snapToGrid w:val="0"/>
            <w:spacing w:line="560" w:lineRule="exact"/>
            <w:jc w:val="lef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rPr>
            <w:t>八、一般公共预算财政拨款基本支出决算</w:t>
          </w:r>
          <w:r>
            <w:rPr>
              <w:rFonts w:hint="default" w:ascii="Times New Roman" w:hAnsi="Times New Roman" w:eastAsia="仿宋_GB2312" w:cs="Times New Roman"/>
              <w:color w:val="auto"/>
              <w:sz w:val="24"/>
              <w:szCs w:val="24"/>
              <w:highlight w:val="none"/>
              <w:lang w:eastAsia="zh-CN"/>
            </w:rPr>
            <w:t>明细</w:t>
          </w:r>
          <w:r>
            <w:rPr>
              <w:rFonts w:hint="default" w:ascii="Times New Roman" w:hAnsi="Times New Roman" w:eastAsia="仿宋_GB2312" w:cs="Times New Roman"/>
              <w:color w:val="auto"/>
              <w:sz w:val="24"/>
              <w:szCs w:val="24"/>
              <w:highlight w:val="none"/>
            </w:rPr>
            <w:t>表</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lang w:val="en-US" w:eastAsia="zh-CN"/>
            </w:rPr>
            <w:t>53</w:t>
          </w:r>
        </w:p>
        <w:p w14:paraId="37DB14BC">
          <w:pPr>
            <w:pStyle w:val="17"/>
            <w:pageBreakBefore w:val="0"/>
            <w:kinsoku/>
            <w:wordWrap/>
            <w:overflowPunct/>
            <w:topLinePunct w:val="0"/>
            <w:bidi w:val="0"/>
            <w:adjustRightInd w:val="0"/>
            <w:snapToGrid w:val="0"/>
            <w:spacing w:line="560" w:lineRule="exact"/>
            <w:jc w:val="lef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rPr>
            <w:t>九、一般公共预算财政拨款项目支出决算表</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lang w:val="en-US" w:eastAsia="zh-CN"/>
            </w:rPr>
            <w:t>53</w:t>
          </w:r>
        </w:p>
        <w:p w14:paraId="58D5D499">
          <w:pPr>
            <w:pStyle w:val="17"/>
            <w:pageBreakBefore w:val="0"/>
            <w:kinsoku/>
            <w:wordWrap/>
            <w:overflowPunct/>
            <w:topLinePunct w:val="0"/>
            <w:bidi w:val="0"/>
            <w:adjustRightInd w:val="0"/>
            <w:snapToGrid w:val="0"/>
            <w:spacing w:line="560" w:lineRule="exact"/>
            <w:jc w:val="lef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rPr>
            <w:t>十、政府性基金预算财政拨款收入支出决算表</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lang w:val="en-US" w:eastAsia="zh-CN"/>
            </w:rPr>
            <w:t>53</w:t>
          </w:r>
        </w:p>
        <w:p w14:paraId="65FDD5D4">
          <w:pPr>
            <w:pStyle w:val="17"/>
            <w:pageBreakBefore w:val="0"/>
            <w:kinsoku/>
            <w:wordWrap/>
            <w:overflowPunct/>
            <w:topLinePunct w:val="0"/>
            <w:bidi w:val="0"/>
            <w:adjustRightInd w:val="0"/>
            <w:snapToGrid w:val="0"/>
            <w:spacing w:line="560" w:lineRule="exact"/>
            <w:jc w:val="lef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rPr>
            <w:t>十一、国有资本经营预算财政拨款收入支出决算表</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lang w:val="en-US" w:eastAsia="zh-CN"/>
            </w:rPr>
            <w:t>53</w:t>
          </w:r>
        </w:p>
        <w:p w14:paraId="6FD8D51D">
          <w:pPr>
            <w:pStyle w:val="17"/>
            <w:pageBreakBefore w:val="0"/>
            <w:kinsoku/>
            <w:wordWrap/>
            <w:overflowPunct/>
            <w:topLinePunct w:val="0"/>
            <w:bidi w:val="0"/>
            <w:adjustRightInd w:val="0"/>
            <w:snapToGrid w:val="0"/>
            <w:spacing w:line="560" w:lineRule="exact"/>
            <w:jc w:val="lef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rPr>
            <w:t>十二、</w:t>
          </w:r>
          <w:r>
            <w:rPr>
              <w:rFonts w:hint="default" w:ascii="Times New Roman" w:hAnsi="Times New Roman" w:eastAsia="仿宋_GB2312" w:cs="Times New Roman"/>
              <w:color w:val="auto"/>
              <w:sz w:val="24"/>
              <w:szCs w:val="24"/>
              <w:highlight w:val="none"/>
              <w:lang w:val="en-US" w:eastAsia="zh-CN"/>
            </w:rPr>
            <w:t>国有资本经营预算财政拨款支出决算表</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lang w:val="en-US" w:eastAsia="zh-CN"/>
            </w:rPr>
            <w:t>53</w:t>
          </w:r>
        </w:p>
        <w:p w14:paraId="4C1A87B1">
          <w:pPr>
            <w:pStyle w:val="17"/>
            <w:pageBreakBefore w:val="0"/>
            <w:kinsoku/>
            <w:wordWrap/>
            <w:overflowPunct/>
            <w:topLinePunct w:val="0"/>
            <w:bidi w:val="0"/>
            <w:adjustRightInd w:val="0"/>
            <w:snapToGrid w:val="0"/>
            <w:spacing w:line="560" w:lineRule="exact"/>
            <w:jc w:val="left"/>
            <w:textAlignment w:val="auto"/>
            <w:rPr>
              <w:rFonts w:hint="default" w:ascii="Times New Roman" w:hAnsi="Times New Roman" w:eastAsia="黑体" w:cs="Times New Roman"/>
              <w:b w:val="0"/>
              <w:color w:val="auto"/>
              <w:highlight w:val="none"/>
              <w:lang w:val="en-US"/>
            </w:rPr>
          </w:pPr>
          <w:r>
            <w:rPr>
              <w:rFonts w:hint="default" w:ascii="Times New Roman" w:hAnsi="Times New Roman" w:eastAsia="仿宋_GB2312" w:cs="Times New Roman"/>
              <w:color w:val="auto"/>
              <w:sz w:val="24"/>
              <w:szCs w:val="24"/>
              <w:highlight w:val="none"/>
            </w:rPr>
            <w:t>十三、财政拨款“三公”经费支出决算表</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lang w:val="en-US" w:eastAsia="zh-CN"/>
            </w:rPr>
            <w:t>53</w:t>
          </w:r>
        </w:p>
        <w:p w14:paraId="7799DB7B">
          <w:pPr>
            <w:pStyle w:val="43"/>
            <w:tabs>
              <w:tab w:val="right" w:leader="dot" w:pos="8306"/>
            </w:tabs>
            <w:rPr>
              <w:rFonts w:hint="default" w:ascii="Times New Roman" w:hAnsi="Times New Roman" w:cs="Times New Roman"/>
            </w:rPr>
          </w:pPr>
          <w:r>
            <w:rPr>
              <w:rFonts w:hint="default" w:ascii="Times New Roman" w:hAnsi="Times New Roman" w:eastAsia="仿宋" w:cs="Times New Roman"/>
              <w:b w:val="0"/>
              <w:color w:val="auto"/>
              <w:sz w:val="28"/>
              <w:szCs w:val="28"/>
              <w:highlight w:val="none"/>
            </w:rPr>
            <w:fldChar w:fldCharType="begin"/>
          </w:r>
          <w:r>
            <w:rPr>
              <w:rFonts w:hint="default" w:ascii="Times New Roman" w:hAnsi="Times New Roman" w:eastAsia="仿宋" w:cs="Times New Roman"/>
              <w:b w:val="0"/>
              <w:color w:val="auto"/>
              <w:sz w:val="28"/>
              <w:szCs w:val="28"/>
              <w:highlight w:val="none"/>
            </w:rPr>
            <w:instrText xml:space="preserve">TOC \o "1-3" \h \u </w:instrText>
          </w:r>
          <w:r>
            <w:rPr>
              <w:rFonts w:hint="default" w:ascii="Times New Roman" w:hAnsi="Times New Roman" w:eastAsia="仿宋" w:cs="Times New Roman"/>
              <w:b w:val="0"/>
              <w:color w:val="auto"/>
              <w:sz w:val="28"/>
              <w:szCs w:val="28"/>
              <w:highlight w:val="none"/>
            </w:rPr>
            <w:fldChar w:fldCharType="separate"/>
          </w:r>
        </w:p>
        <w:p w14:paraId="07DBBA81">
          <w:pPr>
            <w:tabs>
              <w:tab w:val="right" w:leader="dot" w:pos="8296"/>
            </w:tabs>
            <w:autoSpaceDE w:val="0"/>
            <w:autoSpaceDN w:val="0"/>
            <w:adjustRightInd w:val="0"/>
            <w:spacing w:line="440" w:lineRule="exact"/>
            <w:ind w:left="420"/>
            <w:jc w:val="left"/>
            <w:outlineLvl w:val="0"/>
            <w:rPr>
              <w:rFonts w:hint="default" w:ascii="Times New Roman" w:hAnsi="Times New Roman" w:eastAsia="仿宋_GB2312" w:cs="Times New Roman"/>
              <w:color w:val="auto"/>
              <w:kern w:val="2"/>
              <w:sz w:val="28"/>
              <w:szCs w:val="28"/>
              <w:lang w:val="en-US" w:eastAsia="zh-CN"/>
            </w:rPr>
          </w:pPr>
        </w:p>
        <w:p w14:paraId="5DB572DD">
          <w:pPr>
            <w:pStyle w:val="5"/>
            <w:jc w:val="center"/>
            <w:outlineLvl w:val="9"/>
            <w:rPr>
              <w:rFonts w:hint="default" w:ascii="Times New Roman" w:hAnsi="Times New Roman" w:eastAsia="仿宋" w:cs="Times New Roman"/>
              <w:b w:val="0"/>
              <w:color w:val="auto"/>
              <w:sz w:val="28"/>
              <w:szCs w:val="28"/>
              <w:highlight w:val="none"/>
            </w:rPr>
            <w:sectPr>
              <w:footerReference r:id="rId7" w:type="first"/>
              <w:footerReference r:id="rId6" w:type="default"/>
              <w:pgSz w:w="11906" w:h="16838"/>
              <w:pgMar w:top="1440" w:right="1800" w:bottom="1440" w:left="1800" w:header="851" w:footer="992" w:gutter="0"/>
              <w:pgNumType w:fmt="decimal" w:start="1"/>
              <w:cols w:space="425" w:num="1"/>
              <w:titlePg/>
              <w:docGrid w:type="lines" w:linePitch="312" w:charSpace="0"/>
            </w:sectPr>
          </w:pPr>
          <w:r>
            <w:rPr>
              <w:rFonts w:hint="default" w:ascii="Times New Roman" w:hAnsi="Times New Roman" w:eastAsia="仿宋" w:cs="Times New Roman"/>
              <w:color w:val="auto"/>
              <w:szCs w:val="28"/>
              <w:highlight w:val="none"/>
            </w:rPr>
            <w:fldChar w:fldCharType="end"/>
          </w:r>
        </w:p>
      </w:sdtContent>
    </w:sdt>
    <w:p w14:paraId="1D06D51D">
      <w:pPr>
        <w:pStyle w:val="5"/>
        <w:jc w:val="center"/>
        <w:rPr>
          <w:rStyle w:val="32"/>
          <w:rFonts w:hint="default" w:ascii="Times New Roman" w:hAnsi="Times New Roman" w:eastAsia="黑体" w:cs="Times New Roman"/>
          <w:b/>
          <w:bCs w:val="0"/>
          <w:color w:val="auto"/>
          <w:highlight w:val="none"/>
        </w:rPr>
      </w:pPr>
      <w:bookmarkStart w:id="16" w:name="_Toc23813"/>
      <w:r>
        <w:rPr>
          <w:rFonts w:hint="default" w:ascii="Times New Roman" w:hAnsi="Times New Roman" w:eastAsia="黑体" w:cs="Times New Roman"/>
          <w:b w:val="0"/>
          <w:color w:val="auto"/>
          <w:highlight w:val="none"/>
        </w:rPr>
        <w:t xml:space="preserve">第一部分 </w:t>
      </w:r>
      <w:r>
        <w:rPr>
          <w:rStyle w:val="32"/>
          <w:rFonts w:hint="default" w:ascii="Times New Roman" w:hAnsi="Times New Roman" w:eastAsia="黑体" w:cs="Times New Roman"/>
          <w:b w:val="0"/>
          <w:bCs w:val="0"/>
          <w:color w:val="auto"/>
          <w:highlight w:val="none"/>
          <w:lang w:val="en-US" w:eastAsia="zh-CN"/>
        </w:rPr>
        <w:t>单位</w:t>
      </w:r>
      <w:r>
        <w:rPr>
          <w:rStyle w:val="32"/>
          <w:rFonts w:hint="default" w:ascii="Times New Roman" w:hAnsi="Times New Roman" w:eastAsia="黑体" w:cs="Times New Roman"/>
          <w:b w:val="0"/>
          <w:bCs w:val="0"/>
          <w:color w:val="auto"/>
          <w:highlight w:val="none"/>
        </w:rPr>
        <w:t>概况</w:t>
      </w:r>
      <w:bookmarkEnd w:id="14"/>
      <w:bookmarkEnd w:id="15"/>
      <w:bookmarkEnd w:id="16"/>
    </w:p>
    <w:p w14:paraId="1FEC6FC4">
      <w:pPr>
        <w:widowControl/>
        <w:jc w:val="left"/>
        <w:rPr>
          <w:rFonts w:hint="default" w:ascii="Times New Roman" w:hAnsi="Times New Roman" w:eastAsia="黑体" w:cs="Times New Roman"/>
          <w:color w:val="auto"/>
          <w:sz w:val="32"/>
          <w:szCs w:val="32"/>
          <w:highlight w:val="none"/>
        </w:rPr>
      </w:pPr>
    </w:p>
    <w:p w14:paraId="50ADCA8B">
      <w:pPr>
        <w:pStyle w:val="6"/>
        <w:ind w:firstLine="640" w:firstLineChars="200"/>
        <w:rPr>
          <w:rFonts w:hint="default" w:ascii="Times New Roman" w:hAnsi="Times New Roman" w:eastAsia="黑体" w:cs="Times New Roman"/>
          <w:b w:val="0"/>
          <w:color w:val="auto"/>
          <w:highlight w:val="none"/>
        </w:rPr>
      </w:pPr>
      <w:bookmarkStart w:id="17" w:name="_Toc3050"/>
      <w:r>
        <w:rPr>
          <w:rFonts w:hint="default" w:ascii="Times New Roman" w:hAnsi="Times New Roman" w:eastAsia="黑体" w:cs="Times New Roman"/>
          <w:b w:val="0"/>
          <w:color w:val="auto"/>
          <w:highlight w:val="none"/>
        </w:rPr>
        <w:t>一、</w:t>
      </w:r>
      <w:bookmarkEnd w:id="17"/>
      <w:bookmarkStart w:id="18" w:name="_Toc27212"/>
      <w:r>
        <w:rPr>
          <w:rFonts w:hint="default" w:ascii="Times New Roman" w:hAnsi="Times New Roman" w:eastAsia="黑体" w:cs="Times New Roman"/>
          <w:b w:val="0"/>
          <w:color w:val="auto"/>
          <w:highlight w:val="none"/>
        </w:rPr>
        <w:t>主要职能</w:t>
      </w:r>
      <w:bookmarkEnd w:id="18"/>
    </w:p>
    <w:p w14:paraId="42CAEAD4">
      <w:pPr>
        <w:numPr>
          <w:ilvl w:val="0"/>
          <w:numId w:val="0"/>
        </w:numPr>
        <w:ind w:firstLine="640" w:firstLineChars="200"/>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主要承担辖区内（含乡镇、街道）退役军人有关服务工作。具体落实就业创业、优抚帮扶、权益保障、数据信息采集等政策措施；协助做好关系转接和档案移交，协助基层党组织做好党员教育服务工作；做好退役军人和其他优抚对象采访接待、政策咨询好信访工作，依法及时就地化解矛盾问题；针对性、常态化开展精准帮扶援助；开展走访慰问，送立功喜报、悬挂光荣牌等具体事务工作。</w:t>
      </w:r>
    </w:p>
    <w:p w14:paraId="686A6974">
      <w:pPr>
        <w:pStyle w:val="6"/>
        <w:ind w:firstLine="640" w:firstLineChars="200"/>
        <w:rPr>
          <w:rStyle w:val="33"/>
          <w:rFonts w:hint="default" w:ascii="Times New Roman" w:hAnsi="Times New Roman" w:cs="Times New Roman"/>
          <w:b w:val="0"/>
          <w:bCs w:val="0"/>
          <w:color w:val="auto"/>
          <w:highlight w:val="none"/>
        </w:rPr>
      </w:pPr>
      <w:bookmarkStart w:id="19" w:name="_Toc22629"/>
      <w:bookmarkStart w:id="20" w:name="_Toc15377200"/>
      <w:bookmarkStart w:id="21" w:name="_Toc15396601"/>
      <w:r>
        <w:rPr>
          <w:rFonts w:hint="default" w:ascii="Times New Roman" w:hAnsi="Times New Roman" w:eastAsia="黑体" w:cs="Times New Roman"/>
          <w:b w:val="0"/>
          <w:color w:val="auto"/>
          <w:highlight w:val="none"/>
        </w:rPr>
        <w:t>二、</w:t>
      </w:r>
      <w:r>
        <w:rPr>
          <w:rFonts w:hint="default" w:ascii="Times New Roman" w:hAnsi="Times New Roman" w:eastAsia="黑体" w:cs="Times New Roman"/>
          <w:b w:val="0"/>
          <w:color w:val="auto"/>
          <w:highlight w:val="none"/>
        </w:rPr>
        <w:t>机</w:t>
      </w:r>
      <w:r>
        <w:rPr>
          <w:rStyle w:val="33"/>
          <w:rFonts w:hint="default" w:ascii="Times New Roman" w:hAnsi="Times New Roman" w:eastAsia="黑体" w:cs="Times New Roman"/>
          <w:b w:val="0"/>
          <w:bCs w:val="0"/>
          <w:color w:val="auto"/>
          <w:highlight w:val="none"/>
        </w:rPr>
        <w:t>构设置</w:t>
      </w:r>
      <w:bookmarkEnd w:id="19"/>
      <w:bookmarkEnd w:id="20"/>
      <w:bookmarkEnd w:id="21"/>
    </w:p>
    <w:p w14:paraId="5DD19DB0">
      <w:pPr>
        <w:pStyle w:val="23"/>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退役军人服务中心内设3个部门分别为：综合管理组、优抚双拥组、安置信访组。</w:t>
      </w:r>
    </w:p>
    <w:p w14:paraId="52D4E6C4">
      <w:pPr>
        <w:pStyle w:val="23"/>
        <w:rPr>
          <w:rFonts w:hint="default" w:ascii="Times New Roman" w:hAnsi="Times New Roman" w:eastAsia="仿宋_GB2312" w:cs="Times New Roman"/>
          <w:kern w:val="2"/>
          <w:sz w:val="32"/>
          <w:szCs w:val="32"/>
          <w:lang w:val="en-US" w:eastAsia="zh-CN" w:bidi="ar-SA"/>
        </w:rPr>
      </w:pPr>
    </w:p>
    <w:p w14:paraId="3558D925">
      <w:pPr>
        <w:pStyle w:val="23"/>
        <w:rPr>
          <w:rFonts w:hint="default" w:ascii="Times New Roman" w:hAnsi="Times New Roman" w:eastAsia="仿宋_GB2312" w:cs="Times New Roman"/>
          <w:kern w:val="2"/>
          <w:sz w:val="32"/>
          <w:szCs w:val="32"/>
          <w:lang w:val="en-US" w:eastAsia="zh-CN" w:bidi="ar-SA"/>
        </w:rPr>
      </w:pPr>
    </w:p>
    <w:p w14:paraId="6941CEBC">
      <w:pPr>
        <w:pStyle w:val="23"/>
        <w:rPr>
          <w:rFonts w:hint="default" w:ascii="Times New Roman" w:hAnsi="Times New Roman" w:eastAsia="仿宋_GB2312" w:cs="Times New Roman"/>
          <w:kern w:val="2"/>
          <w:sz w:val="32"/>
          <w:szCs w:val="32"/>
          <w:lang w:val="en-US" w:eastAsia="zh-CN" w:bidi="ar-SA"/>
        </w:rPr>
      </w:pPr>
    </w:p>
    <w:p w14:paraId="01551B9F">
      <w:pPr>
        <w:pStyle w:val="5"/>
        <w:jc w:val="center"/>
        <w:rPr>
          <w:rFonts w:hint="default" w:ascii="Times New Roman" w:hAnsi="Times New Roman" w:eastAsia="黑体" w:cs="Times New Roman"/>
          <w:b w:val="0"/>
          <w:color w:val="auto"/>
          <w:highlight w:val="none"/>
        </w:rPr>
      </w:pPr>
      <w:bookmarkStart w:id="22" w:name="_Toc21258"/>
      <w:bookmarkStart w:id="23" w:name="_Toc15377204"/>
      <w:bookmarkStart w:id="24" w:name="_Toc15396602"/>
      <w:r>
        <w:rPr>
          <w:rFonts w:hint="default" w:ascii="Times New Roman" w:hAnsi="Times New Roman" w:eastAsia="黑体" w:cs="Times New Roman"/>
          <w:b w:val="0"/>
          <w:color w:val="auto"/>
          <w:highlight w:val="none"/>
        </w:rPr>
        <w:t xml:space="preserve">第二部分 </w:t>
      </w:r>
      <w:r>
        <w:rPr>
          <w:rFonts w:hint="default" w:ascii="Times New Roman" w:hAnsi="Times New Roman" w:eastAsia="黑体" w:cs="Times New Roman"/>
          <w:b w:val="0"/>
          <w:color w:val="auto"/>
          <w:highlight w:val="none"/>
          <w:lang w:val="en-US" w:eastAsia="zh-CN"/>
        </w:rPr>
        <w:t>2023年度</w:t>
      </w:r>
      <w:r>
        <w:rPr>
          <w:rFonts w:hint="default" w:ascii="Times New Roman" w:hAnsi="Times New Roman" w:eastAsia="黑体" w:cs="Times New Roman"/>
          <w:b w:val="0"/>
          <w:color w:val="auto"/>
          <w:highlight w:val="none"/>
        </w:rPr>
        <w:t>部门决算情况说明</w:t>
      </w:r>
      <w:bookmarkEnd w:id="22"/>
      <w:bookmarkEnd w:id="23"/>
      <w:bookmarkEnd w:id="24"/>
    </w:p>
    <w:p w14:paraId="1CC07D77">
      <w:pPr>
        <w:rPr>
          <w:rFonts w:hint="default" w:ascii="Times New Roman" w:hAnsi="Times New Roman" w:cs="Times New Roman"/>
          <w:color w:val="auto"/>
          <w:highlight w:val="none"/>
        </w:rPr>
      </w:pPr>
    </w:p>
    <w:p w14:paraId="2811C772">
      <w:pPr>
        <w:pStyle w:val="31"/>
        <w:numPr>
          <w:ilvl w:val="0"/>
          <w:numId w:val="1"/>
        </w:numPr>
        <w:spacing w:line="600" w:lineRule="exact"/>
        <w:ind w:left="1350" w:leftChars="0" w:firstLineChars="0"/>
        <w:outlineLvl w:val="1"/>
        <w:rPr>
          <w:rStyle w:val="33"/>
          <w:rFonts w:hint="default" w:ascii="Times New Roman" w:hAnsi="Times New Roman" w:eastAsia="黑体" w:cs="Times New Roman"/>
          <w:b w:val="0"/>
          <w:color w:val="auto"/>
          <w:highlight w:val="none"/>
        </w:rPr>
      </w:pPr>
      <w:bookmarkStart w:id="25" w:name="_Toc15396603"/>
      <w:bookmarkStart w:id="26" w:name="_Toc15377205"/>
      <w:bookmarkStart w:id="27" w:name="_Toc12863"/>
      <w:r>
        <w:rPr>
          <w:rFonts w:hint="default" w:ascii="Times New Roman" w:hAnsi="Times New Roman" w:eastAsia="黑体" w:cs="Times New Roman"/>
          <w:color w:val="auto"/>
          <w:sz w:val="32"/>
          <w:szCs w:val="32"/>
          <w:highlight w:val="none"/>
        </w:rPr>
        <w:t>收</w:t>
      </w:r>
      <w:r>
        <w:rPr>
          <w:rStyle w:val="33"/>
          <w:rFonts w:hint="default" w:ascii="Times New Roman" w:hAnsi="Times New Roman" w:eastAsia="黑体" w:cs="Times New Roman"/>
          <w:b w:val="0"/>
          <w:color w:val="auto"/>
          <w:highlight w:val="none"/>
        </w:rPr>
        <w:t>入支出决算总体情况说明</w:t>
      </w:r>
      <w:bookmarkEnd w:id="25"/>
      <w:bookmarkEnd w:id="26"/>
      <w:bookmarkEnd w:id="27"/>
    </w:p>
    <w:p w14:paraId="5118286B">
      <w:pPr>
        <w:ind w:firstLine="800" w:firstLineChars="250"/>
        <w:rPr>
          <w:rFonts w:hint="default" w:ascii="Times New Roman" w:hAnsi="Times New Roman" w:eastAsia="仿宋_GB2312" w:cs="Times New Roman"/>
          <w:kern w:val="2"/>
          <w:sz w:val="32"/>
          <w:szCs w:val="32"/>
          <w:lang w:val="en-US" w:eastAsia="zh-CN" w:bidi="ar-SA"/>
        </w:rPr>
      </w:pPr>
      <w:bookmarkStart w:id="28" w:name="OLE_LINK12"/>
      <w:r>
        <w:rPr>
          <w:rFonts w:hint="default" w:ascii="Times New Roman" w:hAnsi="Times New Roman" w:eastAsia="仿宋_GB2312" w:cs="Times New Roman"/>
          <w:kern w:val="2"/>
          <w:sz w:val="32"/>
          <w:szCs w:val="32"/>
          <w:lang w:val="en-US" w:eastAsia="zh-CN" w:bidi="ar-SA"/>
        </w:rPr>
        <w:t>2023年度收、支总计均为458.66万元。与2022年度相比，收、支总计减少36.01万元，下降7.3%。主要变动原因是保障人数减少。</w:t>
      </w:r>
      <w:bookmarkEnd w:id="28"/>
    </w:p>
    <w:p w14:paraId="24D7C08E">
      <w:pPr>
        <w:pStyle w:val="11"/>
        <w:rPr>
          <w:rFonts w:hint="default" w:ascii="Times New Roman" w:hAnsi="Times New Roman" w:eastAsia="仿宋_GB2312" w:cs="Times New Roman"/>
          <w:color w:val="000000"/>
          <w:sz w:val="32"/>
          <w:szCs w:val="32"/>
          <w:highlight w:val="none"/>
          <w14:textFill>
            <w14:solidFill>
              <w14:srgbClr w14:val="000000">
                <w14:alpha w14:val="8000"/>
              </w14:srgbClr>
            </w14:solidFill>
          </w14:textFill>
        </w:rPr>
      </w:pPr>
      <w:r>
        <w:rPr>
          <w:rFonts w:hint="default" w:ascii="Times New Roman" w:hAnsi="Times New Roman" w:cs="Times New Roman"/>
          <w:lang w:val="en-US" w:eastAsia="zh-CN"/>
        </w:rPr>
        <w:t xml:space="preserve">   </w:t>
      </w:r>
      <w:r>
        <w:rPr>
          <w:rFonts w:hint="default" w:ascii="Times New Roman" w:hAnsi="Times New Roman" w:cs="Times New Roman"/>
        </w:rPr>
        <w:drawing>
          <wp:inline distT="0" distB="0" distL="114300" distR="114300">
            <wp:extent cx="4819650" cy="3581400"/>
            <wp:effectExtent l="4445" t="4445" r="14605" b="14605"/>
            <wp:docPr id="5" name="图表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CF038C3">
      <w:pPr>
        <w:spacing w:line="600" w:lineRule="exact"/>
        <w:ind w:firstLine="640" w:firstLineChars="200"/>
        <w:rPr>
          <w:rFonts w:hint="default" w:ascii="Times New Roman" w:hAnsi="Times New Roman" w:cs="Times New Roman"/>
        </w:rPr>
      </w:pPr>
      <w:r>
        <w:rPr>
          <w:rFonts w:hint="default" w:ascii="Times New Roman" w:hAnsi="Times New Roman" w:eastAsia="仿宋_GB2312" w:cs="Times New Roman"/>
          <w:color w:val="auto"/>
          <w:sz w:val="32"/>
          <w:szCs w:val="32"/>
          <w:highlight w:val="none"/>
        </w:rPr>
        <w:t>（图1：收、支决算总计变动情况图）（柱状图）</w:t>
      </w:r>
    </w:p>
    <w:p w14:paraId="0344C23C">
      <w:pPr>
        <w:pStyle w:val="31"/>
        <w:numPr>
          <w:ilvl w:val="0"/>
          <w:numId w:val="1"/>
        </w:numPr>
        <w:spacing w:line="600" w:lineRule="exact"/>
        <w:ind w:left="1350" w:leftChars="0" w:firstLineChars="0"/>
        <w:outlineLvl w:val="1"/>
        <w:rPr>
          <w:rStyle w:val="33"/>
          <w:rFonts w:hint="default" w:ascii="Times New Roman" w:hAnsi="Times New Roman" w:eastAsia="黑体" w:cs="Times New Roman"/>
          <w:b w:val="0"/>
          <w:color w:val="auto"/>
          <w:highlight w:val="none"/>
        </w:rPr>
      </w:pPr>
      <w:bookmarkStart w:id="29" w:name="_Toc15396604"/>
      <w:bookmarkStart w:id="30" w:name="_Toc3429"/>
      <w:bookmarkStart w:id="31" w:name="_Toc15377206"/>
      <w:r>
        <w:rPr>
          <w:rFonts w:hint="default" w:ascii="Times New Roman" w:hAnsi="Times New Roman" w:eastAsia="黑体" w:cs="Times New Roman"/>
          <w:color w:val="auto"/>
          <w:sz w:val="32"/>
          <w:szCs w:val="32"/>
          <w:highlight w:val="none"/>
        </w:rPr>
        <w:t>收</w:t>
      </w:r>
      <w:r>
        <w:rPr>
          <w:rStyle w:val="33"/>
          <w:rFonts w:hint="default" w:ascii="Times New Roman" w:hAnsi="Times New Roman" w:eastAsia="黑体" w:cs="Times New Roman"/>
          <w:b w:val="0"/>
          <w:color w:val="auto"/>
          <w:highlight w:val="none"/>
        </w:rPr>
        <w:t>入决算情况说明</w:t>
      </w:r>
      <w:bookmarkEnd w:id="29"/>
      <w:bookmarkEnd w:id="30"/>
      <w:bookmarkEnd w:id="31"/>
    </w:p>
    <w:p w14:paraId="56F402AD">
      <w:pPr>
        <w:ind w:firstLine="800" w:firstLineChars="25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2023年度本年收入合计458.66万元，其中：</w:t>
      </w:r>
      <w:bookmarkStart w:id="32" w:name="OLE_LINK2"/>
      <w:r>
        <w:rPr>
          <w:rFonts w:hint="default" w:ascii="Times New Roman" w:hAnsi="Times New Roman" w:eastAsia="仿宋_GB2312" w:cs="Times New Roman"/>
          <w:kern w:val="2"/>
          <w:sz w:val="32"/>
          <w:szCs w:val="32"/>
          <w:lang w:val="en-US" w:eastAsia="zh-CN" w:bidi="ar-SA"/>
        </w:rPr>
        <w:t>一般公共预算财政拨款收入</w:t>
      </w:r>
      <w:bookmarkEnd w:id="32"/>
      <w:r>
        <w:rPr>
          <w:rFonts w:hint="default" w:ascii="Times New Roman" w:hAnsi="Times New Roman" w:eastAsia="仿宋_GB2312" w:cs="Times New Roman"/>
          <w:kern w:val="2"/>
          <w:sz w:val="32"/>
          <w:szCs w:val="32"/>
          <w:lang w:val="en-US" w:eastAsia="zh-CN" w:bidi="ar-SA"/>
        </w:rPr>
        <w:t>458.66万元，占100%</w:t>
      </w:r>
      <w:r>
        <w:rPr>
          <w:rFonts w:hint="default" w:ascii="Times New Roman" w:hAnsi="Times New Roman" w:eastAsia="仿宋_GB2312" w:cs="Times New Roman"/>
          <w:kern w:val="2"/>
          <w:sz w:val="32"/>
          <w:szCs w:val="32"/>
          <w:lang w:val="en-US" w:eastAsia="zh-CN" w:bidi="ar-SA"/>
        </w:rPr>
        <w:t>。</w:t>
      </w:r>
    </w:p>
    <w:p w14:paraId="694A5D04">
      <w:pPr>
        <w:ind w:firstLine="800" w:firstLineChars="25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（注：数据来源于财决01表，仅罗列本部门涉及的收入。）</w:t>
      </w:r>
    </w:p>
    <w:p w14:paraId="619B94DB">
      <w:pPr>
        <w:pStyle w:val="11"/>
        <w:rPr>
          <w:rFonts w:hint="default" w:ascii="Times New Roman" w:hAnsi="Times New Roman" w:cs="Times New Roman"/>
        </w:rPr>
      </w:pPr>
      <w:r>
        <w:rPr>
          <w:rFonts w:hint="default" w:ascii="Times New Roman" w:hAnsi="Times New Roman" w:cs="Times New Roman"/>
          <w:lang w:val="en-US" w:eastAsia="zh-CN"/>
        </w:rPr>
        <w:t xml:space="preserve">     </w:t>
      </w:r>
      <w:r>
        <w:rPr>
          <w:rFonts w:hint="default" w:ascii="Times New Roman" w:hAnsi="Times New Roman" w:cs="Times New Roman"/>
        </w:rPr>
        <w:drawing>
          <wp:inline distT="0" distB="0" distL="114300" distR="114300">
            <wp:extent cx="4572000" cy="2743200"/>
            <wp:effectExtent l="4445" t="4445" r="14605" b="14605"/>
            <wp:docPr id="6" name="图表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02F5C53">
      <w:pPr>
        <w:spacing w:line="600" w:lineRule="exact"/>
        <w:ind w:firstLine="640" w:firstLineChars="200"/>
        <w:jc w:val="center"/>
        <w:rPr>
          <w:rFonts w:hint="default" w:ascii="Times New Roman" w:hAnsi="Times New Roman" w:cs="Times New Roman"/>
          <w:lang w:val="en-US" w:eastAsia="zh-CN"/>
        </w:rPr>
      </w:pPr>
      <w:r>
        <w:rPr>
          <w:rFonts w:hint="default" w:ascii="Times New Roman" w:hAnsi="Times New Roman" w:eastAsia="仿宋_GB2312" w:cs="Times New Roman"/>
          <w:color w:val="auto"/>
          <w:sz w:val="32"/>
          <w:szCs w:val="32"/>
          <w:highlight w:val="none"/>
        </w:rPr>
        <w:t>（图2：收入决算结构图）（饼状图）</w:t>
      </w:r>
    </w:p>
    <w:p w14:paraId="6D1C2DAD">
      <w:pPr>
        <w:pStyle w:val="31"/>
        <w:numPr>
          <w:ilvl w:val="0"/>
          <w:numId w:val="1"/>
        </w:numPr>
        <w:spacing w:line="600" w:lineRule="exact"/>
        <w:ind w:left="1350" w:leftChars="0" w:firstLineChars="0"/>
        <w:outlineLvl w:val="1"/>
        <w:rPr>
          <w:rStyle w:val="33"/>
          <w:rFonts w:hint="default" w:ascii="Times New Roman" w:hAnsi="Times New Roman" w:eastAsia="黑体" w:cs="Times New Roman"/>
          <w:b w:val="0"/>
          <w:color w:val="auto"/>
          <w:highlight w:val="none"/>
        </w:rPr>
      </w:pPr>
      <w:bookmarkStart w:id="33" w:name="_Toc15396605"/>
      <w:bookmarkStart w:id="34" w:name="_Toc15377207"/>
      <w:bookmarkStart w:id="35" w:name="_Toc7957"/>
      <w:r>
        <w:rPr>
          <w:rFonts w:hint="default" w:ascii="Times New Roman" w:hAnsi="Times New Roman" w:eastAsia="黑体" w:cs="Times New Roman"/>
          <w:color w:val="auto"/>
          <w:sz w:val="32"/>
          <w:szCs w:val="32"/>
          <w:highlight w:val="none"/>
        </w:rPr>
        <w:t>支</w:t>
      </w:r>
      <w:r>
        <w:rPr>
          <w:rStyle w:val="33"/>
          <w:rFonts w:hint="default" w:ascii="Times New Roman" w:hAnsi="Times New Roman" w:eastAsia="黑体" w:cs="Times New Roman"/>
          <w:b w:val="0"/>
          <w:color w:val="auto"/>
          <w:highlight w:val="none"/>
        </w:rPr>
        <w:t>出决算情况说明</w:t>
      </w:r>
      <w:bookmarkEnd w:id="33"/>
      <w:bookmarkEnd w:id="34"/>
      <w:bookmarkEnd w:id="35"/>
    </w:p>
    <w:p w14:paraId="255F64BD">
      <w:pPr>
        <w:ind w:firstLine="800" w:firstLineChars="25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2023年度本年支出合计0万元，其中：基本支出25.79万元，占5.6%；项目支出432.87万元，占94.4%</w:t>
      </w:r>
      <w:r>
        <w:rPr>
          <w:rFonts w:hint="default" w:ascii="Times New Roman" w:hAnsi="Times New Roman" w:eastAsia="仿宋_GB2312" w:cs="Times New Roman"/>
          <w:kern w:val="2"/>
          <w:sz w:val="32"/>
          <w:szCs w:val="32"/>
          <w:lang w:val="en-US" w:eastAsia="zh-CN" w:bidi="ar-SA"/>
        </w:rPr>
        <w:t>。</w:t>
      </w:r>
    </w:p>
    <w:p w14:paraId="7B681CD8">
      <w:pPr>
        <w:ind w:firstLine="320" w:firstLineChars="1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（注：数据来源于财决04表，仅罗列本部门涉及的支出。）</w:t>
      </w:r>
    </w:p>
    <w:p w14:paraId="5BC735EC">
      <w:pPr>
        <w:pStyle w:val="11"/>
        <w:rPr>
          <w:rFonts w:hint="default" w:ascii="Times New Roman" w:hAnsi="Times New Roman" w:cs="Times New Roman"/>
        </w:rPr>
      </w:pPr>
      <w:r>
        <w:rPr>
          <w:rFonts w:hint="default" w:ascii="Times New Roman" w:hAnsi="Times New Roman" w:cs="Times New Roman"/>
          <w:lang w:val="en-US" w:eastAsia="zh-CN"/>
        </w:rPr>
        <w:t xml:space="preserve">     </w:t>
      </w:r>
      <w:r>
        <w:rPr>
          <w:rFonts w:hint="default" w:ascii="Times New Roman" w:hAnsi="Times New Roman" w:cs="Times New Roman"/>
        </w:rPr>
        <w:drawing>
          <wp:inline distT="0" distB="0" distL="114300" distR="114300">
            <wp:extent cx="4819650" cy="2212340"/>
            <wp:effectExtent l="4445" t="4445" r="14605" b="1206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E1760FF">
      <w:pPr>
        <w:spacing w:line="600" w:lineRule="exact"/>
        <w:ind w:firstLine="640" w:firstLineChars="200"/>
        <w:jc w:val="center"/>
        <w:rPr>
          <w:rFonts w:hint="default" w:ascii="Times New Roman" w:hAnsi="Times New Roman" w:cs="Times New Roman"/>
          <w:lang w:val="en-US" w:eastAsia="zh-CN"/>
        </w:rPr>
      </w:pPr>
      <w:r>
        <w:rPr>
          <w:rFonts w:hint="default" w:ascii="Times New Roman" w:hAnsi="Times New Roman" w:eastAsia="仿宋_GB2312" w:cs="Times New Roman"/>
          <w:color w:val="auto"/>
          <w:sz w:val="32"/>
          <w:szCs w:val="32"/>
          <w:highlight w:val="none"/>
        </w:rPr>
        <w:t>（图3：支出决算结构图）（饼状图）</w:t>
      </w:r>
    </w:p>
    <w:p w14:paraId="4B18CB11">
      <w:pPr>
        <w:spacing w:line="600" w:lineRule="exact"/>
        <w:ind w:firstLine="640" w:firstLineChars="200"/>
        <w:outlineLvl w:val="1"/>
        <w:rPr>
          <w:rStyle w:val="33"/>
          <w:rFonts w:hint="default" w:ascii="Times New Roman" w:hAnsi="Times New Roman" w:eastAsia="黑体" w:cs="Times New Roman"/>
          <w:b w:val="0"/>
          <w:color w:val="auto"/>
          <w:highlight w:val="none"/>
        </w:rPr>
      </w:pPr>
      <w:bookmarkStart w:id="36" w:name="_Toc6223"/>
      <w:bookmarkStart w:id="37" w:name="_Toc15396606"/>
      <w:bookmarkStart w:id="38" w:name="_Toc15377208"/>
      <w:r>
        <w:rPr>
          <w:rFonts w:hint="default" w:ascii="Times New Roman" w:hAnsi="Times New Roman" w:eastAsia="黑体" w:cs="Times New Roman"/>
          <w:color w:val="auto"/>
          <w:sz w:val="32"/>
          <w:szCs w:val="32"/>
          <w:highlight w:val="none"/>
        </w:rPr>
        <w:t>四、财</w:t>
      </w:r>
      <w:r>
        <w:rPr>
          <w:rStyle w:val="33"/>
          <w:rFonts w:hint="default" w:ascii="Times New Roman" w:hAnsi="Times New Roman" w:eastAsia="黑体" w:cs="Times New Roman"/>
          <w:b w:val="0"/>
          <w:color w:val="auto"/>
          <w:highlight w:val="none"/>
        </w:rPr>
        <w:t>政拨款收入支出决算总体情况说明</w:t>
      </w:r>
      <w:bookmarkEnd w:id="36"/>
      <w:bookmarkEnd w:id="37"/>
      <w:bookmarkEnd w:id="38"/>
    </w:p>
    <w:p w14:paraId="6B3409E0">
      <w:pPr>
        <w:ind w:firstLine="800" w:firstLineChars="25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2023年度财政拨款收、支总计均为458.66万元。与2022年度相比，财政拨款收、支总计减少36.01万元，下降7.3%。主要变动原因是</w:t>
      </w:r>
      <w:bookmarkStart w:id="39" w:name="OLE_LINK4"/>
      <w:r>
        <w:rPr>
          <w:rFonts w:hint="default" w:ascii="Times New Roman" w:hAnsi="Times New Roman" w:eastAsia="仿宋_GB2312" w:cs="Times New Roman"/>
          <w:kern w:val="2"/>
          <w:sz w:val="32"/>
          <w:szCs w:val="32"/>
          <w:lang w:val="en-US" w:eastAsia="zh-CN" w:bidi="ar-SA"/>
        </w:rPr>
        <w:t>保障人数减少。</w:t>
      </w:r>
      <w:bookmarkEnd w:id="39"/>
    </w:p>
    <w:p w14:paraId="35B8CC98">
      <w:pPr>
        <w:ind w:firstLine="800" w:firstLineChars="25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（注：数据来源于财决01-1表）</w:t>
      </w:r>
    </w:p>
    <w:p w14:paraId="55C00616">
      <w:pPr>
        <w:pStyle w:val="11"/>
        <w:rPr>
          <w:rFonts w:hint="default" w:ascii="Times New Roman" w:hAnsi="Times New Roman" w:cs="Times New Roman"/>
        </w:rPr>
      </w:pPr>
      <w:r>
        <w:rPr>
          <w:rFonts w:hint="default" w:ascii="Times New Roman" w:hAnsi="Times New Roman" w:cs="Times New Roman"/>
          <w:lang w:val="en-US" w:eastAsia="zh-CN"/>
        </w:rPr>
        <w:t xml:space="preserve">    </w:t>
      </w:r>
      <w:r>
        <w:rPr>
          <w:rFonts w:hint="default" w:ascii="Times New Roman" w:hAnsi="Times New Roman" w:cs="Times New Roman"/>
        </w:rPr>
        <w:drawing>
          <wp:inline distT="0" distB="0" distL="114300" distR="114300">
            <wp:extent cx="4826000" cy="2788920"/>
            <wp:effectExtent l="4445" t="4445" r="8255" b="6985"/>
            <wp:docPr id="10"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9B26588">
      <w:pPr>
        <w:pStyle w:val="11"/>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（图4：</w:t>
      </w:r>
      <w:bookmarkStart w:id="40" w:name="OLE_LINK1"/>
      <w:r>
        <w:rPr>
          <w:rFonts w:hint="default" w:ascii="Times New Roman" w:hAnsi="Times New Roman" w:eastAsia="仿宋_GB2312" w:cs="Times New Roman"/>
          <w:kern w:val="2"/>
          <w:sz w:val="32"/>
          <w:szCs w:val="32"/>
          <w:lang w:val="en-US" w:eastAsia="zh-CN" w:bidi="ar-SA"/>
        </w:rPr>
        <w:t>财政拨款收、支决算总计变动情况</w:t>
      </w:r>
      <w:bookmarkEnd w:id="40"/>
      <w:r>
        <w:rPr>
          <w:rFonts w:hint="default" w:ascii="Times New Roman" w:hAnsi="Times New Roman" w:eastAsia="仿宋_GB2312" w:cs="Times New Roman"/>
          <w:kern w:val="2"/>
          <w:sz w:val="32"/>
          <w:szCs w:val="32"/>
          <w:lang w:val="en-US" w:eastAsia="zh-CN" w:bidi="ar-SA"/>
        </w:rPr>
        <w:t>）（柱状图）</w:t>
      </w:r>
    </w:p>
    <w:p w14:paraId="12AD0F2B">
      <w:pPr>
        <w:spacing w:line="600" w:lineRule="exact"/>
        <w:ind w:firstLine="640" w:firstLineChars="200"/>
        <w:outlineLvl w:val="1"/>
        <w:rPr>
          <w:rStyle w:val="33"/>
          <w:rFonts w:hint="default" w:ascii="Times New Roman" w:hAnsi="Times New Roman" w:eastAsia="黑体" w:cs="Times New Roman"/>
          <w:b w:val="0"/>
          <w:color w:val="auto"/>
          <w:highlight w:val="none"/>
        </w:rPr>
      </w:pPr>
      <w:bookmarkStart w:id="41" w:name="_Toc6835"/>
      <w:bookmarkStart w:id="42" w:name="_Toc15396607"/>
      <w:bookmarkStart w:id="43" w:name="_Toc15377209"/>
      <w:r>
        <w:rPr>
          <w:rFonts w:hint="default" w:ascii="Times New Roman" w:hAnsi="Times New Roman" w:eastAsia="黑体" w:cs="Times New Roman"/>
          <w:color w:val="auto"/>
          <w:sz w:val="32"/>
          <w:szCs w:val="32"/>
          <w:highlight w:val="none"/>
        </w:rPr>
        <w:t>五、</w:t>
      </w:r>
      <w:r>
        <w:rPr>
          <w:rFonts w:hint="default" w:ascii="Times New Roman" w:hAnsi="Times New Roman" w:eastAsia="黑体" w:cs="Times New Roman"/>
          <w:b/>
          <w:color w:val="auto"/>
          <w:sz w:val="32"/>
          <w:szCs w:val="32"/>
          <w:highlight w:val="none"/>
        </w:rPr>
        <w:t>一</w:t>
      </w:r>
      <w:r>
        <w:rPr>
          <w:rStyle w:val="33"/>
          <w:rFonts w:hint="default" w:ascii="Times New Roman" w:hAnsi="Times New Roman" w:eastAsia="黑体" w:cs="Times New Roman"/>
          <w:b w:val="0"/>
          <w:color w:val="auto"/>
          <w:highlight w:val="none"/>
        </w:rPr>
        <w:t>般公共预算财政拨款支出决算情况说明</w:t>
      </w:r>
      <w:bookmarkEnd w:id="41"/>
      <w:bookmarkEnd w:id="42"/>
      <w:bookmarkEnd w:id="43"/>
    </w:p>
    <w:p w14:paraId="6E48A7C3">
      <w:pPr>
        <w:spacing w:line="600" w:lineRule="exact"/>
        <w:ind w:firstLine="643" w:firstLineChars="200"/>
        <w:outlineLvl w:val="2"/>
        <w:rPr>
          <w:rFonts w:hint="default" w:ascii="Times New Roman" w:hAnsi="Times New Roman" w:eastAsia="楷体_GB2312" w:cs="Times New Roman"/>
          <w:b/>
          <w:bCs w:val="0"/>
          <w:color w:val="auto"/>
          <w:sz w:val="32"/>
          <w:szCs w:val="32"/>
          <w:highlight w:val="none"/>
        </w:rPr>
      </w:pPr>
      <w:bookmarkStart w:id="44" w:name="_Toc7804"/>
      <w:bookmarkStart w:id="45" w:name="_Toc15377210"/>
      <w:r>
        <w:rPr>
          <w:rFonts w:hint="default" w:ascii="Times New Roman" w:hAnsi="Times New Roman" w:eastAsia="楷体_GB2312" w:cs="Times New Roman"/>
          <w:b/>
          <w:bCs w:val="0"/>
          <w:color w:val="auto"/>
          <w:sz w:val="32"/>
          <w:szCs w:val="32"/>
          <w:highlight w:val="none"/>
        </w:rPr>
        <w:t>（一）一般公共预算财政拨款支出决算总体情况</w:t>
      </w:r>
      <w:bookmarkEnd w:id="44"/>
      <w:bookmarkEnd w:id="45"/>
    </w:p>
    <w:p w14:paraId="6009CDC5">
      <w:pPr>
        <w:ind w:firstLine="800" w:firstLineChars="25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2023年度一般公共预算财政拨款支出458.66万元，占本年支出合计的100%。与2022年度相比，一般公共预算财政拨款支出减少36.01万元，下降7.3%。主要变动原因是保障人数减少。</w:t>
      </w:r>
    </w:p>
    <w:p w14:paraId="6C423E11">
      <w:pPr>
        <w:pStyle w:val="11"/>
        <w:rPr>
          <w:rFonts w:hint="default" w:ascii="Times New Roman" w:hAnsi="Times New Roman" w:cs="Times New Roman"/>
        </w:rPr>
      </w:pPr>
      <w:r>
        <w:rPr>
          <w:rFonts w:hint="default" w:ascii="Times New Roman" w:hAnsi="Times New Roman" w:cs="Times New Roman"/>
          <w:lang w:val="en-US" w:eastAsia="zh-CN"/>
        </w:rPr>
        <w:t xml:space="preserve">     </w:t>
      </w:r>
      <w:r>
        <w:rPr>
          <w:rFonts w:hint="default" w:ascii="Times New Roman" w:hAnsi="Times New Roman" w:cs="Times New Roman"/>
        </w:rPr>
        <w:drawing>
          <wp:inline distT="0" distB="0" distL="114300" distR="114300">
            <wp:extent cx="4826000" cy="3590925"/>
            <wp:effectExtent l="4445" t="4445" r="8255" b="5080"/>
            <wp:docPr id="13"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CADC759">
      <w:pPr>
        <w:spacing w:line="600" w:lineRule="exact"/>
        <w:rPr>
          <w:rFonts w:hint="default" w:ascii="Times New Roman" w:hAnsi="Times New Roman" w:cs="Times New Roman"/>
          <w:lang w:val="en-US" w:eastAsia="zh-CN"/>
        </w:rPr>
      </w:pPr>
      <w:r>
        <w:rPr>
          <w:rFonts w:hint="default" w:ascii="Times New Roman" w:hAnsi="Times New Roman" w:eastAsia="仿宋_GB2312" w:cs="Times New Roman"/>
          <w:color w:val="auto"/>
          <w:sz w:val="32"/>
          <w:szCs w:val="32"/>
          <w:highlight w:val="none"/>
        </w:rPr>
        <w:t>（图5：一般公共预算财政拨款支出决算变动情况）（柱状图）</w:t>
      </w:r>
    </w:p>
    <w:p w14:paraId="683D50F2">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46" w:name="_Toc15377211"/>
      <w:bookmarkStart w:id="47" w:name="_Toc12977"/>
      <w:r>
        <w:rPr>
          <w:rFonts w:hint="default" w:ascii="Times New Roman" w:hAnsi="Times New Roman" w:eastAsia="楷体_GB2312" w:cs="Times New Roman"/>
          <w:b/>
          <w:color w:val="auto"/>
          <w:sz w:val="32"/>
          <w:szCs w:val="32"/>
          <w:highlight w:val="none"/>
        </w:rPr>
        <w:t>（二）一般公共预算财政拨款支出决算结构情况</w:t>
      </w:r>
      <w:bookmarkEnd w:id="46"/>
      <w:bookmarkEnd w:id="47"/>
    </w:p>
    <w:p w14:paraId="61AAE29E">
      <w:pPr>
        <w:ind w:firstLine="800" w:firstLineChars="25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2023年度一般公共预算财政拨款支出458.66万元，主要用于以下方面:</w:t>
      </w:r>
      <w:bookmarkStart w:id="48" w:name="OLE_LINK3"/>
      <w:r>
        <w:rPr>
          <w:rFonts w:hint="default" w:ascii="Times New Roman" w:hAnsi="Times New Roman" w:eastAsia="仿宋_GB2312" w:cs="Times New Roman"/>
          <w:kern w:val="2"/>
          <w:sz w:val="32"/>
          <w:szCs w:val="32"/>
          <w:lang w:val="en-US" w:eastAsia="zh-CN" w:bidi="ar-SA"/>
        </w:rPr>
        <w:t>一般公共服务支出</w:t>
      </w:r>
      <w:bookmarkEnd w:id="48"/>
      <w:r>
        <w:rPr>
          <w:rFonts w:hint="default" w:ascii="Times New Roman" w:hAnsi="Times New Roman" w:eastAsia="仿宋_GB2312" w:cs="Times New Roman"/>
          <w:kern w:val="2"/>
          <w:sz w:val="32"/>
          <w:szCs w:val="32"/>
          <w:lang w:val="en-US" w:eastAsia="zh-CN" w:bidi="ar-SA"/>
        </w:rPr>
        <w:t>2.97万元，占</w:t>
      </w:r>
      <w:r>
        <w:rPr>
          <w:rFonts w:hint="default" w:ascii="Times New Roman" w:hAnsi="Times New Roman" w:eastAsia="仿宋_GB2312" w:cs="Times New Roman"/>
          <w:kern w:val="2"/>
          <w:sz w:val="32"/>
          <w:szCs w:val="32"/>
          <w:lang w:val="en-US" w:eastAsia="zh-CN" w:bidi="ar-SA"/>
        </w:rPr>
        <w:t>0.6</w:t>
      </w:r>
      <w:r>
        <w:rPr>
          <w:rFonts w:hint="default" w:ascii="Times New Roman" w:hAnsi="Times New Roman" w:eastAsia="仿宋_GB2312" w:cs="Times New Roman"/>
          <w:kern w:val="2"/>
          <w:sz w:val="32"/>
          <w:szCs w:val="32"/>
          <w:lang w:val="en-US" w:eastAsia="zh-CN" w:bidi="ar-SA"/>
        </w:rPr>
        <w:t>%；</w:t>
      </w:r>
      <w:bookmarkStart w:id="49" w:name="OLE_LINK5"/>
      <w:r>
        <w:rPr>
          <w:rFonts w:hint="default" w:ascii="Times New Roman" w:hAnsi="Times New Roman" w:eastAsia="仿宋_GB2312" w:cs="Times New Roman"/>
          <w:kern w:val="2"/>
          <w:sz w:val="32"/>
          <w:szCs w:val="32"/>
          <w:lang w:val="en-US" w:eastAsia="zh-CN" w:bidi="ar-SA"/>
        </w:rPr>
        <w:t>公共安全支出</w:t>
      </w:r>
      <w:bookmarkEnd w:id="49"/>
      <w:r>
        <w:rPr>
          <w:rFonts w:hint="default" w:ascii="Times New Roman" w:hAnsi="Times New Roman" w:eastAsia="仿宋_GB2312" w:cs="Times New Roman"/>
          <w:kern w:val="2"/>
          <w:sz w:val="32"/>
          <w:szCs w:val="32"/>
          <w:lang w:val="en-US" w:eastAsia="zh-CN" w:bidi="ar-SA"/>
        </w:rPr>
        <w:t>35万元，占</w:t>
      </w:r>
      <w:r>
        <w:rPr>
          <w:rFonts w:hint="default" w:ascii="Times New Roman" w:hAnsi="Times New Roman" w:eastAsia="仿宋_GB2312" w:cs="Times New Roman"/>
          <w:kern w:val="2"/>
          <w:sz w:val="32"/>
          <w:szCs w:val="32"/>
          <w:lang w:val="en-US" w:eastAsia="zh-CN" w:bidi="ar-SA"/>
        </w:rPr>
        <w:t>7.6</w:t>
      </w:r>
      <w:r>
        <w:rPr>
          <w:rFonts w:hint="default" w:ascii="Times New Roman" w:hAnsi="Times New Roman" w:eastAsia="仿宋_GB2312" w:cs="Times New Roman"/>
          <w:kern w:val="2"/>
          <w:sz w:val="32"/>
          <w:szCs w:val="32"/>
          <w:lang w:val="en-US" w:eastAsia="zh-CN" w:bidi="ar-SA"/>
        </w:rPr>
        <w:t>%；</w:t>
      </w:r>
      <w:bookmarkStart w:id="50" w:name="OLE_LINK6"/>
      <w:r>
        <w:rPr>
          <w:rFonts w:hint="default" w:ascii="Times New Roman" w:hAnsi="Times New Roman" w:eastAsia="仿宋_GB2312" w:cs="Times New Roman"/>
          <w:kern w:val="2"/>
          <w:sz w:val="32"/>
          <w:szCs w:val="32"/>
          <w:lang w:val="en-US" w:eastAsia="zh-CN" w:bidi="ar-SA"/>
        </w:rPr>
        <w:t>社会保障和就业支出</w:t>
      </w:r>
      <w:bookmarkEnd w:id="50"/>
      <w:r>
        <w:rPr>
          <w:rFonts w:hint="default" w:ascii="Times New Roman" w:hAnsi="Times New Roman" w:eastAsia="仿宋_GB2312" w:cs="Times New Roman"/>
          <w:kern w:val="2"/>
          <w:sz w:val="32"/>
          <w:szCs w:val="32"/>
          <w:lang w:val="en-US" w:eastAsia="zh-CN" w:bidi="ar-SA"/>
        </w:rPr>
        <w:t>403.03万元，占</w:t>
      </w:r>
      <w:r>
        <w:rPr>
          <w:rFonts w:hint="default" w:ascii="Times New Roman" w:hAnsi="Times New Roman" w:eastAsia="仿宋_GB2312" w:cs="Times New Roman"/>
          <w:kern w:val="2"/>
          <w:sz w:val="32"/>
          <w:szCs w:val="32"/>
          <w:lang w:val="en-US" w:eastAsia="zh-CN" w:bidi="ar-SA"/>
        </w:rPr>
        <w:t>87.9</w:t>
      </w:r>
      <w:r>
        <w:rPr>
          <w:rFonts w:hint="default" w:ascii="Times New Roman" w:hAnsi="Times New Roman" w:eastAsia="仿宋_GB2312" w:cs="Times New Roman"/>
          <w:kern w:val="2"/>
          <w:sz w:val="32"/>
          <w:szCs w:val="32"/>
          <w:lang w:val="en-US" w:eastAsia="zh-CN" w:bidi="ar-SA"/>
        </w:rPr>
        <w:t>%；</w:t>
      </w:r>
      <w:bookmarkStart w:id="51" w:name="OLE_LINK7"/>
      <w:r>
        <w:rPr>
          <w:rFonts w:hint="default" w:ascii="Times New Roman" w:hAnsi="Times New Roman" w:eastAsia="仿宋_GB2312" w:cs="Times New Roman"/>
          <w:kern w:val="2"/>
          <w:sz w:val="32"/>
          <w:szCs w:val="32"/>
          <w:lang w:val="en-US" w:eastAsia="zh-CN" w:bidi="ar-SA"/>
        </w:rPr>
        <w:t>卫生健康支出</w:t>
      </w:r>
      <w:bookmarkEnd w:id="51"/>
      <w:r>
        <w:rPr>
          <w:rFonts w:hint="default" w:ascii="Times New Roman" w:hAnsi="Times New Roman" w:eastAsia="仿宋_GB2312" w:cs="Times New Roman"/>
          <w:kern w:val="2"/>
          <w:sz w:val="32"/>
          <w:szCs w:val="32"/>
          <w:lang w:val="en-US" w:eastAsia="zh-CN" w:bidi="ar-SA"/>
        </w:rPr>
        <w:t>17.67万元，占</w:t>
      </w:r>
      <w:r>
        <w:rPr>
          <w:rFonts w:hint="default" w:ascii="Times New Roman" w:hAnsi="Times New Roman" w:eastAsia="仿宋_GB2312" w:cs="Times New Roman"/>
          <w:kern w:val="2"/>
          <w:sz w:val="32"/>
          <w:szCs w:val="32"/>
          <w:lang w:val="en-US" w:eastAsia="zh-CN" w:bidi="ar-SA"/>
        </w:rPr>
        <w:t>3.9</w:t>
      </w:r>
      <w:r>
        <w:rPr>
          <w:rFonts w:hint="default" w:ascii="Times New Roman" w:hAnsi="Times New Roman" w:eastAsia="仿宋_GB2312" w:cs="Times New Roman"/>
          <w:kern w:val="2"/>
          <w:sz w:val="32"/>
          <w:szCs w:val="32"/>
          <w:lang w:val="en-US" w:eastAsia="zh-CN" w:bidi="ar-SA"/>
        </w:rPr>
        <w:t>%。</w:t>
      </w:r>
    </w:p>
    <w:p w14:paraId="69014C6A">
      <w:pPr>
        <w:ind w:firstLine="800" w:firstLineChars="25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（注：数据来源于财决01-1表，仅罗列本部门涉及的全部功能分类科目，至类级。）</w:t>
      </w:r>
    </w:p>
    <w:p w14:paraId="2B93ABDA">
      <w:pPr>
        <w:pStyle w:val="11"/>
        <w:ind w:firstLine="600"/>
        <w:rPr>
          <w:rFonts w:hint="default" w:ascii="Times New Roman" w:hAnsi="Times New Roman" w:cs="Times New Roman"/>
        </w:rPr>
      </w:pPr>
      <w:r>
        <w:rPr>
          <w:rFonts w:hint="default" w:ascii="Times New Roman" w:hAnsi="Times New Roman" w:cs="Times New Roman"/>
        </w:rPr>
        <w:drawing>
          <wp:inline distT="0" distB="0" distL="114300" distR="114300">
            <wp:extent cx="4826000" cy="2743200"/>
            <wp:effectExtent l="4445" t="4445" r="8255" b="14605"/>
            <wp:docPr id="16"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5052BC9">
      <w:pPr>
        <w:spacing w:line="600" w:lineRule="exact"/>
        <w:ind w:firstLine="320" w:firstLineChars="100"/>
        <w:rPr>
          <w:rFonts w:hint="default" w:ascii="Times New Roman" w:hAnsi="Times New Roman" w:cs="Times New Roman"/>
          <w:lang w:val="en-US" w:eastAsia="zh-CN"/>
        </w:rPr>
      </w:pPr>
      <w:r>
        <w:rPr>
          <w:rFonts w:hint="default" w:ascii="Times New Roman" w:hAnsi="Times New Roman" w:eastAsia="仿宋_GB2312" w:cs="Times New Roman"/>
          <w:color w:val="auto"/>
          <w:sz w:val="32"/>
          <w:szCs w:val="32"/>
          <w:highlight w:val="none"/>
        </w:rPr>
        <w:t>（图6：一般公共预算财政拨款支出决算结构）（饼状图）</w:t>
      </w:r>
    </w:p>
    <w:p w14:paraId="030BF45F">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52" w:name="_Toc5650"/>
      <w:bookmarkStart w:id="53" w:name="_Toc15377212"/>
      <w:r>
        <w:rPr>
          <w:rFonts w:hint="default" w:ascii="Times New Roman" w:hAnsi="Times New Roman" w:eastAsia="楷体_GB2312" w:cs="Times New Roman"/>
          <w:b/>
          <w:color w:val="auto"/>
          <w:sz w:val="32"/>
          <w:szCs w:val="32"/>
          <w:highlight w:val="none"/>
        </w:rPr>
        <w:t>（三）一般公共预算财政拨款支出决算具体情况</w:t>
      </w:r>
      <w:bookmarkEnd w:id="52"/>
      <w:bookmarkEnd w:id="53"/>
    </w:p>
    <w:p w14:paraId="448339E7">
      <w:pPr>
        <w:ind w:firstLine="800" w:firstLineChars="250"/>
        <w:rPr>
          <w:rFonts w:hint="default" w:ascii="Times New Roman" w:hAnsi="Times New Roman" w:eastAsia="仿宋_GB2312" w:cs="Times New Roman"/>
          <w:kern w:val="2"/>
          <w:sz w:val="32"/>
          <w:szCs w:val="32"/>
          <w:lang w:val="en-US" w:eastAsia="zh-CN" w:bidi="ar-SA"/>
        </w:rPr>
      </w:pPr>
      <w:bookmarkStart w:id="54" w:name="_Toc15377213"/>
      <w:bookmarkStart w:id="55" w:name="_Toc15378460"/>
      <w:bookmarkStart w:id="56" w:name="_Toc15377444"/>
      <w:r>
        <w:rPr>
          <w:rFonts w:hint="default" w:ascii="Times New Roman" w:hAnsi="Times New Roman" w:eastAsia="仿宋_GB2312" w:cs="Times New Roman"/>
          <w:kern w:val="2"/>
          <w:sz w:val="32"/>
          <w:szCs w:val="32"/>
          <w:lang w:val="en-US" w:eastAsia="zh-CN" w:bidi="ar-SA"/>
        </w:rPr>
        <w:t>2023年度一般公共预算支出决算数为458.66，完成预算458.66%。其中：</w:t>
      </w:r>
      <w:bookmarkEnd w:id="54"/>
      <w:bookmarkEnd w:id="55"/>
      <w:bookmarkEnd w:id="56"/>
    </w:p>
    <w:p w14:paraId="41835DA2">
      <w:pPr>
        <w:ind w:firstLine="800" w:firstLineChars="25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1.一般公共服务支出</w:t>
      </w:r>
      <w:r>
        <w:rPr>
          <w:rFonts w:hint="default" w:ascii="Times New Roman" w:hAnsi="Times New Roman" w:eastAsia="仿宋_GB2312" w:cs="Times New Roman"/>
          <w:kern w:val="2"/>
          <w:sz w:val="32"/>
          <w:szCs w:val="32"/>
          <w:lang w:val="en-US" w:eastAsia="zh-CN" w:bidi="ar-SA"/>
        </w:rPr>
        <w:t>201</w:t>
      </w:r>
      <w:r>
        <w:rPr>
          <w:rFonts w:hint="default" w:ascii="Times New Roman" w:hAnsi="Times New Roman" w:eastAsia="仿宋_GB2312" w:cs="Times New Roman"/>
          <w:kern w:val="2"/>
          <w:sz w:val="32"/>
          <w:szCs w:val="32"/>
          <w:lang w:val="en-US" w:eastAsia="zh-CN" w:bidi="ar-SA"/>
        </w:rPr>
        <w:t>（类）政府办公厅（室）及相关机构事务</w:t>
      </w:r>
      <w:r>
        <w:rPr>
          <w:rFonts w:hint="default" w:ascii="Times New Roman" w:hAnsi="Times New Roman" w:eastAsia="仿宋_GB2312" w:cs="Times New Roman"/>
          <w:kern w:val="2"/>
          <w:sz w:val="32"/>
          <w:szCs w:val="32"/>
          <w:lang w:val="en-US" w:eastAsia="zh-CN" w:bidi="ar-SA"/>
        </w:rPr>
        <w:t>03（款）事业运行50（项）：</w:t>
      </w:r>
      <w:r>
        <w:rPr>
          <w:rFonts w:hint="default" w:ascii="Times New Roman" w:hAnsi="Times New Roman" w:eastAsia="仿宋_GB2312" w:cs="Times New Roman"/>
          <w:kern w:val="2"/>
          <w:sz w:val="32"/>
          <w:szCs w:val="32"/>
          <w:lang w:val="en-US" w:eastAsia="zh-CN" w:bidi="ar-SA"/>
        </w:rPr>
        <w:t>支出决算为</w:t>
      </w:r>
      <w:r>
        <w:rPr>
          <w:rFonts w:hint="default" w:ascii="Times New Roman" w:hAnsi="Times New Roman" w:eastAsia="仿宋_GB2312" w:cs="Times New Roman"/>
          <w:kern w:val="2"/>
          <w:sz w:val="32"/>
          <w:szCs w:val="32"/>
          <w:lang w:val="en-US" w:eastAsia="zh-CN" w:bidi="ar-SA"/>
        </w:rPr>
        <w:t>2.97</w:t>
      </w:r>
      <w:r>
        <w:rPr>
          <w:rFonts w:hint="default" w:ascii="Times New Roman" w:hAnsi="Times New Roman" w:eastAsia="仿宋_GB2312" w:cs="Times New Roman"/>
          <w:kern w:val="2"/>
          <w:sz w:val="32"/>
          <w:szCs w:val="32"/>
          <w:lang w:val="en-US" w:eastAsia="zh-CN" w:bidi="ar-SA"/>
        </w:rPr>
        <w:t>万元，完成预算100%，决算数等于预算数。</w:t>
      </w:r>
    </w:p>
    <w:p w14:paraId="1BC0F906">
      <w:pPr>
        <w:ind w:firstLine="800" w:firstLineChars="25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en-US" w:eastAsia="zh-CN" w:bidi="ar-SA"/>
        </w:rPr>
        <w:t xml:space="preserve">.公共安全支出204（类）武装警察部队01（款）其他武装警察部队支出99（项）: </w:t>
      </w:r>
      <w:bookmarkStart w:id="57" w:name="OLE_LINK8"/>
      <w:r>
        <w:rPr>
          <w:rFonts w:hint="default" w:ascii="Times New Roman" w:hAnsi="Times New Roman" w:eastAsia="仿宋_GB2312" w:cs="Times New Roman"/>
          <w:kern w:val="2"/>
          <w:sz w:val="32"/>
          <w:szCs w:val="32"/>
          <w:lang w:val="en-US" w:eastAsia="zh-CN" w:bidi="ar-SA"/>
        </w:rPr>
        <w:t>支出决算为35万元，完成预算100%，决算数等于预算数。</w:t>
      </w:r>
    </w:p>
    <w:bookmarkEnd w:id="57"/>
    <w:p w14:paraId="6AA50887">
      <w:pPr>
        <w:ind w:firstLine="800" w:firstLineChars="25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w:t>
      </w:r>
      <w:r>
        <w:rPr>
          <w:rFonts w:hint="default" w:ascii="Times New Roman" w:hAnsi="Times New Roman" w:eastAsia="仿宋_GB2312" w:cs="Times New Roman"/>
          <w:kern w:val="2"/>
          <w:sz w:val="32"/>
          <w:szCs w:val="32"/>
          <w:lang w:val="en-US" w:eastAsia="zh-CN" w:bidi="ar-SA"/>
        </w:rPr>
        <w:t>.社会保障和就业208（类）抚恤08（款）死亡抚恤01（项）: 支出决算为11.37万元，完成预算100%，决算数等于预算数;社会保障和就业208（类）抚恤08（款）伤残抚恤02（项）: 支出决算为47.67万元，完成预算100%，决算数等于预算数;社会保障和就业208（类）抚恤08（款）在乡复员、退伍军人生活补助03（项）: 支出决算为135.31万元，完成预算100%，决算数等于预算数;社会保障和就业208（类）抚恤08（款）义务兵优待05（项）: 支出决算为42.06万元，完成预算100%，决算数等于预算数;社会保障和就业208（类）抚恤08（款）农村籍退役士兵老年生活补助06（项）: 支出决算为38.28万元，完成预算100%，决算数等于预算数;社会保障和就业208（类）抚恤08（款）其他优抚支出99（项）: 支出决算为12.67万元，完成预算100%，决算数等于预算数;社会保障和就业208（类）退役安置09（款）退役士兵安置01（项）: 支出决算为43.05万元，完成预算100%，决算数等于预算数;社会保障和就业208（类）退役安置09（款）退役士兵管理教育04（项）: 支出决算为5.9万元，完成预算100%，决算数等于预算数;社会保障和就业208（类）退役安置09（款）其他退役安置支出99（项）: 支出决算为37.15万元，完成预算100%，决算数等于预算数;社会保障和就业208（类）退役军人管理事务28（款）行政运行01（项）: 支出决算为10.09万元，完成预算100%，决算数等于预算数;社会保障和就业208（类）退役军人管理事务28（款）拥军优属04（项）: 支出决算为42.27万元，完成预算100%，决算数等于预算数;社会保障和就业208（类）退役军人管理事务28（款）事业运行50（项）：支出决算为12.73万元，完成预算100%，决算数等于预算数；社会保障和就业208（类）退役军人管理事务28（款）其他退役军人事务管理支出99（项）: 支出决算为7.53万元，完成预算100%，决算数等于预算数。</w:t>
      </w:r>
    </w:p>
    <w:p w14:paraId="6CF139A8">
      <w:pPr>
        <w:ind w:firstLine="800" w:firstLineChars="25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w:t>
      </w:r>
      <w:r>
        <w:rPr>
          <w:rFonts w:hint="default" w:ascii="Times New Roman" w:hAnsi="Times New Roman" w:eastAsia="仿宋_GB2312" w:cs="Times New Roman"/>
          <w:kern w:val="2"/>
          <w:sz w:val="32"/>
          <w:szCs w:val="32"/>
          <w:lang w:val="en-US" w:eastAsia="zh-CN" w:bidi="ar-SA"/>
        </w:rPr>
        <w:t>.卫生健康支出210（类）优抚对象医疗14（款）优抚对象医疗补助01（项）:支出决算为17.67万元，完成预算100%，决算数等于预算数。</w:t>
      </w:r>
    </w:p>
    <w:p w14:paraId="7C03C826">
      <w:pPr>
        <w:ind w:firstLine="800" w:firstLineChars="25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注：数据来源于财决01-1表和财决08表，仅罗列本部门涉及的全部功能分类科目，至项级。上述“预算”口径为全年预算数。增减变动原因为决算数&lt;项级&gt;和全年预算数&lt;项级&gt;比较，与预算数持平可以不写原因。）</w:t>
      </w:r>
    </w:p>
    <w:p w14:paraId="7BC1309B">
      <w:pPr>
        <w:tabs>
          <w:tab w:val="right" w:pos="8306"/>
        </w:tabs>
        <w:spacing w:line="600" w:lineRule="exact"/>
        <w:ind w:firstLine="640"/>
        <w:outlineLvl w:val="1"/>
        <w:rPr>
          <w:rStyle w:val="33"/>
          <w:rFonts w:hint="default" w:ascii="Times New Roman" w:hAnsi="Times New Roman" w:cs="Times New Roman"/>
          <w:color w:val="auto"/>
          <w:highlight w:val="none"/>
        </w:rPr>
      </w:pPr>
      <w:bookmarkStart w:id="58" w:name="_Toc20447"/>
      <w:bookmarkStart w:id="59" w:name="_Toc15377214"/>
      <w:bookmarkStart w:id="60" w:name="_Toc15396608"/>
      <w:r>
        <w:rPr>
          <w:rFonts w:hint="default" w:ascii="Times New Roman" w:hAnsi="Times New Roman" w:eastAsia="黑体" w:cs="Times New Roman"/>
          <w:color w:val="auto"/>
          <w:sz w:val="32"/>
          <w:szCs w:val="32"/>
          <w:highlight w:val="none"/>
        </w:rPr>
        <w:t>六</w:t>
      </w:r>
      <w:r>
        <w:rPr>
          <w:rFonts w:hint="default" w:ascii="Times New Roman" w:hAnsi="Times New Roman" w:eastAsia="黑体" w:cs="Times New Roman"/>
          <w:b/>
          <w:color w:val="auto"/>
          <w:sz w:val="32"/>
          <w:szCs w:val="32"/>
          <w:highlight w:val="none"/>
        </w:rPr>
        <w:t>、</w:t>
      </w:r>
      <w:r>
        <w:rPr>
          <w:rFonts w:hint="default" w:ascii="Times New Roman" w:hAnsi="Times New Roman" w:eastAsia="黑体" w:cs="Times New Roman"/>
          <w:b/>
          <w:color w:val="auto"/>
          <w:sz w:val="32"/>
          <w:szCs w:val="32"/>
          <w:highlight w:val="none"/>
        </w:rPr>
        <w:t>一</w:t>
      </w:r>
      <w:r>
        <w:rPr>
          <w:rStyle w:val="33"/>
          <w:rFonts w:hint="default" w:ascii="Times New Roman" w:hAnsi="Times New Roman" w:eastAsia="黑体" w:cs="Times New Roman"/>
          <w:b w:val="0"/>
          <w:color w:val="auto"/>
          <w:highlight w:val="none"/>
        </w:rPr>
        <w:t>般公共预算财政拨款基本支出决算情况说明</w:t>
      </w:r>
      <w:bookmarkEnd w:id="58"/>
      <w:bookmarkEnd w:id="59"/>
      <w:bookmarkEnd w:id="60"/>
      <w:r>
        <w:rPr>
          <w:rStyle w:val="33"/>
          <w:rFonts w:hint="default" w:ascii="Times New Roman" w:hAnsi="Times New Roman" w:eastAsia="黑体" w:cs="Times New Roman"/>
          <w:b w:val="0"/>
          <w:color w:val="auto"/>
          <w:highlight w:val="none"/>
        </w:rPr>
        <w:tab/>
      </w:r>
    </w:p>
    <w:p w14:paraId="5F1B1FC1">
      <w:pPr>
        <w:ind w:firstLine="800" w:firstLineChars="25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2023年度一般公共预算财政拨款基本支出25.79万元，其中：</w:t>
      </w:r>
    </w:p>
    <w:p w14:paraId="7EB793B7">
      <w:pPr>
        <w:ind w:firstLine="800" w:firstLineChars="250"/>
        <w:rPr>
          <w:rFonts w:hint="default" w:ascii="Times New Roman" w:hAnsi="Times New Roman" w:cs="Times New Roman"/>
          <w:lang w:val="en-US" w:eastAsia="zh-CN"/>
        </w:rPr>
      </w:pPr>
      <w:r>
        <w:rPr>
          <w:rFonts w:hint="default" w:ascii="Times New Roman" w:hAnsi="Times New Roman" w:eastAsia="仿宋_GB2312" w:cs="Times New Roman"/>
          <w:kern w:val="2"/>
          <w:sz w:val="32"/>
          <w:szCs w:val="32"/>
          <w:lang w:val="en-US" w:eastAsia="zh-CN" w:bidi="ar-SA"/>
        </w:rPr>
        <w:t>人员经费20.1万元，主要包括：津贴补贴、奖金、绩效工资、机关事业单位基本养老保险缴费、职业年金缴费、其他社会保障缴费、其他工资福利支出、住房公积金等。</w:t>
      </w:r>
      <w:r>
        <w:rPr>
          <w:rFonts w:hint="default" w:ascii="Times New Roman" w:hAnsi="Times New Roman" w:eastAsia="仿宋_GB2312" w:cs="Times New Roman"/>
          <w:kern w:val="2"/>
          <w:sz w:val="32"/>
          <w:szCs w:val="32"/>
          <w:lang w:val="en-US" w:eastAsia="zh-CN" w:bidi="ar-SA"/>
        </w:rPr>
        <w:br w:type="textWrapping"/>
      </w:r>
      <w:r>
        <w:rPr>
          <w:rFonts w:hint="default" w:ascii="Times New Roman" w:hAnsi="Times New Roman" w:eastAsia="仿宋_GB2312" w:cs="Times New Roman"/>
          <w:kern w:val="2"/>
          <w:sz w:val="32"/>
          <w:szCs w:val="32"/>
          <w:lang w:val="en-US" w:eastAsia="zh-CN" w:bidi="ar-SA"/>
        </w:rPr>
        <w:t>　　公用经费5.69万元，主要包括：办公费、印刷费、手续费、邮电费、差旅费、因公出国（境）费用、维修（护）费、公务接待费、劳务费、工会经费、福利费、其他交通费、其他商品和服务支出等</w:t>
      </w:r>
      <w:r>
        <w:rPr>
          <w:rFonts w:hint="default" w:ascii="Times New Roman" w:hAnsi="Times New Roman" w:eastAsia="仿宋_GB2312" w:cs="Times New Roman"/>
          <w:kern w:val="2"/>
          <w:sz w:val="32"/>
          <w:szCs w:val="32"/>
          <w:lang w:val="en-US" w:eastAsia="zh-CN" w:bidi="ar-SA"/>
        </w:rPr>
        <w:t>。</w:t>
      </w:r>
    </w:p>
    <w:p w14:paraId="279BF920">
      <w:pPr>
        <w:ind w:firstLine="800" w:firstLineChars="25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（注：数据来源于财决07表和财决08-1表，仅罗列本部门实际支出涉及的经济分类科目。）</w:t>
      </w:r>
    </w:p>
    <w:p w14:paraId="0516301D">
      <w:pPr>
        <w:spacing w:line="600" w:lineRule="exact"/>
        <w:ind w:firstLine="640" w:firstLineChars="200"/>
        <w:outlineLvl w:val="1"/>
        <w:rPr>
          <w:rStyle w:val="33"/>
          <w:rFonts w:hint="default" w:ascii="Times New Roman" w:hAnsi="Times New Roman" w:eastAsia="黑体" w:cs="Times New Roman"/>
          <w:b w:val="0"/>
          <w:color w:val="auto"/>
          <w:highlight w:val="none"/>
        </w:rPr>
      </w:pPr>
      <w:bookmarkStart w:id="61" w:name="_Toc15396609"/>
      <w:bookmarkStart w:id="62" w:name="_Toc27354"/>
      <w:bookmarkStart w:id="63" w:name="_Toc15377215"/>
      <w:r>
        <w:rPr>
          <w:rFonts w:hint="default" w:ascii="Times New Roman" w:hAnsi="Times New Roman" w:eastAsia="黑体" w:cs="Times New Roman"/>
          <w:color w:val="auto"/>
          <w:sz w:val="32"/>
          <w:szCs w:val="32"/>
          <w:highlight w:val="none"/>
        </w:rPr>
        <w:t>七、</w:t>
      </w:r>
      <w:r>
        <w:rPr>
          <w:rStyle w:val="33"/>
          <w:rFonts w:hint="default" w:ascii="Times New Roman" w:hAnsi="Times New Roman" w:eastAsia="黑体" w:cs="Times New Roman"/>
          <w:b w:val="0"/>
          <w:color w:val="auto"/>
          <w:highlight w:val="none"/>
        </w:rPr>
        <w:t>财政拨款</w:t>
      </w:r>
      <w:r>
        <w:rPr>
          <w:rStyle w:val="33"/>
          <w:rFonts w:hint="default" w:ascii="Times New Roman" w:hAnsi="Times New Roman" w:eastAsia="黑体" w:cs="Times New Roman"/>
          <w:color w:val="auto"/>
          <w:highlight w:val="none"/>
        </w:rPr>
        <w:t>“</w:t>
      </w:r>
      <w:r>
        <w:rPr>
          <w:rStyle w:val="33"/>
          <w:rFonts w:hint="default" w:ascii="Times New Roman" w:hAnsi="Times New Roman" w:eastAsia="黑体" w:cs="Times New Roman"/>
          <w:b w:val="0"/>
          <w:color w:val="auto"/>
          <w:highlight w:val="none"/>
        </w:rPr>
        <w:t>三公”经费支出决算情况说明</w:t>
      </w:r>
      <w:bookmarkEnd w:id="61"/>
      <w:bookmarkEnd w:id="62"/>
      <w:bookmarkEnd w:id="63"/>
    </w:p>
    <w:p w14:paraId="4117654F">
      <w:pPr>
        <w:spacing w:line="600" w:lineRule="exact"/>
        <w:ind w:firstLine="640"/>
        <w:outlineLvl w:val="2"/>
        <w:rPr>
          <w:rFonts w:hint="default" w:ascii="Times New Roman" w:hAnsi="Times New Roman" w:eastAsia="楷体_GB2312" w:cs="Times New Roman"/>
          <w:b/>
          <w:bCs w:val="0"/>
          <w:color w:val="auto"/>
          <w:sz w:val="32"/>
          <w:szCs w:val="32"/>
          <w:highlight w:val="none"/>
        </w:rPr>
      </w:pPr>
      <w:bookmarkStart w:id="64" w:name="_Toc9267"/>
      <w:bookmarkStart w:id="65" w:name="_Toc15377216"/>
      <w:r>
        <w:rPr>
          <w:rFonts w:hint="default" w:ascii="Times New Roman" w:hAnsi="Times New Roman" w:eastAsia="楷体_GB2312" w:cs="Times New Roman"/>
          <w:b/>
          <w:bCs w:val="0"/>
          <w:color w:val="auto"/>
          <w:sz w:val="32"/>
          <w:szCs w:val="32"/>
          <w:highlight w:val="none"/>
        </w:rPr>
        <w:t>（一）“三公”经费财政拨款支出决算总体情况说明</w:t>
      </w:r>
      <w:bookmarkEnd w:id="64"/>
      <w:bookmarkEnd w:id="65"/>
    </w:p>
    <w:p w14:paraId="2E536DA2">
      <w:pPr>
        <w:ind w:firstLine="800" w:firstLineChars="25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2023年度“三公”经费财政拨款支出决算为0万元，完成预算0%，与上年度持平。主要原因是未进行公务接待。</w:t>
      </w:r>
    </w:p>
    <w:p w14:paraId="7841504F">
      <w:pPr>
        <w:ind w:firstLine="800" w:firstLineChars="25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（注：上述“预算”口径为全年预算数，包括一般公共预算和政府性基金预算财政拨款支出决算情况。）</w:t>
      </w:r>
    </w:p>
    <w:p w14:paraId="65F1C127">
      <w:pPr>
        <w:spacing w:line="600" w:lineRule="exact"/>
        <w:ind w:firstLine="640"/>
        <w:outlineLvl w:val="2"/>
        <w:rPr>
          <w:rFonts w:hint="default" w:ascii="Times New Roman" w:hAnsi="Times New Roman" w:eastAsia="楷体_GB2312" w:cs="Times New Roman"/>
          <w:b/>
          <w:color w:val="auto"/>
          <w:sz w:val="32"/>
          <w:szCs w:val="32"/>
          <w:highlight w:val="none"/>
        </w:rPr>
      </w:pPr>
      <w:bookmarkStart w:id="66" w:name="_Toc15377217"/>
      <w:bookmarkStart w:id="67" w:name="_Toc28410"/>
      <w:r>
        <w:rPr>
          <w:rFonts w:hint="default" w:ascii="Times New Roman" w:hAnsi="Times New Roman" w:eastAsia="楷体_GB2312" w:cs="Times New Roman"/>
          <w:b/>
          <w:color w:val="auto"/>
          <w:sz w:val="32"/>
          <w:szCs w:val="32"/>
          <w:highlight w:val="none"/>
        </w:rPr>
        <w:t>（二）“三公”经费财政拨款支出决算具体情况说明</w:t>
      </w:r>
      <w:bookmarkEnd w:id="66"/>
      <w:bookmarkEnd w:id="67"/>
    </w:p>
    <w:p w14:paraId="13DA789A">
      <w:pPr>
        <w:ind w:firstLine="800" w:firstLineChars="25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2023年度“三公”经费财政拨款支出决算中，因公出国（境）费支出决算0万元，占0%；公务用车购置及运行维护费支出决算0万元，占0%；公务接待费支出决算0万元，占0%。具体情况如下：</w:t>
      </w:r>
    </w:p>
    <w:p w14:paraId="5480D9FE">
      <w:pPr>
        <w:ind w:firstLine="800" w:firstLineChars="25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（图7：“三公”经费财政拨款支出结构）（饼状图）</w:t>
      </w:r>
    </w:p>
    <w:p w14:paraId="0AC933DD">
      <w:pPr>
        <w:numPr>
          <w:ilvl w:val="0"/>
          <w:numId w:val="0"/>
        </w:numPr>
        <w:spacing w:line="600"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1.因公出国（境）经费支出0万元，完成预算0%。全年安排因公出国（境）团组0次，出国（境）0人。因公出国（境）支出决算和2022年度持平。</w:t>
      </w:r>
    </w:p>
    <w:p w14:paraId="6A1539A9">
      <w:pPr>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2.公务用车购置及运行维护费支出0万元,完成预算0%。</w:t>
      </w:r>
      <w:bookmarkStart w:id="68" w:name="OLE_LINK24"/>
      <w:r>
        <w:rPr>
          <w:rFonts w:hint="default" w:ascii="Times New Roman" w:hAnsi="Times New Roman" w:eastAsia="仿宋_GB2312" w:cs="Times New Roman"/>
          <w:kern w:val="2"/>
          <w:sz w:val="32"/>
          <w:szCs w:val="32"/>
          <w:lang w:val="en-US" w:eastAsia="zh-CN" w:bidi="ar-SA"/>
        </w:rPr>
        <w:t>公务用车购置及运行维护费支出决算和2022年持平。</w:t>
      </w:r>
      <w:bookmarkEnd w:id="68"/>
    </w:p>
    <w:p w14:paraId="63E7EECA">
      <w:pPr>
        <w:ind w:firstLine="800" w:firstLineChars="25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其中：公务用车购置支出0万元。全年按规定更新购置公务用车0辆，其中：轿车0辆、金额0万元，越野车0辆、金额0万元，载客汽车0辆、金额0万元。截至2023年12月31日，单位共有公务用车0辆，其中：轿车0辆、越野车0辆、载客汽车0辆。</w:t>
      </w:r>
    </w:p>
    <w:p w14:paraId="13189FC1">
      <w:pPr>
        <w:ind w:firstLine="800" w:firstLineChars="25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公务用车运行维护费支出0万元。主要用于…（具体工作）等所需的公务用车燃料费、维修费、过路过桥费、保险费等支出。</w:t>
      </w:r>
    </w:p>
    <w:p w14:paraId="266400BB">
      <w:pPr>
        <w:ind w:firstLine="800" w:firstLineChars="25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3.公务接待费支出0万元，完成预算0%。公务接待费支出决算和2022年度持平。</w:t>
      </w:r>
    </w:p>
    <w:p w14:paraId="3AF10294">
      <w:pPr>
        <w:ind w:firstLine="800" w:firstLineChars="25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国内公务接待支出0万元，主要用于……(执行公务、开展业务活动开支的交通费、住宿费、用餐费等)。国内公务接待0批次，0人次（不包括陪同人员），共计支出0万元，具体内容包括：…（接待具体项目、金额）。</w:t>
      </w:r>
    </w:p>
    <w:p w14:paraId="4F506D58">
      <w:pPr>
        <w:ind w:firstLine="800" w:firstLineChars="250"/>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kern w:val="2"/>
          <w:sz w:val="32"/>
          <w:szCs w:val="32"/>
          <w:lang w:val="en-US" w:eastAsia="zh-CN" w:bidi="ar-SA"/>
        </w:rPr>
        <w:t>外事接待支出0万元，主要用于接待…（具体项目）。外事接待0批次，0人次（不包括陪同人员），共计支出0万元。</w:t>
      </w:r>
    </w:p>
    <w:p w14:paraId="2C76F024">
      <w:pPr>
        <w:spacing w:line="600" w:lineRule="exact"/>
        <w:ind w:firstLine="640" w:firstLineChars="200"/>
        <w:outlineLvl w:val="1"/>
        <w:rPr>
          <w:rStyle w:val="33"/>
          <w:rFonts w:hint="default" w:ascii="Times New Roman" w:hAnsi="Times New Roman" w:eastAsia="黑体" w:cs="Times New Roman"/>
          <w:color w:val="auto"/>
          <w:highlight w:val="none"/>
        </w:rPr>
      </w:pPr>
      <w:bookmarkStart w:id="69" w:name="_Toc10524"/>
      <w:bookmarkStart w:id="70" w:name="_Toc15377218"/>
      <w:bookmarkStart w:id="71" w:name="_Toc15396610"/>
      <w:r>
        <w:rPr>
          <w:rFonts w:hint="default" w:ascii="Times New Roman" w:hAnsi="Times New Roman" w:eastAsia="黑体" w:cs="Times New Roman"/>
          <w:color w:val="auto"/>
          <w:sz w:val="32"/>
          <w:szCs w:val="32"/>
          <w:highlight w:val="none"/>
        </w:rPr>
        <w:t>八、</w:t>
      </w:r>
      <w:r>
        <w:rPr>
          <w:rStyle w:val="33"/>
          <w:rFonts w:hint="default" w:ascii="Times New Roman" w:hAnsi="Times New Roman" w:eastAsia="黑体" w:cs="Times New Roman"/>
          <w:b w:val="0"/>
          <w:color w:val="auto"/>
          <w:highlight w:val="none"/>
        </w:rPr>
        <w:t>政府性基金预算支出决算情况说明</w:t>
      </w:r>
      <w:bookmarkEnd w:id="69"/>
      <w:bookmarkEnd w:id="70"/>
      <w:bookmarkEnd w:id="71"/>
    </w:p>
    <w:p w14:paraId="37EA137F">
      <w:pPr>
        <w:spacing w:line="600" w:lineRule="exact"/>
        <w:ind w:firstLine="640" w:firstLineChars="200"/>
        <w:outlineLvl w:val="2"/>
        <w:rPr>
          <w:rFonts w:hint="default" w:ascii="Times New Roman" w:hAnsi="Times New Roman" w:eastAsia="仿宋_GB2312" w:cs="Times New Roman"/>
          <w:b w:val="0"/>
          <w:bCs/>
          <w:color w:val="auto"/>
          <w:sz w:val="32"/>
          <w:szCs w:val="32"/>
          <w:highlight w:val="none"/>
        </w:rPr>
      </w:pPr>
      <w:bookmarkStart w:id="72" w:name="_Toc28291"/>
      <w:r>
        <w:rPr>
          <w:rFonts w:hint="default" w:ascii="Times New Roman" w:hAnsi="Times New Roman" w:eastAsia="仿宋_GB2312" w:cs="Times New Roman"/>
          <w:b w:val="0"/>
          <w:bCs/>
          <w:color w:val="auto"/>
          <w:sz w:val="32"/>
          <w:szCs w:val="32"/>
          <w:highlight w:val="none"/>
        </w:rPr>
        <w:t>20</w:t>
      </w:r>
      <w:r>
        <w:rPr>
          <w:rFonts w:hint="default" w:ascii="Times New Roman" w:hAnsi="Times New Roman" w:eastAsia="仿宋_GB2312" w:cs="Times New Roman"/>
          <w:b w:val="0"/>
          <w:bCs/>
          <w:color w:val="auto"/>
          <w:sz w:val="32"/>
          <w:szCs w:val="32"/>
          <w:highlight w:val="none"/>
          <w:lang w:val="en-US" w:eastAsia="zh-CN"/>
        </w:rPr>
        <w:t>2</w:t>
      </w:r>
      <w:r>
        <w:rPr>
          <w:rFonts w:hint="default" w:ascii="Times New Roman" w:hAnsi="Times New Roman" w:eastAsia="仿宋_GB2312" w:cs="Times New Roman"/>
          <w:b w:val="0"/>
          <w:bCs/>
          <w:color w:val="auto"/>
          <w:sz w:val="32"/>
          <w:szCs w:val="32"/>
          <w:highlight w:val="none"/>
          <w:lang w:val="en-US" w:eastAsia="zh-CN"/>
        </w:rPr>
        <w:t>3</w:t>
      </w:r>
      <w:r>
        <w:rPr>
          <w:rFonts w:hint="default" w:ascii="Times New Roman" w:hAnsi="Times New Roman" w:eastAsia="仿宋_GB2312" w:cs="Times New Roman"/>
          <w:b w:val="0"/>
          <w:bCs/>
          <w:color w:val="auto"/>
          <w:sz w:val="32"/>
          <w:szCs w:val="32"/>
          <w:highlight w:val="none"/>
        </w:rPr>
        <w:t>年政府性基金预算</w:t>
      </w:r>
      <w:r>
        <w:rPr>
          <w:rFonts w:hint="default" w:ascii="Times New Roman" w:hAnsi="Times New Roman" w:eastAsia="仿宋_GB2312" w:cs="Times New Roman"/>
          <w:b w:val="0"/>
          <w:bCs/>
          <w:color w:val="auto"/>
          <w:sz w:val="32"/>
          <w:szCs w:val="32"/>
          <w:highlight w:val="none"/>
          <w:lang w:eastAsia="zh-CN"/>
        </w:rPr>
        <w:t>财政</w:t>
      </w:r>
      <w:r>
        <w:rPr>
          <w:rFonts w:hint="default" w:ascii="Times New Roman" w:hAnsi="Times New Roman" w:eastAsia="仿宋_GB2312" w:cs="Times New Roman"/>
          <w:b w:val="0"/>
          <w:bCs/>
          <w:color w:val="auto"/>
          <w:sz w:val="32"/>
          <w:szCs w:val="32"/>
          <w:highlight w:val="none"/>
        </w:rPr>
        <w:t>拨款支出</w:t>
      </w:r>
      <w:r>
        <w:rPr>
          <w:rFonts w:hint="default" w:ascii="Times New Roman" w:hAnsi="Times New Roman" w:eastAsia="仿宋_GB2312" w:cs="Times New Roman"/>
          <w:b w:val="0"/>
          <w:bCs/>
          <w:color w:val="auto"/>
          <w:sz w:val="32"/>
          <w:szCs w:val="32"/>
          <w:highlight w:val="none"/>
          <w:lang w:val="en-US" w:eastAsia="zh-CN"/>
        </w:rPr>
        <w:t>0</w:t>
      </w:r>
      <w:r>
        <w:rPr>
          <w:rFonts w:hint="default" w:ascii="Times New Roman" w:hAnsi="Times New Roman" w:eastAsia="仿宋_GB2312" w:cs="Times New Roman"/>
          <w:b w:val="0"/>
          <w:bCs/>
          <w:color w:val="auto"/>
          <w:sz w:val="32"/>
          <w:szCs w:val="32"/>
          <w:highlight w:val="none"/>
        </w:rPr>
        <w:t>万元。</w:t>
      </w:r>
      <w:bookmarkEnd w:id="72"/>
    </w:p>
    <w:p w14:paraId="5B10FA00">
      <w:pPr>
        <w:numPr>
          <w:ilvl w:val="0"/>
          <w:numId w:val="2"/>
        </w:numPr>
        <w:spacing w:line="600" w:lineRule="exact"/>
        <w:ind w:firstLine="640"/>
        <w:outlineLvl w:val="1"/>
        <w:rPr>
          <w:rStyle w:val="33"/>
          <w:rFonts w:hint="default" w:ascii="Times New Roman" w:hAnsi="Times New Roman" w:eastAsia="黑体" w:cs="Times New Roman"/>
          <w:b w:val="0"/>
          <w:color w:val="auto"/>
          <w:highlight w:val="none"/>
        </w:rPr>
      </w:pPr>
      <w:bookmarkStart w:id="73" w:name="_Toc15396611"/>
      <w:bookmarkStart w:id="74" w:name="_Toc14686"/>
      <w:bookmarkStart w:id="75" w:name="_Toc15377219"/>
      <w:r>
        <w:rPr>
          <w:rStyle w:val="33"/>
          <w:rFonts w:hint="default" w:ascii="Times New Roman" w:hAnsi="Times New Roman" w:eastAsia="黑体" w:cs="Times New Roman"/>
          <w:b w:val="0"/>
          <w:color w:val="auto"/>
          <w:highlight w:val="none"/>
        </w:rPr>
        <w:t>国有资本经营预算支出决算情况说明</w:t>
      </w:r>
      <w:bookmarkEnd w:id="73"/>
      <w:bookmarkEnd w:id="74"/>
      <w:bookmarkEnd w:id="75"/>
    </w:p>
    <w:p w14:paraId="380CB472">
      <w:pPr>
        <w:spacing w:line="600" w:lineRule="exact"/>
        <w:ind w:firstLine="640" w:firstLineChars="200"/>
        <w:outlineLvl w:val="2"/>
        <w:rPr>
          <w:rFonts w:hint="default" w:ascii="Times New Roman" w:hAnsi="Times New Roman" w:eastAsia="仿宋_GB2312" w:cs="Times New Roman"/>
          <w:b w:val="0"/>
          <w:bCs/>
          <w:color w:val="auto"/>
          <w:sz w:val="32"/>
          <w:szCs w:val="32"/>
          <w:highlight w:val="none"/>
        </w:rPr>
      </w:pPr>
      <w:bookmarkStart w:id="76" w:name="_Toc25678"/>
      <w:r>
        <w:rPr>
          <w:rFonts w:hint="default" w:ascii="Times New Roman" w:hAnsi="Times New Roman" w:eastAsia="仿宋_GB2312" w:cs="Times New Roman"/>
          <w:b w:val="0"/>
          <w:bCs/>
          <w:color w:val="auto"/>
          <w:sz w:val="32"/>
          <w:szCs w:val="32"/>
          <w:highlight w:val="none"/>
        </w:rPr>
        <w:t>20</w:t>
      </w:r>
      <w:r>
        <w:rPr>
          <w:rFonts w:hint="default" w:ascii="Times New Roman" w:hAnsi="Times New Roman" w:eastAsia="仿宋_GB2312" w:cs="Times New Roman"/>
          <w:b w:val="0"/>
          <w:bCs/>
          <w:color w:val="auto"/>
          <w:sz w:val="32"/>
          <w:szCs w:val="32"/>
          <w:highlight w:val="none"/>
          <w:lang w:val="en-US" w:eastAsia="zh-CN"/>
        </w:rPr>
        <w:t>2</w:t>
      </w:r>
      <w:r>
        <w:rPr>
          <w:rFonts w:hint="default" w:ascii="Times New Roman" w:hAnsi="Times New Roman" w:eastAsia="仿宋_GB2312" w:cs="Times New Roman"/>
          <w:b w:val="0"/>
          <w:bCs/>
          <w:color w:val="auto"/>
          <w:sz w:val="32"/>
          <w:szCs w:val="32"/>
          <w:highlight w:val="none"/>
          <w:lang w:val="en-US" w:eastAsia="zh-CN"/>
        </w:rPr>
        <w:t>3</w:t>
      </w:r>
      <w:r>
        <w:rPr>
          <w:rFonts w:hint="default" w:ascii="Times New Roman" w:hAnsi="Times New Roman" w:eastAsia="仿宋_GB2312" w:cs="Times New Roman"/>
          <w:b w:val="0"/>
          <w:bCs/>
          <w:color w:val="auto"/>
          <w:sz w:val="32"/>
          <w:szCs w:val="32"/>
          <w:highlight w:val="none"/>
        </w:rPr>
        <w:t>年国有资本经营预算</w:t>
      </w:r>
      <w:r>
        <w:rPr>
          <w:rFonts w:hint="default" w:ascii="Times New Roman" w:hAnsi="Times New Roman" w:eastAsia="仿宋_GB2312" w:cs="Times New Roman"/>
          <w:b w:val="0"/>
          <w:bCs/>
          <w:color w:val="auto"/>
          <w:sz w:val="32"/>
          <w:szCs w:val="32"/>
          <w:highlight w:val="none"/>
          <w:lang w:eastAsia="zh-CN"/>
        </w:rPr>
        <w:t>财政</w:t>
      </w:r>
      <w:r>
        <w:rPr>
          <w:rFonts w:hint="default" w:ascii="Times New Roman" w:hAnsi="Times New Roman" w:eastAsia="仿宋_GB2312" w:cs="Times New Roman"/>
          <w:b w:val="0"/>
          <w:bCs/>
          <w:color w:val="auto"/>
          <w:sz w:val="32"/>
          <w:szCs w:val="32"/>
          <w:highlight w:val="none"/>
        </w:rPr>
        <w:t>拨款支出</w:t>
      </w:r>
      <w:r>
        <w:rPr>
          <w:rFonts w:hint="default" w:ascii="Times New Roman" w:hAnsi="Times New Roman" w:eastAsia="仿宋_GB2312" w:cs="Times New Roman"/>
          <w:b w:val="0"/>
          <w:bCs/>
          <w:color w:val="auto"/>
          <w:sz w:val="32"/>
          <w:szCs w:val="32"/>
          <w:highlight w:val="none"/>
          <w:lang w:val="en-US" w:eastAsia="zh-CN"/>
        </w:rPr>
        <w:t>0</w:t>
      </w:r>
      <w:r>
        <w:rPr>
          <w:rFonts w:hint="default" w:ascii="Times New Roman" w:hAnsi="Times New Roman" w:eastAsia="仿宋_GB2312" w:cs="Times New Roman"/>
          <w:b w:val="0"/>
          <w:bCs/>
          <w:color w:val="auto"/>
          <w:sz w:val="32"/>
          <w:szCs w:val="32"/>
          <w:highlight w:val="none"/>
        </w:rPr>
        <w:t>万元。</w:t>
      </w:r>
      <w:bookmarkEnd w:id="76"/>
    </w:p>
    <w:p w14:paraId="74466E32">
      <w:pPr>
        <w:numPr>
          <w:ilvl w:val="0"/>
          <w:numId w:val="2"/>
        </w:numPr>
        <w:spacing w:line="600" w:lineRule="exact"/>
        <w:ind w:firstLine="640"/>
        <w:outlineLvl w:val="1"/>
        <w:rPr>
          <w:rStyle w:val="33"/>
          <w:rFonts w:hint="default" w:ascii="Times New Roman" w:hAnsi="Times New Roman" w:eastAsia="黑体" w:cs="Times New Roman"/>
          <w:b w:val="0"/>
          <w:color w:val="auto"/>
          <w:highlight w:val="none"/>
        </w:rPr>
      </w:pPr>
      <w:bookmarkStart w:id="77" w:name="_Toc15377221"/>
      <w:bookmarkStart w:id="78" w:name="_Toc15396612"/>
      <w:bookmarkStart w:id="79" w:name="_Toc27368"/>
      <w:r>
        <w:rPr>
          <w:rStyle w:val="33"/>
          <w:rFonts w:hint="default" w:ascii="Times New Roman" w:hAnsi="Times New Roman" w:eastAsia="黑体" w:cs="Times New Roman"/>
          <w:b w:val="0"/>
          <w:color w:val="auto"/>
          <w:highlight w:val="none"/>
        </w:rPr>
        <w:t>其他重要事项的情况说明</w:t>
      </w:r>
      <w:bookmarkEnd w:id="77"/>
      <w:bookmarkEnd w:id="78"/>
      <w:bookmarkEnd w:id="79"/>
    </w:p>
    <w:p w14:paraId="3CF8D2A0">
      <w:pPr>
        <w:spacing w:line="600" w:lineRule="exact"/>
        <w:ind w:firstLine="643" w:firstLineChars="200"/>
        <w:outlineLvl w:val="2"/>
        <w:rPr>
          <w:rFonts w:hint="default" w:ascii="Times New Roman" w:hAnsi="Times New Roman" w:eastAsia="楷体_GB2312" w:cs="Times New Roman"/>
          <w:b/>
          <w:bCs w:val="0"/>
          <w:color w:val="auto"/>
          <w:sz w:val="32"/>
          <w:szCs w:val="32"/>
          <w:highlight w:val="none"/>
        </w:rPr>
      </w:pPr>
      <w:bookmarkStart w:id="80" w:name="_Toc778"/>
      <w:bookmarkStart w:id="81" w:name="_Toc15377222"/>
      <w:r>
        <w:rPr>
          <w:rFonts w:hint="default" w:ascii="Times New Roman" w:hAnsi="Times New Roman" w:eastAsia="楷体_GB2312" w:cs="Times New Roman"/>
          <w:b/>
          <w:bCs w:val="0"/>
          <w:color w:val="auto"/>
          <w:sz w:val="32"/>
          <w:szCs w:val="32"/>
          <w:highlight w:val="none"/>
        </w:rPr>
        <w:t>（一）机关运行经费支出情况</w:t>
      </w:r>
      <w:bookmarkEnd w:id="80"/>
      <w:bookmarkEnd w:id="81"/>
    </w:p>
    <w:p w14:paraId="75B29E59">
      <w:pPr>
        <w:spacing w:line="600" w:lineRule="exact"/>
        <w:ind w:firstLine="640" w:firstLineChars="200"/>
        <w:outlineLvl w:val="1"/>
        <w:rPr>
          <w:rFonts w:hint="default" w:ascii="Times New Roman" w:hAnsi="Times New Roman" w:eastAsia="仿宋_GB2312" w:cs="Times New Roman"/>
          <w:b w:val="0"/>
          <w:bCs/>
          <w:color w:val="auto"/>
          <w:sz w:val="32"/>
          <w:szCs w:val="32"/>
          <w:highlight w:val="none"/>
          <w:lang w:val="en-US" w:eastAsia="zh-CN"/>
        </w:rPr>
      </w:pPr>
      <w:bookmarkStart w:id="82" w:name="_Toc7013"/>
      <w:r>
        <w:rPr>
          <w:rFonts w:hint="default" w:ascii="Times New Roman" w:hAnsi="Times New Roman" w:eastAsia="仿宋_GB2312" w:cs="Times New Roman"/>
          <w:b w:val="0"/>
          <w:bCs/>
          <w:color w:val="auto"/>
          <w:sz w:val="32"/>
          <w:szCs w:val="32"/>
          <w:highlight w:val="none"/>
          <w:lang w:eastAsia="zh-CN"/>
        </w:rPr>
        <w:t>2023</w:t>
      </w:r>
      <w:r>
        <w:rPr>
          <w:rFonts w:hint="default" w:ascii="Times New Roman" w:hAnsi="Times New Roman" w:eastAsia="仿宋_GB2312" w:cs="Times New Roman"/>
          <w:b w:val="0"/>
          <w:bCs/>
          <w:color w:val="auto"/>
          <w:sz w:val="32"/>
          <w:szCs w:val="32"/>
          <w:highlight w:val="none"/>
        </w:rPr>
        <w:t>年</w:t>
      </w:r>
      <w:r>
        <w:rPr>
          <w:rFonts w:hint="default" w:ascii="Times New Roman" w:hAnsi="Times New Roman" w:eastAsia="仿宋_GB2312" w:cs="Times New Roman"/>
          <w:b w:val="0"/>
          <w:bCs/>
          <w:color w:val="auto"/>
          <w:sz w:val="32"/>
          <w:szCs w:val="32"/>
          <w:highlight w:val="none"/>
          <w:lang w:eastAsia="zh-CN"/>
        </w:rPr>
        <w:t>度</w:t>
      </w:r>
      <w:r>
        <w:rPr>
          <w:rFonts w:hint="default" w:ascii="Times New Roman" w:hAnsi="Times New Roman" w:eastAsia="仿宋_GB2312" w:cs="Times New Roman"/>
          <w:b w:val="0"/>
          <w:bCs/>
          <w:color w:val="auto"/>
          <w:sz w:val="32"/>
          <w:szCs w:val="32"/>
          <w:highlight w:val="none"/>
        </w:rPr>
        <w:t>，四川省遂宁</w:t>
      </w:r>
      <w:r>
        <w:rPr>
          <w:rFonts w:hint="default" w:ascii="Times New Roman" w:hAnsi="Times New Roman" w:eastAsia="仿宋_GB2312" w:cs="Times New Roman"/>
          <w:b w:val="0"/>
          <w:bCs/>
          <w:color w:val="auto"/>
          <w:sz w:val="32"/>
          <w:szCs w:val="32"/>
          <w:highlight w:val="none"/>
          <w:lang w:val="en-US" w:eastAsia="zh-CN"/>
        </w:rPr>
        <w:t>高新</w:t>
      </w:r>
      <w:r>
        <w:rPr>
          <w:rFonts w:hint="default" w:ascii="Times New Roman" w:hAnsi="Times New Roman" w:eastAsia="仿宋_GB2312" w:cs="Times New Roman"/>
          <w:b w:val="0"/>
          <w:bCs/>
          <w:color w:val="auto"/>
          <w:sz w:val="32"/>
          <w:szCs w:val="32"/>
          <w:highlight w:val="none"/>
        </w:rPr>
        <w:t>区</w:t>
      </w:r>
      <w:r>
        <w:rPr>
          <w:rFonts w:hint="default" w:ascii="Times New Roman" w:hAnsi="Times New Roman" w:eastAsia="仿宋_GB2312" w:cs="Times New Roman"/>
          <w:b w:val="0"/>
          <w:bCs/>
          <w:color w:val="auto"/>
          <w:sz w:val="32"/>
          <w:szCs w:val="32"/>
          <w:highlight w:val="none"/>
          <w:lang w:eastAsia="zh-CN"/>
        </w:rPr>
        <w:t>退役军人</w:t>
      </w:r>
      <w:r>
        <w:rPr>
          <w:rFonts w:hint="default" w:ascii="Times New Roman" w:hAnsi="Times New Roman" w:eastAsia="仿宋_GB2312" w:cs="Times New Roman"/>
          <w:b w:val="0"/>
          <w:bCs/>
          <w:color w:val="auto"/>
          <w:sz w:val="32"/>
          <w:szCs w:val="32"/>
          <w:highlight w:val="none"/>
          <w:lang w:val="en-US" w:eastAsia="zh-CN"/>
        </w:rPr>
        <w:t>服务中心</w:t>
      </w:r>
      <w:r>
        <w:rPr>
          <w:rFonts w:hint="default" w:ascii="Times New Roman" w:hAnsi="Times New Roman" w:eastAsia="仿宋_GB2312" w:cs="Times New Roman"/>
          <w:b w:val="0"/>
          <w:bCs/>
          <w:color w:val="auto"/>
          <w:sz w:val="32"/>
          <w:szCs w:val="32"/>
          <w:highlight w:val="none"/>
        </w:rPr>
        <w:t>机关运行经费支出</w:t>
      </w:r>
      <w:r>
        <w:rPr>
          <w:rFonts w:hint="default" w:ascii="Times New Roman" w:hAnsi="Times New Roman" w:eastAsia="仿宋_GB2312" w:cs="Times New Roman"/>
          <w:b w:val="0"/>
          <w:bCs/>
          <w:color w:val="auto"/>
          <w:sz w:val="32"/>
          <w:szCs w:val="32"/>
          <w:highlight w:val="none"/>
          <w:lang w:val="en-US" w:eastAsia="zh-CN"/>
        </w:rPr>
        <w:t>5.69</w:t>
      </w:r>
      <w:r>
        <w:rPr>
          <w:rFonts w:hint="default" w:ascii="Times New Roman" w:hAnsi="Times New Roman" w:eastAsia="仿宋_GB2312" w:cs="Times New Roman"/>
          <w:b w:val="0"/>
          <w:bCs/>
          <w:color w:val="auto"/>
          <w:sz w:val="32"/>
          <w:szCs w:val="32"/>
          <w:highlight w:val="none"/>
        </w:rPr>
        <w:t>万元，比</w:t>
      </w:r>
      <w:r>
        <w:rPr>
          <w:rFonts w:hint="default" w:ascii="Times New Roman" w:hAnsi="Times New Roman" w:eastAsia="仿宋_GB2312" w:cs="Times New Roman"/>
          <w:b w:val="0"/>
          <w:bCs/>
          <w:color w:val="auto"/>
          <w:sz w:val="32"/>
          <w:szCs w:val="32"/>
          <w:highlight w:val="none"/>
          <w:lang w:eastAsia="zh-CN"/>
        </w:rPr>
        <w:t>2022</w:t>
      </w:r>
      <w:r>
        <w:rPr>
          <w:rFonts w:hint="default" w:ascii="Times New Roman" w:hAnsi="Times New Roman" w:eastAsia="仿宋_GB2312" w:cs="Times New Roman"/>
          <w:b w:val="0"/>
          <w:bCs/>
          <w:color w:val="auto"/>
          <w:sz w:val="32"/>
          <w:szCs w:val="32"/>
          <w:highlight w:val="none"/>
        </w:rPr>
        <w:t>年</w:t>
      </w:r>
      <w:r>
        <w:rPr>
          <w:rFonts w:hint="default" w:ascii="Times New Roman" w:hAnsi="Times New Roman" w:eastAsia="仿宋_GB2312" w:cs="Times New Roman"/>
          <w:b w:val="0"/>
          <w:bCs/>
          <w:color w:val="auto"/>
          <w:sz w:val="32"/>
          <w:szCs w:val="32"/>
          <w:highlight w:val="none"/>
          <w:lang w:eastAsia="zh-CN"/>
        </w:rPr>
        <w:t>度</w:t>
      </w:r>
      <w:r>
        <w:rPr>
          <w:rFonts w:hint="default" w:ascii="Times New Roman" w:hAnsi="Times New Roman" w:eastAsia="仿宋_GB2312" w:cs="Times New Roman"/>
          <w:b w:val="0"/>
          <w:bCs/>
          <w:color w:val="auto"/>
          <w:sz w:val="32"/>
          <w:szCs w:val="32"/>
          <w:highlight w:val="none"/>
        </w:rPr>
        <w:t>增加</w:t>
      </w:r>
      <w:r>
        <w:rPr>
          <w:rFonts w:hint="default" w:ascii="Times New Roman" w:hAnsi="Times New Roman" w:eastAsia="仿宋_GB2312" w:cs="Times New Roman"/>
          <w:b w:val="0"/>
          <w:bCs/>
          <w:color w:val="auto"/>
          <w:sz w:val="32"/>
          <w:szCs w:val="32"/>
          <w:highlight w:val="none"/>
          <w:lang w:val="en-US" w:eastAsia="zh-CN"/>
        </w:rPr>
        <w:t>1.91</w:t>
      </w:r>
      <w:r>
        <w:rPr>
          <w:rFonts w:hint="default" w:ascii="Times New Roman" w:hAnsi="Times New Roman" w:eastAsia="仿宋_GB2312" w:cs="Times New Roman"/>
          <w:b w:val="0"/>
          <w:bCs/>
          <w:color w:val="auto"/>
          <w:sz w:val="32"/>
          <w:szCs w:val="32"/>
          <w:highlight w:val="none"/>
        </w:rPr>
        <w:t>万元，增长</w:t>
      </w:r>
      <w:r>
        <w:rPr>
          <w:rFonts w:hint="default" w:ascii="Times New Roman" w:hAnsi="Times New Roman" w:eastAsia="仿宋_GB2312" w:cs="Times New Roman"/>
          <w:b w:val="0"/>
          <w:bCs/>
          <w:color w:val="auto"/>
          <w:sz w:val="32"/>
          <w:szCs w:val="32"/>
          <w:highlight w:val="none"/>
          <w:lang w:val="en-US" w:eastAsia="zh-CN"/>
        </w:rPr>
        <w:t>50.5</w:t>
      </w:r>
      <w:r>
        <w:rPr>
          <w:rFonts w:hint="default" w:ascii="Times New Roman" w:hAnsi="Times New Roman" w:eastAsia="仿宋_GB2312" w:cs="Times New Roman"/>
          <w:b w:val="0"/>
          <w:bCs/>
          <w:color w:val="auto"/>
          <w:sz w:val="32"/>
          <w:szCs w:val="32"/>
          <w:highlight w:val="none"/>
        </w:rPr>
        <w:t>%。主要原因是</w:t>
      </w:r>
      <w:r>
        <w:rPr>
          <w:rFonts w:hint="default" w:ascii="Times New Roman" w:hAnsi="Times New Roman" w:eastAsia="仿宋_GB2312" w:cs="Times New Roman"/>
          <w:b w:val="0"/>
          <w:bCs/>
          <w:color w:val="auto"/>
          <w:sz w:val="32"/>
          <w:szCs w:val="32"/>
          <w:highlight w:val="none"/>
          <w:lang w:eastAsia="zh-CN"/>
        </w:rPr>
        <w:t>职能职责及</w:t>
      </w:r>
      <w:r>
        <w:rPr>
          <w:rFonts w:hint="default" w:ascii="Times New Roman" w:hAnsi="Times New Roman" w:eastAsia="仿宋_GB2312" w:cs="Times New Roman"/>
          <w:b w:val="0"/>
          <w:bCs/>
          <w:color w:val="auto"/>
          <w:sz w:val="32"/>
          <w:szCs w:val="32"/>
          <w:highlight w:val="none"/>
          <w:lang w:val="en-US" w:eastAsia="zh-CN"/>
        </w:rPr>
        <w:t>人员增加经费增加。</w:t>
      </w:r>
    </w:p>
    <w:p w14:paraId="75F734C4">
      <w:pPr>
        <w:spacing w:line="600" w:lineRule="exact"/>
        <w:ind w:firstLine="640" w:firstLineChars="200"/>
        <w:outlineLvl w:val="1"/>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（注：数据来源于财决附03表）</w:t>
      </w:r>
      <w:bookmarkEnd w:id="82"/>
    </w:p>
    <w:p w14:paraId="33E4D41A">
      <w:pPr>
        <w:autoSpaceDE w:val="0"/>
        <w:autoSpaceDN w:val="0"/>
        <w:adjustRightInd w:val="0"/>
        <w:spacing w:line="600" w:lineRule="exact"/>
        <w:ind w:firstLine="643" w:firstLineChars="200"/>
        <w:jc w:val="left"/>
        <w:outlineLvl w:val="2"/>
        <w:rPr>
          <w:rFonts w:hint="default" w:ascii="Times New Roman" w:hAnsi="Times New Roman" w:eastAsia="楷体_GB2312" w:cs="Times New Roman"/>
          <w:b/>
          <w:color w:val="auto"/>
          <w:sz w:val="32"/>
          <w:szCs w:val="32"/>
          <w:highlight w:val="none"/>
        </w:rPr>
      </w:pPr>
      <w:bookmarkStart w:id="83" w:name="_Toc18059"/>
      <w:bookmarkStart w:id="84" w:name="_Toc15377223"/>
      <w:r>
        <w:rPr>
          <w:rFonts w:hint="default" w:ascii="Times New Roman" w:hAnsi="Times New Roman" w:eastAsia="楷体_GB2312" w:cs="Times New Roman"/>
          <w:b/>
          <w:color w:val="auto"/>
          <w:sz w:val="32"/>
          <w:szCs w:val="32"/>
          <w:highlight w:val="none"/>
        </w:rPr>
        <w:t>（二）政府采购支出情况</w:t>
      </w:r>
      <w:bookmarkEnd w:id="83"/>
      <w:bookmarkEnd w:id="84"/>
    </w:p>
    <w:p w14:paraId="332467F1">
      <w:pPr>
        <w:spacing w:line="600" w:lineRule="exact"/>
        <w:ind w:firstLine="640" w:firstLineChars="200"/>
        <w:outlineLvl w:val="1"/>
        <w:rPr>
          <w:rFonts w:hint="default" w:ascii="Times New Roman" w:hAnsi="Times New Roman" w:eastAsia="仿宋_GB2312" w:cs="Times New Roman"/>
          <w:b w:val="0"/>
          <w:bCs/>
          <w:color w:val="auto"/>
          <w:sz w:val="32"/>
          <w:szCs w:val="32"/>
          <w:highlight w:val="none"/>
          <w:lang w:val="en-US" w:eastAsia="zh-CN"/>
        </w:rPr>
      </w:pPr>
      <w:bookmarkStart w:id="85" w:name="_Toc23562"/>
      <w:r>
        <w:rPr>
          <w:rFonts w:hint="default" w:ascii="Times New Roman" w:hAnsi="Times New Roman" w:eastAsia="仿宋_GB2312" w:cs="Times New Roman"/>
          <w:b w:val="0"/>
          <w:bCs/>
          <w:color w:val="auto"/>
          <w:sz w:val="32"/>
          <w:szCs w:val="32"/>
          <w:highlight w:val="none"/>
          <w:lang w:val="en-US" w:eastAsia="zh-CN"/>
        </w:rPr>
        <w:t>2023年度，四川省遂宁高新区退役军人服务中心政府采购支出总额0万元，其中：政府采购货物支出0万元、政府采购工程支出0万元、政府采购服务支出0万元。主要用于…（具体工作）。授予中小企业合同金额0万元，占政府采购支出总额的0%，其中：授予小微企业合同金额0万元，占政府采购支出总额的0%。</w:t>
      </w:r>
    </w:p>
    <w:p w14:paraId="20DBEA85">
      <w:pPr>
        <w:spacing w:line="600" w:lineRule="exact"/>
        <w:ind w:firstLine="640" w:firstLineChars="200"/>
        <w:outlineLvl w:val="1"/>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（注：数据来源于财决附03表）</w:t>
      </w:r>
      <w:bookmarkEnd w:id="85"/>
    </w:p>
    <w:p w14:paraId="49D98F6E">
      <w:pPr>
        <w:autoSpaceDE w:val="0"/>
        <w:autoSpaceDN w:val="0"/>
        <w:adjustRightInd w:val="0"/>
        <w:spacing w:line="600" w:lineRule="exact"/>
        <w:ind w:firstLine="643" w:firstLineChars="200"/>
        <w:jc w:val="left"/>
        <w:outlineLvl w:val="2"/>
        <w:rPr>
          <w:rFonts w:hint="default" w:ascii="Times New Roman" w:hAnsi="Times New Roman" w:eastAsia="楷体_GB2312" w:cs="Times New Roman"/>
          <w:b/>
          <w:color w:val="auto"/>
          <w:sz w:val="32"/>
          <w:szCs w:val="32"/>
          <w:highlight w:val="none"/>
        </w:rPr>
      </w:pPr>
      <w:bookmarkStart w:id="86" w:name="_Toc15377224"/>
      <w:bookmarkStart w:id="87" w:name="_Toc22366"/>
      <w:r>
        <w:rPr>
          <w:rFonts w:hint="default" w:ascii="Times New Roman" w:hAnsi="Times New Roman" w:eastAsia="楷体_GB2312" w:cs="Times New Roman"/>
          <w:b/>
          <w:color w:val="auto"/>
          <w:sz w:val="32"/>
          <w:szCs w:val="32"/>
          <w:highlight w:val="none"/>
        </w:rPr>
        <w:t>（三）国有资产占有使用情况</w:t>
      </w:r>
      <w:bookmarkEnd w:id="86"/>
      <w:bookmarkEnd w:id="87"/>
    </w:p>
    <w:p w14:paraId="39B158C4">
      <w:pPr>
        <w:spacing w:line="600" w:lineRule="exact"/>
        <w:ind w:firstLine="640" w:firstLineChars="200"/>
        <w:outlineLvl w:val="1"/>
        <w:rPr>
          <w:rFonts w:hint="default" w:ascii="Times New Roman" w:hAnsi="Times New Roman" w:eastAsia="仿宋_GB2312" w:cs="Times New Roman"/>
          <w:b w:val="0"/>
          <w:bCs/>
          <w:color w:val="auto"/>
          <w:sz w:val="32"/>
          <w:szCs w:val="32"/>
          <w:highlight w:val="none"/>
          <w:lang w:val="en-US" w:eastAsia="zh-CN"/>
        </w:rPr>
      </w:pPr>
      <w:bookmarkStart w:id="88" w:name="_Toc31994"/>
      <w:r>
        <w:rPr>
          <w:rFonts w:hint="default" w:ascii="Times New Roman" w:hAnsi="Times New Roman" w:eastAsia="仿宋_GB2312" w:cs="Times New Roman"/>
          <w:b w:val="0"/>
          <w:bCs/>
          <w:color w:val="auto"/>
          <w:sz w:val="32"/>
          <w:szCs w:val="32"/>
          <w:highlight w:val="none"/>
          <w:lang w:val="en-US" w:eastAsia="zh-CN"/>
        </w:rPr>
        <w:t>截至2023年12月31日，四川省遂宁高新区退役军人服务中心共有车辆0辆，其中：主要领导干部用车0辆、机要通信用车0辆、应急保障用车0辆、其他用车0辆，其他用车主要是用于……。单价50万元以上通用设备0台（套），单价100万元以上专用设备（不含车辆）0台（套）。</w:t>
      </w:r>
      <w:bookmarkEnd w:id="88"/>
    </w:p>
    <w:p w14:paraId="4CCB3118">
      <w:pPr>
        <w:spacing w:line="600" w:lineRule="exact"/>
        <w:ind w:firstLine="640" w:firstLineChars="200"/>
        <w:outlineLvl w:val="1"/>
        <w:rPr>
          <w:rFonts w:hint="default" w:ascii="Times New Roman" w:hAnsi="Times New Roman" w:eastAsia="仿宋_GB2312" w:cs="Times New Roman"/>
          <w:b w:val="0"/>
          <w:bCs/>
          <w:color w:val="auto"/>
          <w:sz w:val="32"/>
          <w:szCs w:val="32"/>
          <w:highlight w:val="none"/>
          <w:lang w:val="en-US" w:eastAsia="zh-CN"/>
        </w:rPr>
      </w:pPr>
      <w:bookmarkStart w:id="89" w:name="_Toc5523"/>
      <w:r>
        <w:rPr>
          <w:rFonts w:hint="default" w:ascii="Times New Roman" w:hAnsi="Times New Roman" w:eastAsia="仿宋_GB2312" w:cs="Times New Roman"/>
          <w:b w:val="0"/>
          <w:bCs/>
          <w:color w:val="auto"/>
          <w:sz w:val="32"/>
          <w:szCs w:val="32"/>
          <w:highlight w:val="none"/>
          <w:lang w:val="en-US" w:eastAsia="zh-CN"/>
        </w:rPr>
        <w:t>（注：数据来源于财决附03表，按部门决算报表填报数据罗列车辆情况。）</w:t>
      </w:r>
      <w:bookmarkEnd w:id="89"/>
    </w:p>
    <w:p w14:paraId="6A682EC5">
      <w:pPr>
        <w:autoSpaceDE w:val="0"/>
        <w:autoSpaceDN w:val="0"/>
        <w:adjustRightInd w:val="0"/>
        <w:spacing w:line="600" w:lineRule="exact"/>
        <w:ind w:firstLine="643" w:firstLineChars="200"/>
        <w:jc w:val="left"/>
        <w:outlineLvl w:val="2"/>
        <w:rPr>
          <w:rFonts w:hint="default" w:ascii="Times New Roman" w:hAnsi="Times New Roman" w:eastAsia="楷体_GB2312" w:cs="Times New Roman"/>
          <w:b/>
          <w:color w:val="auto"/>
          <w:sz w:val="32"/>
          <w:szCs w:val="32"/>
          <w:highlight w:val="none"/>
        </w:rPr>
      </w:pPr>
      <w:bookmarkStart w:id="90" w:name="_Toc32495"/>
      <w:r>
        <w:rPr>
          <w:rFonts w:hint="default" w:ascii="Times New Roman" w:hAnsi="Times New Roman" w:eastAsia="楷体_GB2312" w:cs="Times New Roman"/>
          <w:b/>
          <w:color w:val="auto"/>
          <w:sz w:val="32"/>
          <w:szCs w:val="32"/>
          <w:highlight w:val="none"/>
        </w:rPr>
        <w:t>（四）预算绩效管理情况</w:t>
      </w:r>
      <w:bookmarkEnd w:id="90"/>
    </w:p>
    <w:p w14:paraId="0D36B799">
      <w:pPr>
        <w:spacing w:line="600" w:lineRule="exact"/>
        <w:ind w:firstLine="640" w:firstLineChars="200"/>
        <w:outlineLvl w:val="1"/>
        <w:rPr>
          <w:rFonts w:hint="default" w:ascii="Times New Roman" w:hAnsi="Times New Roman" w:eastAsia="仿宋_GB2312" w:cs="Times New Roman"/>
          <w:b w:val="0"/>
          <w:bCs/>
          <w:color w:val="auto"/>
          <w:sz w:val="32"/>
          <w:szCs w:val="32"/>
          <w:highlight w:val="none"/>
          <w:lang w:val="en-US" w:eastAsia="zh-CN"/>
        </w:rPr>
      </w:pPr>
      <w:bookmarkStart w:id="91" w:name="_Toc10491"/>
      <w:r>
        <w:rPr>
          <w:rFonts w:hint="default" w:ascii="Times New Roman" w:hAnsi="Times New Roman" w:eastAsia="仿宋_GB2312" w:cs="Times New Roman"/>
          <w:b w:val="0"/>
          <w:bCs/>
          <w:color w:val="auto"/>
          <w:sz w:val="32"/>
          <w:szCs w:val="32"/>
          <w:highlight w:val="none"/>
          <w:lang w:val="en-US" w:eastAsia="zh-CN"/>
        </w:rPr>
        <w:t>根据预算绩效管理要求，本单位在2023年度预算编制阶段，组织对对优抚对象抚恤和生活补助</w:t>
      </w:r>
      <w:r>
        <w:rPr>
          <w:rFonts w:hint="default" w:ascii="Times New Roman" w:hAnsi="Times New Roman" w:eastAsia="仿宋_GB2312" w:cs="Times New Roman"/>
          <w:b w:val="0"/>
          <w:bCs/>
          <w:color w:val="auto"/>
          <w:sz w:val="32"/>
          <w:szCs w:val="32"/>
          <w:highlight w:val="none"/>
          <w:lang w:val="en-US" w:eastAsia="zh-CN"/>
        </w:rPr>
        <w:t>项目</w:t>
      </w:r>
      <w:r>
        <w:rPr>
          <w:rFonts w:hint="default" w:ascii="Times New Roman" w:hAnsi="Times New Roman" w:eastAsia="仿宋_GB2312" w:cs="Times New Roman"/>
          <w:b w:val="0"/>
          <w:bCs/>
          <w:color w:val="auto"/>
          <w:sz w:val="32"/>
          <w:szCs w:val="32"/>
          <w:highlight w:val="none"/>
          <w:lang w:val="en-US" w:eastAsia="zh-CN"/>
        </w:rPr>
        <w:t>、重点优抚对象代缴医疗保险、优抚对象医疗补助项目和国防、双拥宣传经费项目等20个项目开展了预算事前绩效评估，对5个项目编制了绩效目标，预算执行过程中，选取5个项目开展绩效监控，组织对5个项目开展绩效自评，绩效自评表详见第四部分附件。</w:t>
      </w:r>
    </w:p>
    <w:bookmarkEnd w:id="91"/>
    <w:p w14:paraId="55925436">
      <w:pPr>
        <w:spacing w:line="580" w:lineRule="exact"/>
        <w:ind w:firstLine="640" w:firstLineChars="200"/>
        <w:jc w:val="left"/>
        <w:rPr>
          <w:rFonts w:hint="default" w:ascii="Times New Roman" w:hAnsi="Times New Roman" w:eastAsia="仿宋_GB2312" w:cs="Times New Roman"/>
          <w:sz w:val="32"/>
          <w:szCs w:val="32"/>
          <w:lang w:val="en-US" w:eastAsia="zh-CN"/>
        </w:rPr>
      </w:pPr>
    </w:p>
    <w:p w14:paraId="1B47FFC0">
      <w:pPr>
        <w:spacing w:line="580" w:lineRule="exact"/>
        <w:ind w:firstLine="600" w:firstLineChars="200"/>
        <w:rPr>
          <w:rFonts w:hint="default" w:ascii="Times New Roman" w:hAnsi="Times New Roman" w:eastAsia="仿宋_GB2312" w:cs="Times New Roman"/>
          <w:sz w:val="30"/>
          <w:szCs w:val="30"/>
          <w:lang w:val="en-US" w:eastAsia="zh-CN"/>
        </w:rPr>
      </w:pPr>
    </w:p>
    <w:p w14:paraId="052602F5">
      <w:pPr>
        <w:spacing w:line="580" w:lineRule="exact"/>
        <w:ind w:firstLine="640" w:firstLineChars="200"/>
        <w:jc w:val="left"/>
        <w:rPr>
          <w:rFonts w:hint="default" w:ascii="Times New Roman" w:hAnsi="Times New Roman" w:eastAsia="仿宋_GB2312" w:cs="Times New Roman"/>
          <w:sz w:val="32"/>
          <w:szCs w:val="32"/>
          <w:lang w:val="en-US" w:eastAsia="zh-CN"/>
        </w:rPr>
      </w:pPr>
    </w:p>
    <w:p w14:paraId="3C8E5C7F">
      <w:pPr>
        <w:pStyle w:val="23"/>
        <w:rPr>
          <w:rFonts w:hint="default" w:ascii="Times New Roman" w:hAnsi="Times New Roman" w:eastAsia="仿宋_GB2312" w:cs="Times New Roman"/>
          <w:sz w:val="32"/>
          <w:szCs w:val="32"/>
          <w:lang w:val="en-US" w:eastAsia="zh-CN"/>
        </w:rPr>
      </w:pPr>
    </w:p>
    <w:p w14:paraId="6AC8BEE9">
      <w:pPr>
        <w:pStyle w:val="23"/>
        <w:rPr>
          <w:rFonts w:hint="default" w:ascii="Times New Roman" w:hAnsi="Times New Roman" w:eastAsia="仿宋_GB2312" w:cs="Times New Roman"/>
          <w:sz w:val="32"/>
          <w:szCs w:val="32"/>
          <w:lang w:val="en-US" w:eastAsia="zh-CN"/>
        </w:rPr>
      </w:pPr>
    </w:p>
    <w:p w14:paraId="2B64C1C2">
      <w:pPr>
        <w:pStyle w:val="23"/>
        <w:rPr>
          <w:rFonts w:hint="default" w:ascii="Times New Roman" w:hAnsi="Times New Roman" w:eastAsia="仿宋_GB2312" w:cs="Times New Roman"/>
          <w:sz w:val="32"/>
          <w:szCs w:val="32"/>
          <w:lang w:val="en-US" w:eastAsia="zh-CN"/>
        </w:rPr>
      </w:pPr>
    </w:p>
    <w:p w14:paraId="26DE3E37">
      <w:pPr>
        <w:pStyle w:val="23"/>
        <w:rPr>
          <w:rFonts w:hint="default" w:ascii="Times New Roman" w:hAnsi="Times New Roman" w:eastAsia="仿宋_GB2312" w:cs="Times New Roman"/>
          <w:sz w:val="32"/>
          <w:szCs w:val="32"/>
          <w:lang w:val="en-US" w:eastAsia="zh-CN"/>
        </w:rPr>
      </w:pPr>
    </w:p>
    <w:p w14:paraId="1846D4A1">
      <w:pPr>
        <w:pStyle w:val="23"/>
        <w:rPr>
          <w:rFonts w:hint="default" w:ascii="Times New Roman" w:hAnsi="Times New Roman" w:eastAsia="仿宋_GB2312" w:cs="Times New Roman"/>
          <w:sz w:val="32"/>
          <w:szCs w:val="32"/>
          <w:lang w:val="en-US" w:eastAsia="zh-CN"/>
        </w:rPr>
      </w:pPr>
    </w:p>
    <w:p w14:paraId="1556D1B8">
      <w:pPr>
        <w:pStyle w:val="23"/>
        <w:rPr>
          <w:rFonts w:hint="default" w:ascii="Times New Roman" w:hAnsi="Times New Roman" w:eastAsia="仿宋_GB2312" w:cs="Times New Roman"/>
          <w:sz w:val="32"/>
          <w:szCs w:val="32"/>
          <w:lang w:val="en-US" w:eastAsia="zh-CN"/>
        </w:rPr>
      </w:pPr>
    </w:p>
    <w:p w14:paraId="6348D8E2">
      <w:pPr>
        <w:pStyle w:val="23"/>
        <w:rPr>
          <w:rFonts w:hint="default" w:ascii="Times New Roman" w:hAnsi="Times New Roman" w:eastAsia="仿宋_GB2312" w:cs="Times New Roman"/>
          <w:sz w:val="32"/>
          <w:szCs w:val="32"/>
          <w:lang w:val="en-US" w:eastAsia="zh-CN"/>
        </w:rPr>
      </w:pPr>
    </w:p>
    <w:p w14:paraId="0CCAE782">
      <w:pPr>
        <w:pStyle w:val="5"/>
        <w:jc w:val="center"/>
        <w:rPr>
          <w:rFonts w:hint="default" w:ascii="Times New Roman" w:hAnsi="Times New Roman" w:eastAsia="黑体" w:cs="Times New Roman"/>
          <w:b w:val="0"/>
          <w:color w:val="auto"/>
          <w:highlight w:val="none"/>
        </w:rPr>
      </w:pPr>
      <w:bookmarkStart w:id="92" w:name="_Toc6018"/>
      <w:bookmarkStart w:id="93" w:name="_Toc15377225"/>
      <w:bookmarkStart w:id="94" w:name="_Toc15396613"/>
      <w:r>
        <w:rPr>
          <w:rFonts w:hint="default" w:ascii="Times New Roman" w:hAnsi="Times New Roman" w:eastAsia="黑体" w:cs="Times New Roman"/>
          <w:b w:val="0"/>
          <w:color w:val="auto"/>
          <w:highlight w:val="none"/>
          <w:lang w:val="en-US" w:eastAsia="zh-CN"/>
        </w:rPr>
        <w:t xml:space="preserve">第三部分 </w:t>
      </w:r>
      <w:r>
        <w:rPr>
          <w:rFonts w:hint="default" w:ascii="Times New Roman" w:hAnsi="Times New Roman" w:eastAsia="黑体" w:cs="Times New Roman"/>
          <w:b w:val="0"/>
          <w:color w:val="auto"/>
          <w:highlight w:val="none"/>
        </w:rPr>
        <w:t>名词解释</w:t>
      </w:r>
      <w:bookmarkEnd w:id="92"/>
      <w:bookmarkEnd w:id="93"/>
      <w:bookmarkEnd w:id="94"/>
    </w:p>
    <w:p w14:paraId="390FDECA">
      <w:pPr>
        <w:spacing w:line="600" w:lineRule="exact"/>
        <w:jc w:val="left"/>
        <w:rPr>
          <w:rFonts w:hint="default" w:ascii="Times New Roman" w:hAnsi="Times New Roman" w:cs="Times New Roman"/>
          <w:b/>
          <w:color w:val="auto"/>
          <w:sz w:val="44"/>
          <w:szCs w:val="44"/>
          <w:highlight w:val="none"/>
        </w:rPr>
      </w:pPr>
    </w:p>
    <w:p w14:paraId="21EAF520">
      <w:pPr>
        <w:pStyle w:val="23"/>
        <w:spacing w:line="560" w:lineRule="exact"/>
        <w:ind w:firstLine="640" w:firstLineChars="200"/>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仿宋_GB2312" w:cs="Times New Roman"/>
          <w:b w:val="0"/>
          <w:bCs/>
          <w:color w:val="auto"/>
          <w:kern w:val="2"/>
          <w:sz w:val="32"/>
          <w:szCs w:val="32"/>
          <w:highlight w:val="none"/>
          <w:lang w:val="en-US" w:eastAsia="zh-CN" w:bidi="ar-SA"/>
        </w:rPr>
        <w:t>1.财政拨款收入：指单位从同级财政部门取得的财政预算资金。</w:t>
      </w:r>
    </w:p>
    <w:p w14:paraId="47D26823">
      <w:pPr>
        <w:pStyle w:val="23"/>
        <w:spacing w:line="560" w:lineRule="exact"/>
        <w:ind w:firstLine="640" w:firstLineChars="200"/>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仿宋_GB2312" w:cs="Times New Roman"/>
          <w:b w:val="0"/>
          <w:bCs/>
          <w:color w:val="auto"/>
          <w:kern w:val="2"/>
          <w:sz w:val="32"/>
          <w:szCs w:val="32"/>
          <w:highlight w:val="none"/>
          <w:lang w:val="en-US" w:eastAsia="zh-CN" w:bidi="ar-SA"/>
        </w:rPr>
        <w:t>2.事业收入：指事业单位开展专业业务活动及辅助活动取得的收入。如…（二级预算单位事业收入情况）等。</w:t>
      </w:r>
    </w:p>
    <w:p w14:paraId="35F135B7">
      <w:pPr>
        <w:pStyle w:val="23"/>
        <w:spacing w:line="560" w:lineRule="exact"/>
        <w:ind w:firstLine="640" w:firstLineChars="200"/>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仿宋_GB2312" w:cs="Times New Roman"/>
          <w:b w:val="0"/>
          <w:bCs/>
          <w:color w:val="auto"/>
          <w:kern w:val="2"/>
          <w:sz w:val="32"/>
          <w:szCs w:val="32"/>
          <w:highlight w:val="none"/>
          <w:lang w:val="en-US" w:eastAsia="zh-CN" w:bidi="ar-SA"/>
        </w:rPr>
        <w:t>3.经营收入：指事业单位在专业业务活动及其辅助活动之外开展非独立核算经营活动取得的收入。如…（二级预算单位经营收入情况）等。</w:t>
      </w:r>
    </w:p>
    <w:p w14:paraId="22068D59">
      <w:pPr>
        <w:pStyle w:val="23"/>
        <w:spacing w:line="560" w:lineRule="exact"/>
        <w:ind w:firstLine="640" w:firstLineChars="200"/>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仿宋_GB2312" w:cs="Times New Roman"/>
          <w:b w:val="0"/>
          <w:bCs/>
          <w:color w:val="auto"/>
          <w:kern w:val="2"/>
          <w:sz w:val="32"/>
          <w:szCs w:val="32"/>
          <w:highlight w:val="none"/>
          <w:lang w:val="en-US" w:eastAsia="zh-CN" w:bidi="ar-SA"/>
        </w:rPr>
        <w:t xml:space="preserve">4.其他收入：指单位取得的除上述收入以外的各项收入。主要是…（收入类型）等。 </w:t>
      </w:r>
    </w:p>
    <w:p w14:paraId="62BA6220">
      <w:pPr>
        <w:pStyle w:val="23"/>
        <w:spacing w:line="560" w:lineRule="exact"/>
        <w:ind w:firstLine="640" w:firstLineChars="200"/>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仿宋_GB2312" w:cs="Times New Roman"/>
          <w:b w:val="0"/>
          <w:bCs/>
          <w:color w:val="auto"/>
          <w:kern w:val="2"/>
          <w:sz w:val="32"/>
          <w:szCs w:val="32"/>
          <w:highlight w:val="none"/>
          <w:lang w:val="en-US" w:eastAsia="zh-CN" w:bidi="ar-SA"/>
        </w:rPr>
        <w:t xml:space="preserve">5.使用非财政拨款结余：指事业单位使用以前年度积累的非财政拨款结余弥补当年收支差额的金额。 </w:t>
      </w:r>
    </w:p>
    <w:p w14:paraId="00EBF48F">
      <w:pPr>
        <w:pStyle w:val="23"/>
        <w:spacing w:line="560" w:lineRule="exact"/>
        <w:ind w:firstLine="640" w:firstLineChars="200"/>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仿宋_GB2312" w:cs="Times New Roman"/>
          <w:b w:val="0"/>
          <w:bCs/>
          <w:color w:val="auto"/>
          <w:kern w:val="2"/>
          <w:sz w:val="32"/>
          <w:szCs w:val="32"/>
          <w:highlight w:val="none"/>
          <w:lang w:val="en-US" w:eastAsia="zh-CN" w:bidi="ar-SA"/>
        </w:rPr>
        <w:t xml:space="preserve">6.年初结转和结余：指以前年度尚未完成、结转到本年按有关规定继续使用的资金。 </w:t>
      </w:r>
    </w:p>
    <w:p w14:paraId="704AFF3C">
      <w:pPr>
        <w:pStyle w:val="23"/>
        <w:spacing w:line="560" w:lineRule="exact"/>
        <w:ind w:firstLine="640" w:firstLineChars="200"/>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仿宋_GB2312" w:cs="Times New Roman"/>
          <w:b w:val="0"/>
          <w:bCs/>
          <w:color w:val="auto"/>
          <w:kern w:val="2"/>
          <w:sz w:val="32"/>
          <w:szCs w:val="32"/>
          <w:highlight w:val="none"/>
          <w:lang w:val="en-US" w:eastAsia="zh-CN" w:bidi="ar-SA"/>
        </w:rPr>
        <w:t>7.结余分配：指事业单位按照会计制度规定缴纳的所得税、提取的专用结余以及转入非财政拨款结余的金额等。</w:t>
      </w:r>
    </w:p>
    <w:p w14:paraId="2C0F8F73">
      <w:pPr>
        <w:pStyle w:val="23"/>
        <w:spacing w:line="560" w:lineRule="exact"/>
        <w:ind w:firstLine="640" w:firstLineChars="200"/>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仿宋_GB2312" w:cs="Times New Roman"/>
          <w:b w:val="0"/>
          <w:bCs/>
          <w:color w:val="auto"/>
          <w:kern w:val="2"/>
          <w:sz w:val="32"/>
          <w:szCs w:val="32"/>
          <w:highlight w:val="none"/>
          <w:lang w:val="en-US" w:eastAsia="zh-CN" w:bidi="ar-SA"/>
        </w:rPr>
        <w:t>8.年末结转和结余：指单位按有关规定结转到下年或以后年度继续使用的资金。</w:t>
      </w:r>
    </w:p>
    <w:p w14:paraId="5C976AD8">
      <w:pPr>
        <w:pStyle w:val="23"/>
        <w:spacing w:line="560" w:lineRule="exact"/>
        <w:ind w:firstLine="640" w:firstLineChars="200"/>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仿宋_GB2312" w:cs="Times New Roman"/>
          <w:b w:val="0"/>
          <w:bCs/>
          <w:color w:val="auto"/>
          <w:kern w:val="2"/>
          <w:sz w:val="32"/>
          <w:szCs w:val="32"/>
          <w:highlight w:val="none"/>
          <w:lang w:val="en-US" w:eastAsia="zh-CN" w:bidi="ar-SA"/>
        </w:rPr>
        <w:t>9.一般公共服务（类）政府办公厅（室）及相关机构事务（款）事业运行费（项）：指反映事业单位的基本支出，不包括行政单位后勤服务中心、医务室等附属事业单位。</w:t>
      </w:r>
    </w:p>
    <w:p w14:paraId="5FB31108">
      <w:pPr>
        <w:pStyle w:val="23"/>
        <w:spacing w:line="560" w:lineRule="exact"/>
        <w:ind w:firstLine="640" w:firstLineChars="200"/>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仿宋_GB2312" w:cs="Times New Roman"/>
          <w:b w:val="0"/>
          <w:bCs/>
          <w:color w:val="auto"/>
          <w:kern w:val="2"/>
          <w:sz w:val="32"/>
          <w:szCs w:val="32"/>
          <w:highlight w:val="none"/>
          <w:lang w:val="en-US" w:eastAsia="zh-CN" w:bidi="ar-SA"/>
        </w:rPr>
        <w:t>10.公共安全（类）武装警察部队（款）其他武装警察部队支出（项）：指反映其他用于武装警察部队方面的支出。</w:t>
      </w:r>
    </w:p>
    <w:p w14:paraId="7033A577">
      <w:pPr>
        <w:pStyle w:val="23"/>
        <w:spacing w:line="560" w:lineRule="exact"/>
        <w:ind w:firstLine="640" w:firstLineChars="200"/>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仿宋_GB2312" w:cs="Times New Roman"/>
          <w:b w:val="0"/>
          <w:bCs/>
          <w:color w:val="auto"/>
          <w:kern w:val="2"/>
          <w:sz w:val="32"/>
          <w:szCs w:val="32"/>
          <w:highlight w:val="none"/>
          <w:lang w:val="en-US" w:eastAsia="zh-CN" w:bidi="ar-SA"/>
        </w:rPr>
        <w:t>11.</w:t>
      </w:r>
      <w:bookmarkStart w:id="95" w:name="OLE_LINK9"/>
      <w:r>
        <w:rPr>
          <w:rFonts w:hint="default" w:ascii="Times New Roman" w:hAnsi="Times New Roman" w:eastAsia="仿宋_GB2312" w:cs="Times New Roman"/>
          <w:b w:val="0"/>
          <w:bCs/>
          <w:color w:val="auto"/>
          <w:kern w:val="2"/>
          <w:sz w:val="32"/>
          <w:szCs w:val="32"/>
          <w:highlight w:val="none"/>
          <w:lang w:val="en-US" w:eastAsia="zh-CN" w:bidi="ar-SA"/>
        </w:rPr>
        <w:t>社会保障和就业支出（类）抚恤（款）死亡抚恤（项）：指反映</w:t>
      </w:r>
      <w:bookmarkEnd w:id="95"/>
      <w:r>
        <w:rPr>
          <w:rFonts w:hint="default" w:ascii="Times New Roman" w:hAnsi="Times New Roman" w:eastAsia="仿宋_GB2312" w:cs="Times New Roman"/>
          <w:b w:val="0"/>
          <w:bCs/>
          <w:color w:val="auto"/>
          <w:kern w:val="2"/>
          <w:sz w:val="32"/>
          <w:szCs w:val="32"/>
          <w:highlight w:val="none"/>
          <w:lang w:val="en-US" w:eastAsia="zh-CN" w:bidi="ar-SA"/>
        </w:rPr>
        <w:t>按规定用于烈士和牺牲、病故人员家属的一次性和定期抚恤金、丧葬补助费以及烈士褒扬金。</w:t>
      </w:r>
    </w:p>
    <w:p w14:paraId="616A45D2">
      <w:pPr>
        <w:pStyle w:val="23"/>
        <w:spacing w:line="560" w:lineRule="exact"/>
        <w:ind w:firstLine="640" w:firstLineChars="200"/>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仿宋_GB2312" w:cs="Times New Roman"/>
          <w:b w:val="0"/>
          <w:bCs/>
          <w:color w:val="auto"/>
          <w:kern w:val="2"/>
          <w:sz w:val="32"/>
          <w:szCs w:val="32"/>
          <w:highlight w:val="none"/>
          <w:lang w:val="en-US" w:eastAsia="zh-CN" w:bidi="ar-SA"/>
        </w:rPr>
        <w:t>12.社会保障和就业支出（类）抚恤（款）伤残抚恤（项）：指反映按规定用于伤残人员的抚恤金和按规定开支的各种伤残补助费。</w:t>
      </w:r>
    </w:p>
    <w:p w14:paraId="50586E69">
      <w:pPr>
        <w:pStyle w:val="23"/>
        <w:spacing w:line="560" w:lineRule="exact"/>
        <w:ind w:firstLine="640" w:firstLineChars="200"/>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仿宋_GB2312" w:cs="Times New Roman"/>
          <w:b w:val="0"/>
          <w:bCs/>
          <w:color w:val="auto"/>
          <w:kern w:val="2"/>
          <w:sz w:val="32"/>
          <w:szCs w:val="32"/>
          <w:highlight w:val="none"/>
          <w:lang w:val="en-US" w:eastAsia="zh-CN" w:bidi="ar-SA"/>
        </w:rPr>
        <w:t>13.社会保障和就业支出（类）抚恤（款）在乡复员、退伍军人生活补助（项）:指在乡退伍红军老战士（含西路军红军老战士、红军失散人员）、1954年10月31日前入伍的在乡复员军人、按规定办理带病回乡手续的退伍军人生活补助。</w:t>
      </w:r>
    </w:p>
    <w:p w14:paraId="5B267618">
      <w:pPr>
        <w:pStyle w:val="23"/>
        <w:spacing w:line="560" w:lineRule="exact"/>
        <w:ind w:firstLine="640" w:firstLineChars="200"/>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仿宋_GB2312" w:cs="Times New Roman"/>
          <w:b w:val="0"/>
          <w:bCs/>
          <w:color w:val="auto"/>
          <w:kern w:val="2"/>
          <w:sz w:val="32"/>
          <w:szCs w:val="32"/>
          <w:highlight w:val="none"/>
          <w:lang w:val="en-US" w:eastAsia="zh-CN" w:bidi="ar-SA"/>
        </w:rPr>
        <w:t>14.</w:t>
      </w:r>
      <w:bookmarkStart w:id="96" w:name="OLE_LINK10"/>
      <w:r>
        <w:rPr>
          <w:rFonts w:hint="default" w:ascii="Times New Roman" w:hAnsi="Times New Roman" w:eastAsia="仿宋_GB2312" w:cs="Times New Roman"/>
          <w:b w:val="0"/>
          <w:bCs/>
          <w:color w:val="auto"/>
          <w:kern w:val="2"/>
          <w:sz w:val="32"/>
          <w:szCs w:val="32"/>
          <w:highlight w:val="none"/>
          <w:lang w:val="en-US" w:eastAsia="zh-CN" w:bidi="ar-SA"/>
        </w:rPr>
        <w:t>社会保障和就业支出（类）抚恤（款）义务兵优待（项）:</w:t>
      </w:r>
      <w:bookmarkEnd w:id="96"/>
      <w:r>
        <w:rPr>
          <w:rFonts w:hint="default" w:ascii="Times New Roman" w:hAnsi="Times New Roman" w:eastAsia="仿宋_GB2312" w:cs="Times New Roman"/>
          <w:b w:val="0"/>
          <w:bCs/>
          <w:color w:val="auto"/>
          <w:kern w:val="2"/>
          <w:sz w:val="32"/>
          <w:szCs w:val="32"/>
          <w:highlight w:val="none"/>
          <w:lang w:val="en-US" w:eastAsia="zh-CN" w:bidi="ar-SA"/>
        </w:rPr>
        <w:t>指义务兵优待方面的支出。</w:t>
      </w:r>
    </w:p>
    <w:p w14:paraId="49E48881">
      <w:pPr>
        <w:pStyle w:val="23"/>
        <w:spacing w:line="560" w:lineRule="exact"/>
        <w:ind w:firstLine="640" w:firstLineChars="200"/>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仿宋_GB2312" w:cs="Times New Roman"/>
          <w:b w:val="0"/>
          <w:bCs/>
          <w:color w:val="auto"/>
          <w:kern w:val="2"/>
          <w:sz w:val="32"/>
          <w:szCs w:val="32"/>
          <w:highlight w:val="none"/>
          <w:lang w:val="en-US" w:eastAsia="zh-CN" w:bidi="ar-SA"/>
        </w:rPr>
        <w:t>15.社会保障和就业支出（类）抚恤（款）农村籍退役士兵老年生活补助（项）:指反映1954年11月1日实行义务兵役制后至《退役士兵安置条例》实施前入伍、年龄在60周岁以上（含60周岁）、未享受到国家定期抚恤补助的农村籍退役士兵的老年生活补助。</w:t>
      </w:r>
    </w:p>
    <w:p w14:paraId="62D0EA96">
      <w:pPr>
        <w:pStyle w:val="23"/>
        <w:spacing w:line="560" w:lineRule="exact"/>
        <w:ind w:firstLine="640" w:firstLineChars="200"/>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仿宋_GB2312" w:cs="Times New Roman"/>
          <w:b w:val="0"/>
          <w:bCs/>
          <w:color w:val="auto"/>
          <w:kern w:val="2"/>
          <w:sz w:val="32"/>
          <w:szCs w:val="32"/>
          <w:highlight w:val="none"/>
          <w:lang w:val="en-US" w:eastAsia="zh-CN" w:bidi="ar-SA"/>
        </w:rPr>
        <w:t>16.社会保障和就业支出（类）抚恤（款）其他优抚支出（项）:指反映除上述项目以外其他用于优抚方面的支出，包括向优抚对象发放的价格临时补贴、老烈士子女、老党员定期生活补助等支出。</w:t>
      </w:r>
    </w:p>
    <w:p w14:paraId="679F9883">
      <w:pPr>
        <w:pStyle w:val="23"/>
        <w:spacing w:line="560" w:lineRule="exact"/>
        <w:ind w:firstLine="640" w:firstLineChars="200"/>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仿宋_GB2312" w:cs="Times New Roman"/>
          <w:b w:val="0"/>
          <w:bCs/>
          <w:color w:val="auto"/>
          <w:kern w:val="2"/>
          <w:sz w:val="32"/>
          <w:szCs w:val="32"/>
          <w:highlight w:val="none"/>
          <w:lang w:val="en-US" w:eastAsia="zh-CN" w:bidi="ar-SA"/>
        </w:rPr>
        <w:t>17.社会保障和就业支出（类）退役安置（款）退役士兵管理教育（项）:指反映退役士兵职业教育、转业士官待分配期间管理教育、医疗等支出。</w:t>
      </w:r>
    </w:p>
    <w:p w14:paraId="1E94C838">
      <w:pPr>
        <w:pStyle w:val="23"/>
        <w:spacing w:line="560" w:lineRule="exact"/>
        <w:ind w:firstLine="640" w:firstLineChars="200"/>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仿宋_GB2312" w:cs="Times New Roman"/>
          <w:b w:val="0"/>
          <w:bCs/>
          <w:color w:val="auto"/>
          <w:kern w:val="2"/>
          <w:sz w:val="32"/>
          <w:szCs w:val="32"/>
          <w:highlight w:val="none"/>
          <w:lang w:val="en-US" w:eastAsia="zh-CN" w:bidi="ar-SA"/>
        </w:rPr>
        <w:t>18.社会保障和就业支出（类）退役安置（款）其他退役安置支出（项）：指反映上述项目以外其他用于退役安置方面的支出。</w:t>
      </w:r>
    </w:p>
    <w:p w14:paraId="4E56E0BC">
      <w:pPr>
        <w:pStyle w:val="23"/>
        <w:spacing w:line="560" w:lineRule="exact"/>
        <w:ind w:firstLine="640" w:firstLineChars="200"/>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仿宋_GB2312" w:cs="Times New Roman"/>
          <w:b w:val="0"/>
          <w:bCs/>
          <w:color w:val="auto"/>
          <w:kern w:val="2"/>
          <w:sz w:val="32"/>
          <w:szCs w:val="32"/>
          <w:highlight w:val="none"/>
          <w:lang w:val="en-US" w:eastAsia="zh-CN" w:bidi="ar-SA"/>
        </w:rPr>
        <w:t>19.社会保障和就业支出（类）退役军人管理事务（款）行政运行（项）:指反映行政单位（包括实行公务员管理的事业单位）的基本支出。</w:t>
      </w:r>
    </w:p>
    <w:p w14:paraId="4866C53E">
      <w:pPr>
        <w:pStyle w:val="23"/>
        <w:spacing w:line="560" w:lineRule="exact"/>
        <w:ind w:firstLine="640" w:firstLineChars="200"/>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仿宋_GB2312" w:cs="Times New Roman"/>
          <w:b w:val="0"/>
          <w:bCs/>
          <w:color w:val="auto"/>
          <w:kern w:val="2"/>
          <w:sz w:val="32"/>
          <w:szCs w:val="32"/>
          <w:highlight w:val="none"/>
          <w:lang w:val="en-US" w:eastAsia="zh-CN" w:bidi="ar-SA"/>
        </w:rPr>
        <w:t>20.社会保障和就业支出（类）退役军人管理事务（款）拥军优属（项）:指开展</w:t>
      </w:r>
      <w:bookmarkStart w:id="97" w:name="OLE_LINK11"/>
      <w:r>
        <w:rPr>
          <w:rFonts w:hint="default" w:ascii="Times New Roman" w:hAnsi="Times New Roman" w:eastAsia="仿宋_GB2312" w:cs="Times New Roman"/>
          <w:b w:val="0"/>
          <w:bCs/>
          <w:color w:val="auto"/>
          <w:kern w:val="2"/>
          <w:sz w:val="32"/>
          <w:szCs w:val="32"/>
          <w:highlight w:val="none"/>
          <w:lang w:val="en-US" w:eastAsia="zh-CN" w:bidi="ar-SA"/>
        </w:rPr>
        <w:t>拥军优属</w:t>
      </w:r>
      <w:bookmarkEnd w:id="97"/>
      <w:r>
        <w:rPr>
          <w:rFonts w:hint="default" w:ascii="Times New Roman" w:hAnsi="Times New Roman" w:eastAsia="仿宋_GB2312" w:cs="Times New Roman"/>
          <w:b w:val="0"/>
          <w:bCs/>
          <w:color w:val="auto"/>
          <w:kern w:val="2"/>
          <w:sz w:val="32"/>
          <w:szCs w:val="32"/>
          <w:highlight w:val="none"/>
          <w:lang w:val="en-US" w:eastAsia="zh-CN" w:bidi="ar-SA"/>
        </w:rPr>
        <w:t>活动的支出。</w:t>
      </w:r>
    </w:p>
    <w:p w14:paraId="268AB025">
      <w:pPr>
        <w:pStyle w:val="23"/>
        <w:spacing w:line="560" w:lineRule="exact"/>
        <w:ind w:firstLine="640" w:firstLineChars="200"/>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仿宋_GB2312" w:cs="Times New Roman"/>
          <w:b w:val="0"/>
          <w:bCs/>
          <w:color w:val="auto"/>
          <w:kern w:val="2"/>
          <w:sz w:val="32"/>
          <w:szCs w:val="32"/>
          <w:highlight w:val="none"/>
          <w:lang w:val="en-US" w:eastAsia="zh-CN" w:bidi="ar-SA"/>
        </w:rPr>
        <w:t>21.社会保障和就业支出（类）退役军人管理事务（款）事业运行（项）：指反映事业单位的基本支出，不包括行政单位（包括实行公务员管理的事业单位）后勤服务中心、医务室等附属事业单位。</w:t>
      </w:r>
    </w:p>
    <w:p w14:paraId="6E9CFE7B">
      <w:pPr>
        <w:pStyle w:val="23"/>
        <w:spacing w:line="560" w:lineRule="exact"/>
        <w:ind w:firstLine="640" w:firstLineChars="200"/>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仿宋_GB2312" w:cs="Times New Roman"/>
          <w:b w:val="0"/>
          <w:bCs/>
          <w:color w:val="auto"/>
          <w:kern w:val="2"/>
          <w:sz w:val="32"/>
          <w:szCs w:val="32"/>
          <w:highlight w:val="none"/>
          <w:lang w:val="en-US" w:eastAsia="zh-CN" w:bidi="ar-SA"/>
        </w:rPr>
        <w:t>22.社会保障和就业支出（类）退役军人管理事务（款）其他退役军人事务管理支出（项）:指反映上述项目以外其他用于退役军人事务管理方面的支出。</w:t>
      </w:r>
    </w:p>
    <w:p w14:paraId="266A0F5F">
      <w:pPr>
        <w:pStyle w:val="23"/>
        <w:spacing w:line="560" w:lineRule="exact"/>
        <w:ind w:firstLine="640" w:firstLineChars="200"/>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仿宋_GB2312" w:cs="Times New Roman"/>
          <w:b w:val="0"/>
          <w:bCs/>
          <w:color w:val="auto"/>
          <w:kern w:val="2"/>
          <w:sz w:val="32"/>
          <w:szCs w:val="32"/>
          <w:highlight w:val="none"/>
          <w:lang w:val="en-US" w:eastAsia="zh-CN" w:bidi="ar-SA"/>
        </w:rPr>
        <w:t>23.卫生健康支出（类）优抚对象医疗（款）优抚对象医疗补助（项）：指反映按规定补助优抚对象的医疗经费。</w:t>
      </w:r>
    </w:p>
    <w:p w14:paraId="65C36D72">
      <w:pPr>
        <w:pStyle w:val="23"/>
        <w:spacing w:line="560" w:lineRule="exact"/>
        <w:ind w:firstLine="640" w:firstLineChars="200"/>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仿宋_GB2312" w:cs="Times New Roman"/>
          <w:b w:val="0"/>
          <w:bCs/>
          <w:color w:val="auto"/>
          <w:kern w:val="2"/>
          <w:sz w:val="32"/>
          <w:szCs w:val="32"/>
          <w:highlight w:val="none"/>
          <w:lang w:val="en-US" w:eastAsia="zh-CN" w:bidi="ar-SA"/>
        </w:rPr>
        <w:t>24.基本支出：指为保障机构正常运转、完成日常工作任务而发生的人员支出和公用支出。</w:t>
      </w:r>
    </w:p>
    <w:p w14:paraId="0000F2E2">
      <w:pPr>
        <w:pStyle w:val="23"/>
        <w:spacing w:line="560" w:lineRule="exact"/>
        <w:ind w:firstLine="640" w:firstLineChars="200"/>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仿宋_GB2312" w:cs="Times New Roman"/>
          <w:b w:val="0"/>
          <w:bCs/>
          <w:color w:val="auto"/>
          <w:kern w:val="2"/>
          <w:sz w:val="32"/>
          <w:szCs w:val="32"/>
          <w:highlight w:val="none"/>
          <w:lang w:val="en-US" w:eastAsia="zh-CN" w:bidi="ar-SA"/>
        </w:rPr>
        <w:t>25.基本支出：指为保障机构正常运转、完成日常工作任务而发生的人员支出和公用支出。</w:t>
      </w:r>
    </w:p>
    <w:p w14:paraId="6ECAB13D">
      <w:pPr>
        <w:pStyle w:val="23"/>
        <w:spacing w:line="560" w:lineRule="exact"/>
        <w:ind w:firstLine="640" w:firstLineChars="200"/>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仿宋_GB2312" w:cs="Times New Roman"/>
          <w:b w:val="0"/>
          <w:bCs/>
          <w:color w:val="auto"/>
          <w:kern w:val="2"/>
          <w:sz w:val="32"/>
          <w:szCs w:val="32"/>
          <w:highlight w:val="none"/>
          <w:lang w:val="en-US" w:eastAsia="zh-CN" w:bidi="ar-SA"/>
        </w:rPr>
        <w:t xml:space="preserve">26.项目支出：指在基本支出之外为完成特定行政任务和事业发展目标所发生的支出。 </w:t>
      </w:r>
    </w:p>
    <w:p w14:paraId="61AD6CEF">
      <w:pPr>
        <w:pStyle w:val="23"/>
        <w:spacing w:line="560" w:lineRule="exact"/>
        <w:ind w:firstLine="640" w:firstLineChars="200"/>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仿宋_GB2312" w:cs="Times New Roman"/>
          <w:b w:val="0"/>
          <w:bCs/>
          <w:color w:val="auto"/>
          <w:kern w:val="2"/>
          <w:sz w:val="32"/>
          <w:szCs w:val="32"/>
          <w:highlight w:val="none"/>
          <w:lang w:val="en-US" w:eastAsia="zh-CN" w:bidi="ar-SA"/>
        </w:rPr>
        <w:t>27.经营支出：指事业单位在专业业务活动及其辅助活动之外开展非独立核算经营活动发生的支出。</w:t>
      </w:r>
    </w:p>
    <w:p w14:paraId="5D2F3D72">
      <w:pPr>
        <w:pStyle w:val="23"/>
        <w:spacing w:line="560" w:lineRule="exact"/>
        <w:ind w:firstLine="640" w:firstLineChars="200"/>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仿宋_GB2312" w:cs="Times New Roman"/>
          <w:b w:val="0"/>
          <w:bCs/>
          <w:color w:val="auto"/>
          <w:kern w:val="2"/>
          <w:sz w:val="32"/>
          <w:szCs w:val="32"/>
          <w:highlight w:val="none"/>
          <w:lang w:val="en-US" w:eastAsia="zh-CN" w:bidi="ar-SA"/>
        </w:rPr>
        <w:t>28.“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16A84CB">
      <w:pPr>
        <w:pStyle w:val="23"/>
        <w:spacing w:line="560" w:lineRule="exact"/>
        <w:ind w:firstLine="640" w:firstLineChars="200"/>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仿宋_GB2312" w:cs="Times New Roman"/>
          <w:b w:val="0"/>
          <w:bCs/>
          <w:color w:val="auto"/>
          <w:kern w:val="2"/>
          <w:sz w:val="32"/>
          <w:szCs w:val="32"/>
          <w:highlight w:val="none"/>
          <w:lang w:val="en-US" w:eastAsia="zh-CN" w:bidi="ar-SA"/>
        </w:rPr>
        <w:t>29.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431C3A9">
      <w:pPr>
        <w:pStyle w:val="23"/>
        <w:spacing w:line="560" w:lineRule="exact"/>
        <w:ind w:firstLine="640" w:firstLineChars="200"/>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仿宋_GB2312" w:cs="Times New Roman"/>
          <w:b w:val="0"/>
          <w:bCs/>
          <w:color w:val="auto"/>
          <w:kern w:val="2"/>
          <w:sz w:val="32"/>
          <w:szCs w:val="32"/>
          <w:highlight w:val="none"/>
          <w:lang w:val="en-US" w:eastAsia="zh-CN" w:bidi="ar-SA"/>
        </w:rPr>
        <w:t>（名词解释部分请根据各部门实际列支情况罗列，并根据本部门职责职能增减名词解释内容。）</w:t>
      </w:r>
    </w:p>
    <w:p w14:paraId="5DB123E6">
      <w:pPr>
        <w:spacing w:line="600" w:lineRule="exact"/>
        <w:jc w:val="center"/>
        <w:outlineLvl w:val="0"/>
        <w:rPr>
          <w:rFonts w:hint="default" w:ascii="Times New Roman" w:hAnsi="Times New Roman" w:eastAsia="黑体" w:cs="Times New Roman"/>
          <w:color w:val="auto"/>
          <w:sz w:val="44"/>
          <w:szCs w:val="44"/>
          <w:highlight w:val="none"/>
          <w:lang w:val="en-US" w:eastAsia="zh-CN"/>
        </w:rPr>
      </w:pPr>
      <w:bookmarkStart w:id="98" w:name="_Toc15377226"/>
      <w:r>
        <w:rPr>
          <w:rFonts w:hint="default" w:ascii="Times New Roman" w:hAnsi="Times New Roman" w:cs="Times New Roman"/>
          <w:b/>
          <w:color w:val="auto"/>
          <w:sz w:val="44"/>
          <w:szCs w:val="44"/>
          <w:highlight w:val="none"/>
        </w:rPr>
        <w:br w:type="page"/>
      </w:r>
      <w:bookmarkStart w:id="99" w:name="_Toc15396614"/>
      <w:bookmarkStart w:id="100" w:name="_Toc1419"/>
      <w:r>
        <w:rPr>
          <w:rFonts w:hint="default" w:ascii="Times New Roman" w:hAnsi="Times New Roman" w:eastAsia="黑体" w:cs="Times New Roman"/>
          <w:color w:val="auto"/>
          <w:sz w:val="44"/>
          <w:szCs w:val="44"/>
          <w:highlight w:val="none"/>
        </w:rPr>
        <w:t>第</w:t>
      </w:r>
      <w:r>
        <w:rPr>
          <w:rStyle w:val="32"/>
          <w:rFonts w:hint="default" w:ascii="Times New Roman" w:hAnsi="Times New Roman" w:eastAsia="黑体" w:cs="Times New Roman"/>
          <w:b w:val="0"/>
          <w:color w:val="auto"/>
          <w:highlight w:val="none"/>
        </w:rPr>
        <w:t>四部分 附件</w:t>
      </w:r>
      <w:bookmarkEnd w:id="99"/>
      <w:bookmarkEnd w:id="100"/>
      <w:bookmarkStart w:id="101" w:name="_Toc26436"/>
    </w:p>
    <w:p w14:paraId="5035614E">
      <w:pPr>
        <w:keepNext w:val="0"/>
        <w:keepLines w:val="0"/>
        <w:pageBreakBefore w:val="0"/>
        <w:kinsoku/>
        <w:wordWrap/>
        <w:overflowPunct/>
        <w:topLinePunct w:val="0"/>
        <w:autoSpaceDE/>
        <w:autoSpaceDN/>
        <w:bidi w:val="0"/>
        <w:spacing w:line="572" w:lineRule="exact"/>
        <w:jc w:val="left"/>
        <w:textAlignment w:val="auto"/>
        <w:outlineLvl w:val="1"/>
        <w:rPr>
          <w:rFonts w:hint="default" w:ascii="Times New Roman" w:hAnsi="Times New Roman" w:eastAsia="黑体" w:cs="Times New Roman"/>
          <w:color w:val="auto"/>
          <w:sz w:val="32"/>
          <w:szCs w:val="32"/>
          <w:highlight w:val="none"/>
        </w:rPr>
      </w:pPr>
    </w:p>
    <w:bookmarkEnd w:id="101"/>
    <w:p w14:paraId="32551B82">
      <w:pPr>
        <w:spacing w:line="560" w:lineRule="exact"/>
        <w:jc w:val="center"/>
        <w:rPr>
          <w:rFonts w:hint="default" w:ascii="Times New Roman" w:hAnsi="Times New Roman" w:eastAsia="方正小标宋简体" w:cs="Times New Roman"/>
          <w:sz w:val="44"/>
          <w:szCs w:val="44"/>
          <w:lang w:val="en-US" w:eastAsia="zh-CN"/>
        </w:rPr>
      </w:pPr>
      <w:bookmarkStart w:id="102" w:name="_Toc4594"/>
      <w:bookmarkStart w:id="103" w:name="_Toc15396618"/>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3</w:t>
      </w:r>
      <w:r>
        <w:rPr>
          <w:rFonts w:hint="default" w:ascii="Times New Roman" w:hAnsi="Times New Roman" w:eastAsia="方正小标宋简体" w:cs="Times New Roman"/>
          <w:sz w:val="44"/>
          <w:szCs w:val="44"/>
        </w:rPr>
        <w:t>年</w:t>
      </w:r>
      <w:r>
        <w:rPr>
          <w:rFonts w:hint="default" w:ascii="Times New Roman" w:hAnsi="Times New Roman" w:eastAsia="方正小标宋简体" w:cs="Times New Roman"/>
          <w:sz w:val="44"/>
          <w:szCs w:val="44"/>
          <w:lang w:val="en-US" w:eastAsia="zh-CN"/>
        </w:rPr>
        <w:t>遂宁高新区退役军人服务中心</w:t>
      </w:r>
    </w:p>
    <w:p w14:paraId="5042C0CE">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部门整体支出绩效</w:t>
      </w:r>
      <w:r>
        <w:rPr>
          <w:rFonts w:hint="default" w:ascii="Times New Roman" w:hAnsi="Times New Roman" w:eastAsia="方正小标宋简体" w:cs="Times New Roman"/>
          <w:sz w:val="44"/>
          <w:szCs w:val="44"/>
          <w:lang w:val="en-US" w:eastAsia="zh-CN"/>
        </w:rPr>
        <w:t>自评</w:t>
      </w:r>
      <w:r>
        <w:rPr>
          <w:rFonts w:hint="default" w:ascii="Times New Roman" w:hAnsi="Times New Roman" w:eastAsia="方正小标宋简体" w:cs="Times New Roman"/>
          <w:sz w:val="44"/>
          <w:szCs w:val="44"/>
        </w:rPr>
        <w:t>报告</w:t>
      </w:r>
    </w:p>
    <w:p w14:paraId="55A4013F">
      <w:pPr>
        <w:pStyle w:val="41"/>
        <w:spacing w:line="560" w:lineRule="exact"/>
        <w:rPr>
          <w:rFonts w:hint="default" w:ascii="Times New Roman" w:hAnsi="Times New Roman" w:cs="Times New Roman"/>
        </w:rPr>
      </w:pPr>
    </w:p>
    <w:p w14:paraId="77E7AF0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根据《遂宁高新区财政金融局关</w:t>
      </w:r>
      <w:r>
        <w:rPr>
          <w:rFonts w:hint="default" w:ascii="Times New Roman" w:hAnsi="Times New Roman" w:eastAsia="仿宋_GB2312" w:cs="Times New Roman"/>
          <w:sz w:val="32"/>
          <w:szCs w:val="32"/>
          <w:lang w:val="zh-CN" w:eastAsia="zh-CN"/>
        </w:rPr>
        <w:t>于开展202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zh-CN" w:eastAsia="zh-CN"/>
        </w:rPr>
        <w:t>年</w:t>
      </w:r>
      <w:r>
        <w:rPr>
          <w:rFonts w:hint="default" w:ascii="Times New Roman" w:hAnsi="Times New Roman" w:eastAsia="仿宋_GB2312" w:cs="Times New Roman"/>
          <w:sz w:val="32"/>
          <w:szCs w:val="32"/>
          <w:lang w:val="en-US" w:eastAsia="zh-CN"/>
        </w:rPr>
        <w:t>部门、项目、政策支出</w:t>
      </w:r>
      <w:r>
        <w:rPr>
          <w:rFonts w:hint="default" w:ascii="Times New Roman" w:hAnsi="Times New Roman" w:eastAsia="仿宋_GB2312" w:cs="Times New Roman"/>
          <w:sz w:val="32"/>
          <w:szCs w:val="32"/>
          <w:lang w:val="zh-CN" w:eastAsia="zh-CN"/>
        </w:rPr>
        <w:t>绩效</w:t>
      </w:r>
      <w:r>
        <w:rPr>
          <w:rFonts w:hint="default" w:ascii="Times New Roman" w:hAnsi="Times New Roman" w:eastAsia="仿宋_GB2312" w:cs="Times New Roman"/>
          <w:sz w:val="32"/>
          <w:szCs w:val="32"/>
          <w:lang w:val="en-US" w:eastAsia="zh-CN"/>
        </w:rPr>
        <w:t>自评</w:t>
      </w:r>
      <w:r>
        <w:rPr>
          <w:rFonts w:hint="default" w:ascii="Times New Roman" w:hAnsi="Times New Roman" w:eastAsia="仿宋_GB2312" w:cs="Times New Roman"/>
          <w:sz w:val="32"/>
          <w:szCs w:val="32"/>
          <w:lang w:val="zh-CN" w:eastAsia="zh-CN"/>
        </w:rPr>
        <w:t>工作的通知》（遂高管财</w:t>
      </w:r>
      <w:r>
        <w:rPr>
          <w:rFonts w:hint="default" w:ascii="Times New Roman" w:hAnsi="Times New Roman" w:eastAsia="仿宋_GB2312" w:cs="Times New Roman"/>
          <w:sz w:val="32"/>
          <w:szCs w:val="32"/>
          <w:lang w:val="en-US" w:eastAsia="zh-CN"/>
        </w:rPr>
        <w:t>发</w:t>
      </w:r>
      <w:r>
        <w:rPr>
          <w:rFonts w:hint="default" w:ascii="Times New Roman" w:hAnsi="Times New Roman" w:eastAsia="仿宋_GB2312" w:cs="Times New Roman"/>
          <w:sz w:val="32"/>
          <w:szCs w:val="32"/>
          <w:lang w:val="zh-CN" w:eastAsia="zh-CN"/>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zh-CN" w:eastAsia="zh-CN"/>
        </w:rPr>
        <w:t>号），</w:t>
      </w:r>
      <w:r>
        <w:rPr>
          <w:rFonts w:hint="default" w:ascii="Times New Roman" w:hAnsi="Times New Roman" w:eastAsia="仿宋_GB2312" w:cs="Times New Roman"/>
          <w:sz w:val="32"/>
          <w:szCs w:val="32"/>
          <w:lang w:val="en-US" w:eastAsia="zh-CN"/>
        </w:rPr>
        <w:t>退役军人服务中心</w:t>
      </w:r>
      <w:r>
        <w:rPr>
          <w:rFonts w:hint="default" w:ascii="Times New Roman" w:hAnsi="Times New Roman" w:eastAsia="仿宋_GB2312" w:cs="Times New Roman"/>
          <w:sz w:val="32"/>
          <w:szCs w:val="32"/>
          <w:lang w:val="zh-CN" w:eastAsia="zh-CN"/>
        </w:rPr>
        <w:t>组织开展了部门整体支出绩效</w:t>
      </w:r>
      <w:r>
        <w:rPr>
          <w:rFonts w:hint="default" w:ascii="Times New Roman" w:hAnsi="Times New Roman" w:eastAsia="仿宋_GB2312" w:cs="Times New Roman"/>
          <w:sz w:val="32"/>
          <w:szCs w:val="32"/>
          <w:lang w:val="en-US" w:eastAsia="zh-CN"/>
        </w:rPr>
        <w:t>自评</w:t>
      </w:r>
      <w:r>
        <w:rPr>
          <w:rFonts w:hint="default" w:ascii="Times New Roman" w:hAnsi="Times New Roman" w:eastAsia="仿宋_GB2312" w:cs="Times New Roman"/>
          <w:sz w:val="32"/>
          <w:szCs w:val="32"/>
          <w:lang w:val="zh-CN" w:eastAsia="zh-CN"/>
        </w:rPr>
        <w:t>工作</w:t>
      </w:r>
      <w:r>
        <w:rPr>
          <w:rFonts w:hint="default" w:ascii="Times New Roman" w:hAnsi="Times New Roman" w:eastAsia="仿宋_GB2312" w:cs="Times New Roman"/>
          <w:sz w:val="32"/>
          <w:szCs w:val="32"/>
          <w:lang w:eastAsia="zh-CN"/>
        </w:rPr>
        <w:t>，现将有关情况报告如下。</w:t>
      </w:r>
    </w:p>
    <w:p w14:paraId="5C13FF6E">
      <w:pPr>
        <w:suppressAutoHyphens/>
        <w:bidi w:val="0"/>
        <w:spacing w:line="560" w:lineRule="exact"/>
        <w:ind w:firstLine="640" w:firstLineChars="200"/>
        <w:outlineLvl w:val="0"/>
        <w:rPr>
          <w:rFonts w:hint="default" w:ascii="Times New Roman" w:hAnsi="Times New Roman" w:eastAsia="黑体" w:cs="Times New Roman"/>
          <w:sz w:val="32"/>
          <w:lang w:val="zh-CN"/>
        </w:rPr>
      </w:pPr>
      <w:r>
        <w:rPr>
          <w:rFonts w:hint="default" w:ascii="Times New Roman" w:hAnsi="Times New Roman" w:eastAsia="黑体" w:cs="Times New Roman"/>
          <w:sz w:val="32"/>
        </w:rPr>
        <w:t>一、</w:t>
      </w:r>
      <w:r>
        <w:rPr>
          <w:rFonts w:hint="default" w:ascii="Times New Roman" w:hAnsi="Times New Roman" w:eastAsia="黑体" w:cs="Times New Roman"/>
          <w:sz w:val="32"/>
          <w:lang w:val="zh-CN"/>
        </w:rPr>
        <w:t>部门（单位）概况</w:t>
      </w:r>
    </w:p>
    <w:p w14:paraId="24DE36BB">
      <w:pPr>
        <w:suppressAutoHyphens/>
        <w:bidi w:val="0"/>
        <w:spacing w:line="560" w:lineRule="exact"/>
        <w:ind w:firstLine="640" w:firstLineChars="200"/>
        <w:outlineLvl w:val="1"/>
        <w:rPr>
          <w:rFonts w:hint="default" w:ascii="Times New Roman" w:hAnsi="Times New Roman" w:eastAsia="楷体_GB2312" w:cs="Times New Roman"/>
          <w:sz w:val="32"/>
          <w:lang w:val="zh-CN"/>
        </w:rPr>
      </w:pPr>
      <w:r>
        <w:rPr>
          <w:rFonts w:hint="default" w:ascii="Times New Roman" w:hAnsi="Times New Roman" w:eastAsia="楷体_GB2312" w:cs="Times New Roman"/>
          <w:sz w:val="32"/>
          <w:lang w:val="zh-CN"/>
        </w:rPr>
        <w:t>（一）机构组成</w:t>
      </w:r>
    </w:p>
    <w:p w14:paraId="76380A9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eastAsia="zh-CN"/>
        </w:rPr>
        <w:t>退役军人服务中心</w:t>
      </w:r>
      <w:r>
        <w:rPr>
          <w:rFonts w:hint="default" w:ascii="Times New Roman" w:hAnsi="Times New Roman" w:eastAsia="仿宋_GB2312" w:cs="Times New Roman"/>
          <w:sz w:val="32"/>
          <w:szCs w:val="32"/>
          <w:lang w:val="zh-CN" w:eastAsia="zh-CN"/>
        </w:rPr>
        <w:t>为中共四川遂宁高新技术产业园区工作委员会内设机构，属</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val="zh-CN" w:eastAsia="zh-CN"/>
        </w:rPr>
        <w:t>级预算单位。退役军人服务中心内设综合组、</w:t>
      </w:r>
      <w:r>
        <w:rPr>
          <w:rFonts w:hint="default" w:ascii="Times New Roman" w:hAnsi="Times New Roman" w:eastAsia="仿宋_GB2312" w:cs="Times New Roman"/>
          <w:sz w:val="32"/>
          <w:szCs w:val="32"/>
          <w:lang w:val="en-US" w:eastAsia="zh-CN"/>
        </w:rPr>
        <w:t>优抚双拥</w:t>
      </w:r>
      <w:r>
        <w:rPr>
          <w:rFonts w:hint="default" w:ascii="Times New Roman" w:hAnsi="Times New Roman" w:eastAsia="仿宋_GB2312" w:cs="Times New Roman"/>
          <w:sz w:val="32"/>
          <w:szCs w:val="32"/>
          <w:lang w:val="zh-CN" w:eastAsia="zh-CN"/>
        </w:rPr>
        <w:t>组、</w:t>
      </w:r>
      <w:r>
        <w:rPr>
          <w:rFonts w:hint="default" w:ascii="Times New Roman" w:hAnsi="Times New Roman" w:eastAsia="仿宋_GB2312" w:cs="Times New Roman"/>
          <w:sz w:val="32"/>
          <w:szCs w:val="32"/>
          <w:lang w:val="en-US" w:eastAsia="zh-CN"/>
        </w:rPr>
        <w:t>安置信访</w:t>
      </w:r>
      <w:r>
        <w:rPr>
          <w:rFonts w:hint="default" w:ascii="Times New Roman" w:hAnsi="Times New Roman" w:eastAsia="仿宋_GB2312" w:cs="Times New Roman"/>
          <w:sz w:val="32"/>
          <w:szCs w:val="32"/>
          <w:lang w:val="zh-CN" w:eastAsia="zh-CN"/>
        </w:rPr>
        <w:t>组</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zh-CN" w:eastAsia="zh-CN"/>
        </w:rPr>
        <w:t>个职能组室。</w:t>
      </w:r>
    </w:p>
    <w:p w14:paraId="42F7ED1E">
      <w:pPr>
        <w:pStyle w:val="41"/>
        <w:suppressAutoHyphens/>
        <w:bidi w:val="0"/>
        <w:jc w:val="center"/>
        <w:rPr>
          <w:rFonts w:hint="default" w:ascii="Times New Roman" w:hAnsi="Times New Roman" w:eastAsia="仿宋_GB2312" w:cs="Times New Roman"/>
          <w:b/>
          <w:bCs/>
          <w:sz w:val="32"/>
          <w:szCs w:val="32"/>
          <w:lang w:val="zh-CN"/>
        </w:rPr>
      </w:pPr>
    </w:p>
    <w:p w14:paraId="2DC27026">
      <w:pPr>
        <w:pStyle w:val="41"/>
        <w:suppressAutoHyphens/>
        <w:bidi w:val="0"/>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表1  机构组成情况</w:t>
      </w:r>
    </w:p>
    <w:tbl>
      <w:tblPr>
        <w:tblStyle w:val="19"/>
        <w:tblW w:w="8422" w:type="dxa"/>
        <w:jc w:val="center"/>
        <w:tblLayout w:type="fixed"/>
        <w:tblCellMar>
          <w:top w:w="0" w:type="dxa"/>
          <w:left w:w="0" w:type="dxa"/>
          <w:bottom w:w="0" w:type="dxa"/>
          <w:right w:w="0" w:type="dxa"/>
        </w:tblCellMar>
      </w:tblPr>
      <w:tblGrid>
        <w:gridCol w:w="2291"/>
        <w:gridCol w:w="6131"/>
      </w:tblGrid>
      <w:tr w14:paraId="4F2FADF1">
        <w:tblPrEx>
          <w:tblCellMar>
            <w:top w:w="0" w:type="dxa"/>
            <w:left w:w="0" w:type="dxa"/>
            <w:bottom w:w="0" w:type="dxa"/>
            <w:right w:w="0" w:type="dxa"/>
          </w:tblCellMar>
        </w:tblPrEx>
        <w:trPr>
          <w:trHeight w:val="479" w:hRule="atLeast"/>
          <w:jc w:val="center"/>
        </w:trPr>
        <w:tc>
          <w:tcPr>
            <w:tcW w:w="22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6304B9">
            <w:pPr>
              <w:pStyle w:val="41"/>
              <w:jc w:val="center"/>
              <w:rPr>
                <w:rFonts w:hint="default" w:ascii="Times New Roman" w:hAnsi="Times New Roman" w:eastAsia="黑体" w:cs="Times New Roman"/>
                <w:sz w:val="28"/>
                <w:szCs w:val="28"/>
                <w:lang w:val="zh-CN"/>
              </w:rPr>
            </w:pPr>
            <w:r>
              <w:rPr>
                <w:rFonts w:hint="default" w:ascii="Times New Roman" w:hAnsi="Times New Roman" w:eastAsia="黑体" w:cs="Times New Roman"/>
                <w:sz w:val="28"/>
                <w:szCs w:val="28"/>
                <w:lang w:val="zh-CN"/>
              </w:rPr>
              <w:t>单位名称</w:t>
            </w:r>
          </w:p>
        </w:tc>
        <w:tc>
          <w:tcPr>
            <w:tcW w:w="6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C4EE3D">
            <w:pPr>
              <w:pStyle w:val="41"/>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内设办公室</w:t>
            </w:r>
          </w:p>
        </w:tc>
      </w:tr>
      <w:tr w14:paraId="79FB62E5">
        <w:tblPrEx>
          <w:tblCellMar>
            <w:top w:w="0" w:type="dxa"/>
            <w:left w:w="0" w:type="dxa"/>
            <w:bottom w:w="0" w:type="dxa"/>
            <w:right w:w="0" w:type="dxa"/>
          </w:tblCellMar>
        </w:tblPrEx>
        <w:trPr>
          <w:trHeight w:val="479" w:hRule="atLeast"/>
          <w:jc w:val="center"/>
        </w:trPr>
        <w:tc>
          <w:tcPr>
            <w:tcW w:w="229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91161C">
            <w:pPr>
              <w:pStyle w:val="41"/>
              <w:suppressAutoHyphens/>
              <w:bidi w:val="0"/>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退役军人服务中心</w:t>
            </w:r>
          </w:p>
        </w:tc>
        <w:tc>
          <w:tcPr>
            <w:tcW w:w="6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664DC5">
            <w:pPr>
              <w:pStyle w:val="41"/>
              <w:suppressAutoHyphens/>
              <w:bidi w:val="0"/>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zh-CN" w:eastAsia="zh-CN"/>
              </w:rPr>
              <w:t>综合组</w:t>
            </w:r>
          </w:p>
        </w:tc>
      </w:tr>
      <w:tr w14:paraId="4C1C8D78">
        <w:tblPrEx>
          <w:tblCellMar>
            <w:top w:w="0" w:type="dxa"/>
            <w:left w:w="0" w:type="dxa"/>
            <w:bottom w:w="0" w:type="dxa"/>
            <w:right w:w="0" w:type="dxa"/>
          </w:tblCellMar>
        </w:tblPrEx>
        <w:trPr>
          <w:trHeight w:val="479" w:hRule="atLeast"/>
          <w:jc w:val="center"/>
        </w:trPr>
        <w:tc>
          <w:tcPr>
            <w:tcW w:w="229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10B533">
            <w:pPr>
              <w:pStyle w:val="41"/>
              <w:suppressAutoHyphens/>
              <w:bidi w:val="0"/>
              <w:jc w:val="center"/>
              <w:rPr>
                <w:rFonts w:hint="default" w:ascii="Times New Roman" w:hAnsi="Times New Roman" w:eastAsia="仿宋_GB2312" w:cs="Times New Roman"/>
                <w:sz w:val="28"/>
                <w:szCs w:val="28"/>
                <w:lang w:val="zh-CN" w:eastAsia="zh-CN"/>
              </w:rPr>
            </w:pPr>
          </w:p>
        </w:tc>
        <w:tc>
          <w:tcPr>
            <w:tcW w:w="6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99F5B8">
            <w:pPr>
              <w:pStyle w:val="41"/>
              <w:suppressAutoHyphens/>
              <w:bidi w:val="0"/>
              <w:jc w:val="center"/>
              <w:rPr>
                <w:rFonts w:hint="default" w:ascii="Times New Roman" w:hAnsi="Times New Roman" w:eastAsia="仿宋_GB2312" w:cs="Times New Roman"/>
                <w:sz w:val="28"/>
                <w:szCs w:val="28"/>
                <w:lang w:val="zh-CN" w:eastAsia="zh-CN"/>
              </w:rPr>
            </w:pPr>
            <w:r>
              <w:rPr>
                <w:rFonts w:hint="default" w:ascii="Times New Roman" w:hAnsi="Times New Roman" w:eastAsia="仿宋_GB2312" w:cs="Times New Roman"/>
                <w:sz w:val="28"/>
                <w:szCs w:val="28"/>
                <w:lang w:val="en-US" w:eastAsia="zh-CN"/>
              </w:rPr>
              <w:t>优抚双拥</w:t>
            </w:r>
            <w:r>
              <w:rPr>
                <w:rFonts w:hint="default" w:ascii="Times New Roman" w:hAnsi="Times New Roman" w:eastAsia="仿宋_GB2312" w:cs="Times New Roman"/>
                <w:sz w:val="28"/>
                <w:szCs w:val="28"/>
                <w:lang w:val="zh-CN" w:eastAsia="zh-CN"/>
              </w:rPr>
              <w:t>组</w:t>
            </w:r>
          </w:p>
        </w:tc>
      </w:tr>
      <w:tr w14:paraId="5CDCBCFA">
        <w:tblPrEx>
          <w:tblCellMar>
            <w:top w:w="0" w:type="dxa"/>
            <w:left w:w="0" w:type="dxa"/>
            <w:bottom w:w="0" w:type="dxa"/>
            <w:right w:w="0" w:type="dxa"/>
          </w:tblCellMar>
        </w:tblPrEx>
        <w:trPr>
          <w:trHeight w:val="479" w:hRule="atLeast"/>
          <w:jc w:val="center"/>
        </w:trPr>
        <w:tc>
          <w:tcPr>
            <w:tcW w:w="229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DB32E8">
            <w:pPr>
              <w:pStyle w:val="41"/>
              <w:suppressAutoHyphens/>
              <w:bidi w:val="0"/>
              <w:jc w:val="center"/>
              <w:rPr>
                <w:rFonts w:hint="default" w:ascii="Times New Roman" w:hAnsi="Times New Roman" w:eastAsia="仿宋_GB2312" w:cs="Times New Roman"/>
                <w:sz w:val="28"/>
                <w:szCs w:val="28"/>
                <w:lang w:val="zh-CN" w:eastAsia="zh-CN"/>
              </w:rPr>
            </w:pPr>
          </w:p>
        </w:tc>
        <w:tc>
          <w:tcPr>
            <w:tcW w:w="6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A33E6B">
            <w:pPr>
              <w:pStyle w:val="41"/>
              <w:suppressAutoHyphens/>
              <w:bidi w:val="0"/>
              <w:jc w:val="center"/>
              <w:rPr>
                <w:rFonts w:hint="default" w:ascii="Times New Roman" w:hAnsi="Times New Roman" w:eastAsia="仿宋_GB2312" w:cs="Times New Roman"/>
                <w:sz w:val="28"/>
                <w:szCs w:val="28"/>
                <w:lang w:val="zh-CN" w:eastAsia="zh-CN"/>
              </w:rPr>
            </w:pPr>
            <w:r>
              <w:rPr>
                <w:rFonts w:hint="default" w:ascii="Times New Roman" w:hAnsi="Times New Roman" w:eastAsia="仿宋_GB2312" w:cs="Times New Roman"/>
                <w:sz w:val="28"/>
                <w:szCs w:val="28"/>
                <w:lang w:val="en-US" w:eastAsia="zh-CN"/>
              </w:rPr>
              <w:t>安置信访</w:t>
            </w:r>
            <w:r>
              <w:rPr>
                <w:rFonts w:hint="default" w:ascii="Times New Roman" w:hAnsi="Times New Roman" w:eastAsia="仿宋_GB2312" w:cs="Times New Roman"/>
                <w:sz w:val="28"/>
                <w:szCs w:val="28"/>
                <w:lang w:val="zh-CN" w:eastAsia="zh-CN"/>
              </w:rPr>
              <w:t>组</w:t>
            </w:r>
          </w:p>
        </w:tc>
      </w:tr>
    </w:tbl>
    <w:p w14:paraId="632E2077">
      <w:pPr>
        <w:suppressAutoHyphens/>
        <w:bidi w:val="0"/>
        <w:spacing w:line="560" w:lineRule="exact"/>
        <w:ind w:firstLine="640" w:firstLineChars="200"/>
        <w:outlineLvl w:val="1"/>
        <w:rPr>
          <w:rFonts w:hint="default" w:ascii="Times New Roman" w:hAnsi="Times New Roman" w:eastAsia="楷体_GB2312" w:cs="Times New Roman"/>
          <w:sz w:val="32"/>
          <w:lang w:val="zh-CN"/>
        </w:rPr>
      </w:pPr>
      <w:r>
        <w:rPr>
          <w:rFonts w:hint="default" w:ascii="Times New Roman" w:hAnsi="Times New Roman" w:eastAsia="楷体_GB2312" w:cs="Times New Roman"/>
          <w:sz w:val="32"/>
          <w:lang w:val="zh-CN"/>
        </w:rPr>
        <w:t>（</w:t>
      </w:r>
      <w:r>
        <w:rPr>
          <w:rFonts w:hint="default" w:ascii="Times New Roman" w:hAnsi="Times New Roman" w:eastAsia="楷体_GB2312" w:cs="Times New Roman"/>
          <w:sz w:val="32"/>
        </w:rPr>
        <w:t>二</w:t>
      </w:r>
      <w:r>
        <w:rPr>
          <w:rFonts w:hint="default" w:ascii="Times New Roman" w:hAnsi="Times New Roman" w:eastAsia="楷体_GB2312" w:cs="Times New Roman"/>
          <w:sz w:val="32"/>
          <w:lang w:val="zh-CN"/>
        </w:rPr>
        <w:t>）机构职能</w:t>
      </w:r>
    </w:p>
    <w:p w14:paraId="6760602C">
      <w:pPr>
        <w:suppressAutoHyphens/>
        <w:bidi w:val="0"/>
        <w:spacing w:line="560" w:lineRule="exact"/>
        <w:ind w:firstLine="640" w:firstLineChars="200"/>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zh-CN" w:eastAsia="zh-CN"/>
        </w:rPr>
        <w:t>退役军人服务中心的主要职责是：</w:t>
      </w:r>
      <w:r>
        <w:rPr>
          <w:rFonts w:hint="default" w:ascii="Times New Roman" w:hAnsi="Times New Roman" w:eastAsia="仿宋_GB2312" w:cs="Times New Roman"/>
          <w:sz w:val="32"/>
          <w:lang w:val="en-US" w:eastAsia="zh-CN"/>
        </w:rPr>
        <w:t>主要承担辖区内（含乡镇、街道）退役军人有关服务工作。具体落实就业创业、优抚帮扶、权益保障、数据信息采集等政策措施；协助做好关系转接和档案移交，协助基层党组织做好党员教育服务工作；做好退役军人和其他优抚对象采访接待、政策咨询好信访工作，依法及时就地化解矛盾问题；针对性、常态化开展精准帮扶援助；开展走访慰问，送立功喜报、悬挂光荣牌等具体事务工作。</w:t>
      </w:r>
    </w:p>
    <w:p w14:paraId="2A2165D8">
      <w:pPr>
        <w:suppressAutoHyphens/>
        <w:bidi w:val="0"/>
        <w:spacing w:line="560" w:lineRule="exact"/>
        <w:ind w:firstLine="640" w:firstLineChars="200"/>
        <w:outlineLvl w:val="1"/>
        <w:rPr>
          <w:rFonts w:hint="default" w:ascii="Times New Roman" w:hAnsi="Times New Roman" w:eastAsia="楷体_GB2312" w:cs="Times New Roman"/>
          <w:sz w:val="32"/>
          <w:lang w:val="zh-CN"/>
        </w:rPr>
      </w:pPr>
      <w:r>
        <w:rPr>
          <w:rFonts w:hint="default" w:ascii="Times New Roman" w:hAnsi="Times New Roman" w:eastAsia="楷体_GB2312" w:cs="Times New Roman"/>
          <w:sz w:val="32"/>
          <w:lang w:val="zh-CN"/>
        </w:rPr>
        <w:t>（三）人员概况</w:t>
      </w:r>
    </w:p>
    <w:p w14:paraId="5DB26171">
      <w:pPr>
        <w:suppressAutoHyphens/>
        <w:bidi w:val="0"/>
        <w:spacing w:line="560" w:lineRule="exact"/>
        <w:ind w:firstLine="640" w:firstLineChars="200"/>
        <w:rPr>
          <w:rFonts w:hint="default" w:ascii="Times New Roman" w:hAnsi="Times New Roman" w:eastAsia="仿宋_GB2312" w:cs="Times New Roman"/>
          <w:sz w:val="32"/>
          <w:lang w:val="zh-CN"/>
        </w:rPr>
      </w:pPr>
      <w:r>
        <w:rPr>
          <w:rFonts w:hint="default" w:ascii="Times New Roman" w:hAnsi="Times New Roman" w:eastAsia="仿宋_GB2312" w:cs="Times New Roman"/>
          <w:sz w:val="32"/>
          <w:lang w:val="zh-CN"/>
        </w:rPr>
        <w:t>退役军人服务中心</w:t>
      </w:r>
      <w:r>
        <w:rPr>
          <w:rFonts w:hint="default" w:ascii="Times New Roman" w:hAnsi="Times New Roman" w:eastAsia="仿宋_GB2312" w:cs="Times New Roman"/>
          <w:sz w:val="32"/>
        </w:rPr>
        <w:t>202</w:t>
      </w:r>
      <w:r>
        <w:rPr>
          <w:rFonts w:hint="default" w:ascii="Times New Roman" w:hAnsi="Times New Roman" w:eastAsia="仿宋_GB2312" w:cs="Times New Roman"/>
          <w:sz w:val="32"/>
          <w:lang w:val="en-US" w:eastAsia="zh-CN"/>
        </w:rPr>
        <w:t>3</w:t>
      </w:r>
      <w:r>
        <w:rPr>
          <w:rFonts w:hint="default" w:ascii="Times New Roman" w:hAnsi="Times New Roman" w:eastAsia="仿宋_GB2312" w:cs="Times New Roman"/>
          <w:sz w:val="32"/>
        </w:rPr>
        <w:t>年末在职人员共</w:t>
      </w:r>
      <w:r>
        <w:rPr>
          <w:rFonts w:hint="default" w:ascii="Times New Roman" w:hAnsi="Times New Roman" w:eastAsia="仿宋_GB2312" w:cs="Times New Roman"/>
          <w:sz w:val="32"/>
          <w:lang w:val="en-US" w:eastAsia="zh-CN"/>
        </w:rPr>
        <w:t>6</w:t>
      </w:r>
      <w:r>
        <w:rPr>
          <w:rFonts w:hint="default" w:ascii="Times New Roman" w:hAnsi="Times New Roman" w:eastAsia="仿宋_GB2312" w:cs="Times New Roman"/>
          <w:sz w:val="32"/>
        </w:rPr>
        <w:t>人，其中，行政人员</w:t>
      </w:r>
      <w:r>
        <w:rPr>
          <w:rFonts w:hint="default" w:ascii="Times New Roman" w:hAnsi="Times New Roman" w:eastAsia="仿宋_GB2312" w:cs="Times New Roman"/>
          <w:sz w:val="32"/>
          <w:lang w:val="en-US" w:eastAsia="zh-CN"/>
        </w:rPr>
        <w:t>1</w:t>
      </w:r>
      <w:r>
        <w:rPr>
          <w:rFonts w:hint="default" w:ascii="Times New Roman" w:hAnsi="Times New Roman" w:eastAsia="仿宋_GB2312" w:cs="Times New Roman"/>
          <w:sz w:val="32"/>
        </w:rPr>
        <w:t>人，事业人员</w:t>
      </w:r>
      <w:r>
        <w:rPr>
          <w:rFonts w:hint="default" w:ascii="Times New Roman" w:hAnsi="Times New Roman" w:eastAsia="仿宋_GB2312" w:cs="Times New Roman"/>
          <w:sz w:val="32"/>
          <w:lang w:val="en-US" w:eastAsia="zh-CN"/>
        </w:rPr>
        <w:t>1</w:t>
      </w:r>
      <w:r>
        <w:rPr>
          <w:rFonts w:hint="default" w:ascii="Times New Roman" w:hAnsi="Times New Roman" w:eastAsia="仿宋_GB2312" w:cs="Times New Roman"/>
          <w:sz w:val="32"/>
        </w:rPr>
        <w:t>人</w:t>
      </w:r>
      <w:r>
        <w:rPr>
          <w:rFonts w:hint="default" w:ascii="Times New Roman" w:hAnsi="Times New Roman" w:eastAsia="仿宋_GB2312" w:cs="Times New Roman"/>
          <w:sz w:val="32"/>
          <w:lang w:val="zh-CN"/>
        </w:rPr>
        <w:t>，借用</w:t>
      </w:r>
      <w:r>
        <w:rPr>
          <w:rFonts w:hint="default" w:ascii="Times New Roman" w:hAnsi="Times New Roman" w:eastAsia="仿宋_GB2312" w:cs="Times New Roman"/>
          <w:sz w:val="32"/>
          <w:lang w:val="en-US" w:eastAsia="zh-CN"/>
        </w:rPr>
        <w:t>机关工勤</w:t>
      </w:r>
      <w:r>
        <w:rPr>
          <w:rFonts w:hint="default" w:ascii="Times New Roman" w:hAnsi="Times New Roman" w:eastAsia="仿宋_GB2312" w:cs="Times New Roman"/>
          <w:sz w:val="32"/>
          <w:lang w:val="zh-CN"/>
        </w:rPr>
        <w:t>人员</w:t>
      </w:r>
      <w:r>
        <w:rPr>
          <w:rFonts w:hint="default" w:ascii="Times New Roman" w:hAnsi="Times New Roman" w:eastAsia="仿宋_GB2312" w:cs="Times New Roman"/>
          <w:sz w:val="32"/>
        </w:rPr>
        <w:t>1</w:t>
      </w:r>
      <w:r>
        <w:rPr>
          <w:rFonts w:hint="default" w:ascii="Times New Roman" w:hAnsi="Times New Roman" w:eastAsia="仿宋_GB2312" w:cs="Times New Roman"/>
          <w:sz w:val="32"/>
          <w:lang w:val="zh-CN"/>
        </w:rPr>
        <w:t>人</w:t>
      </w:r>
      <w:r>
        <w:rPr>
          <w:rFonts w:hint="default" w:ascii="Times New Roman" w:hAnsi="Times New Roman" w:eastAsia="仿宋_GB2312" w:cs="Times New Roman"/>
          <w:sz w:val="32"/>
          <w:lang w:val="zh-CN"/>
        </w:rPr>
        <w:t>、</w:t>
      </w:r>
      <w:r>
        <w:rPr>
          <w:rFonts w:hint="default" w:ascii="Times New Roman" w:hAnsi="Times New Roman" w:eastAsia="仿宋_GB2312" w:cs="Times New Roman"/>
          <w:sz w:val="32"/>
          <w:lang w:val="en-US" w:eastAsia="zh-CN"/>
        </w:rPr>
        <w:t>事业工勤</w:t>
      </w:r>
      <w:r>
        <w:rPr>
          <w:rFonts w:hint="default" w:ascii="Times New Roman" w:hAnsi="Times New Roman" w:eastAsia="仿宋_GB2312" w:cs="Times New Roman"/>
          <w:sz w:val="32"/>
          <w:lang w:val="zh-CN"/>
        </w:rPr>
        <w:t>人员</w:t>
      </w:r>
      <w:r>
        <w:rPr>
          <w:rFonts w:hint="default" w:ascii="Times New Roman" w:hAnsi="Times New Roman" w:eastAsia="仿宋_GB2312" w:cs="Times New Roman"/>
          <w:sz w:val="32"/>
        </w:rPr>
        <w:t>1</w:t>
      </w:r>
      <w:r>
        <w:rPr>
          <w:rFonts w:hint="default" w:ascii="Times New Roman" w:hAnsi="Times New Roman" w:eastAsia="仿宋_GB2312" w:cs="Times New Roman"/>
          <w:sz w:val="32"/>
          <w:lang w:val="zh-CN"/>
        </w:rPr>
        <w:t>人</w:t>
      </w:r>
      <w:r>
        <w:rPr>
          <w:rFonts w:hint="default" w:ascii="Times New Roman" w:hAnsi="Times New Roman" w:eastAsia="仿宋_GB2312" w:cs="Times New Roman"/>
          <w:sz w:val="32"/>
          <w:lang w:val="zh-CN"/>
        </w:rPr>
        <w:t>、</w:t>
      </w:r>
      <w:r>
        <w:rPr>
          <w:rFonts w:hint="default" w:ascii="Times New Roman" w:hAnsi="Times New Roman" w:eastAsia="仿宋_GB2312" w:cs="Times New Roman"/>
          <w:sz w:val="32"/>
          <w:lang w:val="zh-CN"/>
        </w:rPr>
        <w:t>公司人员</w:t>
      </w:r>
      <w:r>
        <w:rPr>
          <w:rFonts w:hint="default" w:ascii="Times New Roman" w:hAnsi="Times New Roman" w:eastAsia="仿宋_GB2312" w:cs="Times New Roman"/>
          <w:sz w:val="32"/>
          <w:lang w:val="en-US" w:eastAsia="zh-CN"/>
        </w:rPr>
        <w:t>1</w:t>
      </w:r>
      <w:r>
        <w:rPr>
          <w:rFonts w:hint="default" w:ascii="Times New Roman" w:hAnsi="Times New Roman" w:eastAsia="仿宋_GB2312" w:cs="Times New Roman"/>
          <w:sz w:val="32"/>
          <w:lang w:val="zh-CN"/>
        </w:rPr>
        <w:t>人，</w:t>
      </w:r>
      <w:r>
        <w:rPr>
          <w:rFonts w:hint="default" w:ascii="Times New Roman" w:hAnsi="Times New Roman" w:eastAsia="仿宋_GB2312" w:cs="Times New Roman"/>
          <w:sz w:val="32"/>
          <w:lang w:val="en-US" w:eastAsia="zh-CN"/>
        </w:rPr>
        <w:t>劳务派遣人员1人</w:t>
      </w:r>
      <w:r>
        <w:rPr>
          <w:rFonts w:hint="default" w:ascii="Times New Roman" w:hAnsi="Times New Roman" w:eastAsia="仿宋_GB2312" w:cs="Times New Roman"/>
          <w:sz w:val="32"/>
          <w:lang w:val="zh-CN"/>
        </w:rPr>
        <w:t>。</w:t>
      </w:r>
    </w:p>
    <w:p w14:paraId="6ED29B79">
      <w:pPr>
        <w:spacing w:line="560" w:lineRule="exact"/>
        <w:ind w:firstLine="640"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二、部门财政资金收支情况</w:t>
      </w:r>
    </w:p>
    <w:p w14:paraId="60860647">
      <w:pPr>
        <w:suppressAutoHyphens/>
        <w:bidi w:val="0"/>
        <w:spacing w:line="560" w:lineRule="exact"/>
        <w:ind w:firstLine="640" w:firstLineChars="200"/>
        <w:outlineLvl w:val="1"/>
        <w:rPr>
          <w:rFonts w:hint="default" w:ascii="Times New Roman" w:hAnsi="Times New Roman" w:eastAsia="楷体_GB2312" w:cs="Times New Roman"/>
          <w:b w:val="0"/>
          <w:bCs w:val="0"/>
          <w:sz w:val="32"/>
          <w:lang w:val="zh-CN"/>
        </w:rPr>
      </w:pPr>
      <w:r>
        <w:rPr>
          <w:rFonts w:hint="default" w:ascii="Times New Roman" w:hAnsi="Times New Roman" w:eastAsia="楷体_GB2312" w:cs="Times New Roman"/>
          <w:b w:val="0"/>
          <w:bCs w:val="0"/>
          <w:sz w:val="32"/>
          <w:lang w:val="zh-CN"/>
        </w:rPr>
        <w:t>（</w:t>
      </w:r>
      <w:r>
        <w:rPr>
          <w:rFonts w:hint="default" w:ascii="Times New Roman" w:hAnsi="Times New Roman" w:eastAsia="楷体_GB2312" w:cs="Times New Roman"/>
          <w:b w:val="0"/>
          <w:bCs w:val="0"/>
          <w:sz w:val="32"/>
          <w:lang w:val="zh-CN"/>
        </w:rPr>
        <w:t>一</w:t>
      </w:r>
      <w:r>
        <w:rPr>
          <w:rFonts w:hint="default" w:ascii="Times New Roman" w:hAnsi="Times New Roman" w:eastAsia="楷体_GB2312" w:cs="Times New Roman"/>
          <w:b w:val="0"/>
          <w:bCs w:val="0"/>
          <w:sz w:val="32"/>
          <w:lang w:val="zh-CN"/>
        </w:rPr>
        <w:t>）部门</w:t>
      </w:r>
      <w:r>
        <w:rPr>
          <w:rFonts w:hint="default" w:ascii="Times New Roman" w:hAnsi="Times New Roman" w:eastAsia="楷体_GB2312" w:cs="Times New Roman"/>
          <w:b w:val="0"/>
          <w:bCs w:val="0"/>
          <w:sz w:val="30"/>
          <w:szCs w:val="30"/>
          <w:lang w:val="zh-CN"/>
        </w:rPr>
        <w:t>财政资金收入情况</w:t>
      </w:r>
    </w:p>
    <w:p w14:paraId="7DB28BB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zh-CN" w:eastAsia="zh-CN"/>
        </w:rPr>
        <w:t>20</w:t>
      </w: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lang w:val="zh-CN" w:eastAsia="zh-CN"/>
        </w:rPr>
        <w:t>年度，退役军人服务中心年初预算</w:t>
      </w:r>
      <w:r>
        <w:rPr>
          <w:rFonts w:hint="default" w:ascii="Times New Roman" w:hAnsi="Times New Roman" w:eastAsia="仿宋_GB2312" w:cs="Times New Roman"/>
          <w:sz w:val="32"/>
          <w:szCs w:val="32"/>
          <w:lang w:val="en-US" w:eastAsia="zh-CN"/>
        </w:rPr>
        <w:t>615.62万元</w:t>
      </w:r>
      <w:r>
        <w:rPr>
          <w:rFonts w:hint="default" w:ascii="Times New Roman" w:hAnsi="Times New Roman" w:eastAsia="仿宋_GB2312" w:cs="Times New Roman"/>
          <w:sz w:val="32"/>
          <w:szCs w:val="32"/>
          <w:lang w:val="zh-CN" w:eastAsia="zh-CN"/>
        </w:rPr>
        <w:t>，其中， </w:t>
      </w:r>
      <w:r>
        <w:rPr>
          <w:rFonts w:hint="default" w:ascii="Times New Roman" w:hAnsi="Times New Roman" w:eastAsia="仿宋_GB2312" w:cs="Times New Roman"/>
          <w:sz w:val="32"/>
          <w:szCs w:val="32"/>
          <w:lang w:val="en-US" w:eastAsia="zh-CN"/>
        </w:rPr>
        <w:t>一般公共预算拨款收入615.62万元，</w:t>
      </w:r>
      <w:bookmarkStart w:id="104" w:name="OLE_LINK16"/>
      <w:r>
        <w:rPr>
          <w:rFonts w:hint="default" w:ascii="Times New Roman" w:hAnsi="Times New Roman" w:eastAsia="仿宋_GB2312" w:cs="Times New Roman"/>
          <w:sz w:val="32"/>
          <w:szCs w:val="32"/>
          <w:lang w:val="en-US" w:eastAsia="zh-CN"/>
        </w:rPr>
        <w:t>调整预算数为458.66万元。</w:t>
      </w:r>
    </w:p>
    <w:bookmarkEnd w:id="104"/>
    <w:p w14:paraId="21F062D2">
      <w:pPr>
        <w:pStyle w:val="41"/>
        <w:jc w:val="center"/>
        <w:rPr>
          <w:rFonts w:hint="default" w:ascii="Times New Roman" w:hAnsi="Times New Roman" w:cs="Times New Roman"/>
          <w:b/>
          <w:bCs/>
          <w:sz w:val="32"/>
          <w:szCs w:val="32"/>
          <w:lang w:val="zh-CN"/>
        </w:rPr>
      </w:pPr>
    </w:p>
    <w:p w14:paraId="5C4A277C">
      <w:pPr>
        <w:pStyle w:val="41"/>
        <w:jc w:val="center"/>
        <w:rPr>
          <w:rFonts w:hint="default" w:ascii="Times New Roman" w:hAnsi="Times New Roman" w:eastAsia="仿宋_GB2312" w:cs="Times New Roman"/>
          <w:b w:val="0"/>
          <w:bCs w:val="0"/>
          <w:sz w:val="32"/>
          <w:szCs w:val="32"/>
          <w:lang w:val="zh-CN"/>
        </w:rPr>
      </w:pPr>
      <w:r>
        <w:rPr>
          <w:rFonts w:hint="default" w:ascii="Times New Roman" w:hAnsi="Times New Roman" w:eastAsia="仿宋_GB2312" w:cs="Times New Roman"/>
          <w:b w:val="0"/>
          <w:bCs w:val="0"/>
          <w:sz w:val="32"/>
          <w:szCs w:val="32"/>
          <w:lang w:val="zh-CN"/>
        </w:rPr>
        <w:t>表</w:t>
      </w:r>
      <w:r>
        <w:rPr>
          <w:rFonts w:hint="default" w:ascii="Times New Roman" w:hAnsi="Times New Roman" w:eastAsia="仿宋_GB2312" w:cs="Times New Roman"/>
          <w:b w:val="0"/>
          <w:bCs w:val="0"/>
          <w:sz w:val="32"/>
          <w:szCs w:val="32"/>
        </w:rPr>
        <w:t xml:space="preserve">2  </w:t>
      </w:r>
      <w:r>
        <w:rPr>
          <w:rFonts w:hint="default" w:ascii="Times New Roman" w:hAnsi="Times New Roman" w:eastAsia="仿宋_GB2312" w:cs="Times New Roman"/>
          <w:b w:val="0"/>
          <w:bCs w:val="0"/>
          <w:sz w:val="32"/>
          <w:szCs w:val="32"/>
          <w:lang w:val="zh-CN"/>
        </w:rPr>
        <w:t>年度预算收入安排情况表</w:t>
      </w:r>
    </w:p>
    <w:p w14:paraId="2FECDDFA">
      <w:pPr>
        <w:pStyle w:val="41"/>
        <w:jc w:val="center"/>
        <w:rPr>
          <w:rFonts w:hint="default" w:ascii="Times New Roman" w:hAnsi="Times New Roman" w:eastAsia="仿宋_GB2312" w:cs="Times New Roman"/>
          <w:b w:val="0"/>
          <w:bCs w:val="0"/>
          <w:sz w:val="24"/>
          <w:szCs w:val="24"/>
          <w:lang w:val="zh-CN"/>
        </w:rPr>
      </w:pPr>
      <w:r>
        <w:rPr>
          <w:rFonts w:hint="default" w:ascii="Times New Roman" w:hAnsi="Times New Roman" w:eastAsia="仿宋_GB2312" w:cs="Times New Roman"/>
          <w:b w:val="0"/>
          <w:bCs w:val="0"/>
          <w:sz w:val="24"/>
          <w:szCs w:val="24"/>
        </w:rPr>
        <w:t xml:space="preserve">                                                  </w:t>
      </w:r>
      <w:r>
        <w:rPr>
          <w:rFonts w:hint="default" w:ascii="Times New Roman" w:hAnsi="Times New Roman" w:eastAsia="仿宋_GB2312" w:cs="Times New Roman"/>
          <w:b w:val="0"/>
          <w:bCs w:val="0"/>
          <w:sz w:val="24"/>
          <w:szCs w:val="24"/>
          <w:lang w:val="zh-CN"/>
        </w:rPr>
        <w:t>金额单位：万元</w:t>
      </w:r>
    </w:p>
    <w:tbl>
      <w:tblPr>
        <w:tblStyle w:val="19"/>
        <w:tblW w:w="9353" w:type="dxa"/>
        <w:jc w:val="center"/>
        <w:tblLayout w:type="fixed"/>
        <w:tblCellMar>
          <w:top w:w="0" w:type="dxa"/>
          <w:left w:w="0" w:type="dxa"/>
          <w:bottom w:w="0" w:type="dxa"/>
          <w:right w:w="0" w:type="dxa"/>
        </w:tblCellMar>
      </w:tblPr>
      <w:tblGrid>
        <w:gridCol w:w="3231"/>
        <w:gridCol w:w="1559"/>
        <w:gridCol w:w="1701"/>
        <w:gridCol w:w="1560"/>
        <w:gridCol w:w="1302"/>
      </w:tblGrid>
      <w:tr w14:paraId="2ED94018">
        <w:tblPrEx>
          <w:tblCellMar>
            <w:top w:w="0" w:type="dxa"/>
            <w:left w:w="0" w:type="dxa"/>
            <w:bottom w:w="0" w:type="dxa"/>
            <w:right w:w="0" w:type="dxa"/>
          </w:tblCellMar>
        </w:tblPrEx>
        <w:trPr>
          <w:trHeight w:val="449" w:hRule="exact"/>
          <w:jc w:val="center"/>
        </w:trPr>
        <w:tc>
          <w:tcPr>
            <w:tcW w:w="32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DF8C7F">
            <w:pPr>
              <w:pStyle w:val="41"/>
              <w:jc w:val="center"/>
              <w:rPr>
                <w:rFonts w:hint="default" w:ascii="Times New Roman" w:hAnsi="Times New Roman" w:eastAsia="仿宋_GB2312" w:cs="Times New Roman"/>
                <w:b w:val="0"/>
                <w:bCs w:val="0"/>
                <w:sz w:val="24"/>
                <w:szCs w:val="24"/>
                <w:lang w:val="zh-CN"/>
              </w:rPr>
            </w:pPr>
            <w:r>
              <w:rPr>
                <w:rFonts w:hint="default" w:ascii="Times New Roman" w:hAnsi="Times New Roman" w:eastAsia="仿宋_GB2312" w:cs="Times New Roman"/>
                <w:b w:val="0"/>
                <w:bCs w:val="0"/>
                <w:sz w:val="24"/>
                <w:szCs w:val="24"/>
                <w:lang w:val="zh-CN"/>
              </w:rPr>
              <w:t>项目</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0BB139">
            <w:pPr>
              <w:pStyle w:val="41"/>
              <w:jc w:val="center"/>
              <w:rPr>
                <w:rFonts w:hint="default" w:ascii="Times New Roman" w:hAnsi="Times New Roman" w:eastAsia="仿宋_GB2312" w:cs="Times New Roman"/>
                <w:b w:val="0"/>
                <w:bCs w:val="0"/>
                <w:sz w:val="24"/>
                <w:szCs w:val="24"/>
                <w:lang w:val="zh-CN"/>
              </w:rPr>
            </w:pPr>
            <w:r>
              <w:rPr>
                <w:rFonts w:hint="default" w:ascii="Times New Roman" w:hAnsi="Times New Roman" w:eastAsia="仿宋_GB2312" w:cs="Times New Roman"/>
                <w:b w:val="0"/>
                <w:bCs w:val="0"/>
                <w:sz w:val="24"/>
                <w:szCs w:val="24"/>
                <w:lang w:val="zh-CN"/>
              </w:rPr>
              <w:t>年初预算数</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68C24F">
            <w:pPr>
              <w:pStyle w:val="41"/>
              <w:jc w:val="center"/>
              <w:rPr>
                <w:rFonts w:hint="default" w:ascii="Times New Roman" w:hAnsi="Times New Roman" w:eastAsia="仿宋_GB2312" w:cs="Times New Roman"/>
                <w:b w:val="0"/>
                <w:bCs w:val="0"/>
                <w:sz w:val="24"/>
                <w:szCs w:val="24"/>
                <w:lang w:val="zh-CN"/>
              </w:rPr>
            </w:pPr>
            <w:r>
              <w:rPr>
                <w:rFonts w:hint="default" w:ascii="Times New Roman" w:hAnsi="Times New Roman" w:eastAsia="仿宋_GB2312" w:cs="Times New Roman"/>
                <w:b w:val="0"/>
                <w:bCs w:val="0"/>
                <w:sz w:val="24"/>
                <w:szCs w:val="24"/>
                <w:lang w:val="zh-CN"/>
              </w:rPr>
              <w:t>调整预算数</w:t>
            </w:r>
          </w:p>
        </w:tc>
        <w:tc>
          <w:tcPr>
            <w:tcW w:w="1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EE6194">
            <w:pPr>
              <w:pStyle w:val="41"/>
              <w:jc w:val="center"/>
              <w:rPr>
                <w:rFonts w:hint="default" w:ascii="Times New Roman" w:hAnsi="Times New Roman" w:eastAsia="仿宋_GB2312" w:cs="Times New Roman"/>
                <w:b w:val="0"/>
                <w:bCs w:val="0"/>
                <w:sz w:val="24"/>
                <w:szCs w:val="24"/>
                <w:lang w:val="zh-CN"/>
              </w:rPr>
            </w:pPr>
            <w:r>
              <w:rPr>
                <w:rFonts w:hint="default" w:ascii="Times New Roman" w:hAnsi="Times New Roman" w:eastAsia="仿宋_GB2312" w:cs="Times New Roman"/>
                <w:b w:val="0"/>
                <w:bCs w:val="0"/>
                <w:sz w:val="24"/>
                <w:szCs w:val="24"/>
                <w:lang w:val="zh-CN"/>
              </w:rPr>
              <w:t>决算数</w:t>
            </w:r>
          </w:p>
        </w:tc>
        <w:tc>
          <w:tcPr>
            <w:tcW w:w="13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09C485">
            <w:pPr>
              <w:pStyle w:val="41"/>
              <w:jc w:val="center"/>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lang w:val="en-US" w:eastAsia="zh-CN"/>
              </w:rPr>
              <w:t>执行率</w:t>
            </w:r>
          </w:p>
        </w:tc>
      </w:tr>
      <w:tr w14:paraId="5BC31AF3">
        <w:tblPrEx>
          <w:tblCellMar>
            <w:top w:w="0" w:type="dxa"/>
            <w:left w:w="0" w:type="dxa"/>
            <w:bottom w:w="0" w:type="dxa"/>
            <w:right w:w="0" w:type="dxa"/>
          </w:tblCellMar>
        </w:tblPrEx>
        <w:trPr>
          <w:trHeight w:val="454" w:hRule="exact"/>
          <w:jc w:val="center"/>
        </w:trPr>
        <w:tc>
          <w:tcPr>
            <w:tcW w:w="32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878D08">
            <w:pPr>
              <w:pStyle w:val="41"/>
              <w:jc w:val="center"/>
              <w:rPr>
                <w:rFonts w:hint="default" w:ascii="Times New Roman" w:hAnsi="Times New Roman" w:eastAsia="仿宋_GB2312" w:cs="Times New Roman"/>
                <w:b w:val="0"/>
                <w:bCs w:val="0"/>
                <w:kern w:val="2"/>
                <w:sz w:val="24"/>
                <w:szCs w:val="24"/>
                <w:lang w:val="zh-CN" w:eastAsia="zh-CN" w:bidi="ar-SA"/>
              </w:rPr>
            </w:pPr>
            <w:r>
              <w:rPr>
                <w:rFonts w:hint="default" w:ascii="Times New Roman" w:hAnsi="Times New Roman" w:eastAsia="仿宋_GB2312" w:cs="Times New Roman"/>
                <w:b w:val="0"/>
                <w:bCs w:val="0"/>
                <w:kern w:val="2"/>
                <w:sz w:val="24"/>
                <w:szCs w:val="24"/>
                <w:lang w:val="zh-CN" w:eastAsia="zh-CN" w:bidi="ar-SA"/>
              </w:rPr>
              <w:t>一般公共预算财政拨款收入</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0272F1">
            <w:pPr>
              <w:pStyle w:val="41"/>
              <w:jc w:val="center"/>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615.62</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4228E9">
            <w:pPr>
              <w:pStyle w:val="41"/>
              <w:jc w:val="center"/>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458.66</w:t>
            </w:r>
          </w:p>
        </w:tc>
        <w:tc>
          <w:tcPr>
            <w:tcW w:w="1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87ED83">
            <w:pPr>
              <w:pStyle w:val="41"/>
              <w:jc w:val="center"/>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458.66</w:t>
            </w:r>
          </w:p>
        </w:tc>
        <w:tc>
          <w:tcPr>
            <w:tcW w:w="13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07F289">
            <w:pPr>
              <w:pStyle w:val="41"/>
              <w:jc w:val="center"/>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100%</w:t>
            </w:r>
          </w:p>
        </w:tc>
      </w:tr>
      <w:tr w14:paraId="6AF01B14">
        <w:tblPrEx>
          <w:tblCellMar>
            <w:top w:w="0" w:type="dxa"/>
            <w:left w:w="0" w:type="dxa"/>
            <w:bottom w:w="0" w:type="dxa"/>
            <w:right w:w="0" w:type="dxa"/>
          </w:tblCellMar>
        </w:tblPrEx>
        <w:trPr>
          <w:trHeight w:val="454" w:hRule="exact"/>
          <w:jc w:val="center"/>
        </w:trPr>
        <w:tc>
          <w:tcPr>
            <w:tcW w:w="32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A70763">
            <w:pPr>
              <w:pStyle w:val="41"/>
              <w:jc w:val="center"/>
              <w:rPr>
                <w:rFonts w:hint="default" w:ascii="Times New Roman" w:hAnsi="Times New Roman" w:eastAsia="仿宋_GB2312" w:cs="Times New Roman"/>
                <w:b w:val="0"/>
                <w:bCs w:val="0"/>
                <w:kern w:val="2"/>
                <w:sz w:val="24"/>
                <w:szCs w:val="24"/>
                <w:lang w:val="zh-CN" w:eastAsia="zh-CN" w:bidi="ar-SA"/>
              </w:rPr>
            </w:pPr>
            <w:r>
              <w:rPr>
                <w:rFonts w:hint="default" w:ascii="Times New Roman" w:hAnsi="Times New Roman" w:eastAsia="仿宋_GB2312" w:cs="Times New Roman"/>
                <w:b w:val="0"/>
                <w:bCs w:val="0"/>
                <w:kern w:val="2"/>
                <w:sz w:val="24"/>
                <w:szCs w:val="24"/>
                <w:lang w:val="zh-CN" w:eastAsia="zh-CN" w:bidi="ar-SA"/>
              </w:rPr>
              <w:t>总计</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BE1F71">
            <w:pPr>
              <w:pStyle w:val="41"/>
              <w:jc w:val="center"/>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615.62</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FD1661">
            <w:pPr>
              <w:pStyle w:val="41"/>
              <w:jc w:val="center"/>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458.66</w:t>
            </w:r>
          </w:p>
        </w:tc>
        <w:tc>
          <w:tcPr>
            <w:tcW w:w="1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4D2F07">
            <w:pPr>
              <w:pStyle w:val="41"/>
              <w:jc w:val="center"/>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458.66</w:t>
            </w:r>
          </w:p>
        </w:tc>
        <w:tc>
          <w:tcPr>
            <w:tcW w:w="13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DC3625">
            <w:pPr>
              <w:pStyle w:val="41"/>
              <w:jc w:val="center"/>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100%</w:t>
            </w:r>
          </w:p>
        </w:tc>
      </w:tr>
    </w:tbl>
    <w:p w14:paraId="24C506CF">
      <w:pPr>
        <w:spacing w:line="560" w:lineRule="exact"/>
        <w:outlineLvl w:val="1"/>
        <w:rPr>
          <w:rFonts w:hint="default" w:ascii="Times New Roman" w:hAnsi="Times New Roman" w:eastAsia="楷体_GB2312" w:cs="Times New Roman"/>
          <w:lang w:val="zh-CN"/>
        </w:rPr>
      </w:pPr>
    </w:p>
    <w:p w14:paraId="3170F448">
      <w:pPr>
        <w:suppressAutoHyphens/>
        <w:bidi w:val="0"/>
        <w:spacing w:line="560" w:lineRule="exact"/>
        <w:ind w:firstLine="640" w:firstLineChars="200"/>
        <w:outlineLvl w:val="1"/>
        <w:rPr>
          <w:rFonts w:hint="default" w:ascii="Times New Roman" w:hAnsi="Times New Roman" w:eastAsia="楷体_GB2312" w:cs="Times New Roman"/>
          <w:sz w:val="32"/>
          <w:lang w:val="zh-CN"/>
        </w:rPr>
      </w:pPr>
      <w:r>
        <w:rPr>
          <w:rFonts w:hint="default" w:ascii="Times New Roman" w:hAnsi="Times New Roman" w:eastAsia="楷体_GB2312" w:cs="Times New Roman"/>
          <w:sz w:val="32"/>
          <w:lang w:val="zh-CN"/>
        </w:rPr>
        <w:t>（</w:t>
      </w:r>
      <w:r>
        <w:rPr>
          <w:rFonts w:hint="default" w:ascii="Times New Roman" w:hAnsi="Times New Roman" w:eastAsia="楷体_GB2312" w:cs="Times New Roman"/>
          <w:sz w:val="32"/>
          <w:lang w:val="zh-CN"/>
        </w:rPr>
        <w:t>二</w:t>
      </w:r>
      <w:r>
        <w:rPr>
          <w:rFonts w:hint="default" w:ascii="Times New Roman" w:hAnsi="Times New Roman" w:eastAsia="楷体_GB2312" w:cs="Times New Roman"/>
          <w:sz w:val="32"/>
          <w:lang w:val="zh-CN"/>
        </w:rPr>
        <w:t>）部门财政资金支出情况</w:t>
      </w:r>
    </w:p>
    <w:p w14:paraId="30BDFFF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2023</w:t>
      </w:r>
      <w:r>
        <w:rPr>
          <w:rFonts w:hint="default" w:ascii="Times New Roman" w:hAnsi="Times New Roman" w:eastAsia="仿宋_GB2312" w:cs="Times New Roman"/>
          <w:sz w:val="32"/>
          <w:szCs w:val="32"/>
          <w:lang w:val="zh-CN" w:eastAsia="zh-CN"/>
        </w:rPr>
        <w:t>年度，退役军人服务中心总支出</w:t>
      </w:r>
      <w:r>
        <w:rPr>
          <w:rFonts w:hint="default" w:ascii="Times New Roman" w:hAnsi="Times New Roman" w:eastAsia="仿宋_GB2312" w:cs="Times New Roman"/>
          <w:sz w:val="32"/>
          <w:szCs w:val="32"/>
          <w:lang w:val="en-US" w:eastAsia="zh-CN"/>
        </w:rPr>
        <w:t>458.66万元。其中：基本支出25.79万元，占5.6%；项目支出432.87万元，占94.4%。</w:t>
      </w:r>
    </w:p>
    <w:p w14:paraId="4D05736B">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年度</w:t>
      </w:r>
      <w:r>
        <w:rPr>
          <w:rFonts w:hint="default" w:ascii="Times New Roman" w:hAnsi="Times New Roman" w:eastAsia="仿宋_GB2312" w:cs="Times New Roman"/>
          <w:sz w:val="32"/>
          <w:szCs w:val="32"/>
          <w:lang w:val="zh-CN" w:eastAsia="zh-CN"/>
        </w:rPr>
        <w:t>，退役军人服务中心</w:t>
      </w:r>
      <w:r>
        <w:rPr>
          <w:rFonts w:hint="default" w:ascii="Times New Roman" w:hAnsi="Times New Roman" w:eastAsia="仿宋_GB2312" w:cs="Times New Roman"/>
          <w:sz w:val="32"/>
          <w:szCs w:val="32"/>
          <w:lang w:val="en-US" w:eastAsia="zh-CN"/>
        </w:rPr>
        <w:t>年初支出总预算615.62万元,</w:t>
      </w:r>
      <w:bookmarkStart w:id="105" w:name="OLE_LINK17"/>
      <w:r>
        <w:rPr>
          <w:rFonts w:hint="default" w:ascii="Times New Roman" w:hAnsi="Times New Roman" w:eastAsia="仿宋_GB2312" w:cs="Times New Roman"/>
          <w:sz w:val="32"/>
          <w:szCs w:val="32"/>
          <w:lang w:val="en-US" w:eastAsia="zh-CN"/>
        </w:rPr>
        <w:t>调整预算数为458.66万元</w:t>
      </w:r>
      <w:bookmarkEnd w:id="105"/>
      <w:r>
        <w:rPr>
          <w:rFonts w:hint="default" w:ascii="Times New Roman" w:hAnsi="Times New Roman" w:eastAsia="仿宋_GB2312" w:cs="Times New Roman"/>
          <w:sz w:val="32"/>
          <w:szCs w:val="32"/>
          <w:lang w:val="en-US" w:eastAsia="zh-CN"/>
        </w:rPr>
        <w:t>，决算数458.66万元。</w:t>
      </w:r>
      <w:r>
        <w:rPr>
          <w:rFonts w:hint="default" w:ascii="Times New Roman" w:hAnsi="Times New Roman" w:eastAsia="仿宋_GB2312" w:cs="Times New Roman"/>
          <w:sz w:val="32"/>
          <w:szCs w:val="32"/>
          <w:lang w:val="en-US" w:eastAsia="zh-CN"/>
        </w:rPr>
        <w:t>基本支出</w:t>
      </w:r>
      <w:r>
        <w:rPr>
          <w:rFonts w:hint="default" w:ascii="Times New Roman" w:hAnsi="Times New Roman" w:eastAsia="仿宋_GB2312" w:cs="Times New Roman"/>
          <w:sz w:val="32"/>
          <w:szCs w:val="32"/>
          <w:lang w:val="en-US" w:eastAsia="zh-CN"/>
        </w:rPr>
        <w:t>预算37.98</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sz w:val="32"/>
          <w:szCs w:val="32"/>
          <w:lang w:val="en-US" w:eastAsia="zh-CN"/>
        </w:rPr>
        <w:t>，基本支出决算数25.79万元（其中</w:t>
      </w:r>
      <w:r>
        <w:rPr>
          <w:rFonts w:hint="default" w:ascii="Times New Roman" w:hAnsi="Times New Roman" w:eastAsia="仿宋_GB2312" w:cs="Times New Roman"/>
          <w:sz w:val="32"/>
          <w:szCs w:val="32"/>
          <w:lang w:val="en-US" w:eastAsia="zh-CN"/>
        </w:rPr>
        <w:t>人员经费</w:t>
      </w:r>
      <w:r>
        <w:rPr>
          <w:rFonts w:hint="default" w:ascii="Times New Roman" w:hAnsi="Times New Roman" w:eastAsia="仿宋_GB2312" w:cs="Times New Roman"/>
          <w:sz w:val="32"/>
          <w:szCs w:val="32"/>
          <w:lang w:val="en-US" w:eastAsia="zh-CN"/>
        </w:rPr>
        <w:t>预算30.61</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sz w:val="32"/>
          <w:szCs w:val="32"/>
          <w:lang w:val="en-US" w:eastAsia="zh-CN"/>
        </w:rPr>
        <w:t>，决算数20.1万元；</w:t>
      </w:r>
      <w:r>
        <w:rPr>
          <w:rFonts w:hint="default" w:ascii="Times New Roman" w:hAnsi="Times New Roman" w:eastAsia="仿宋_GB2312" w:cs="Times New Roman"/>
          <w:sz w:val="32"/>
          <w:szCs w:val="32"/>
          <w:lang w:val="en-US" w:eastAsia="zh-CN"/>
        </w:rPr>
        <w:t>公用经费</w:t>
      </w:r>
      <w:r>
        <w:rPr>
          <w:rFonts w:hint="default" w:ascii="Times New Roman" w:hAnsi="Times New Roman" w:eastAsia="仿宋_GB2312" w:cs="Times New Roman"/>
          <w:sz w:val="32"/>
          <w:szCs w:val="32"/>
          <w:lang w:val="en-US" w:eastAsia="zh-CN"/>
        </w:rPr>
        <w:t>预算7.37</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sz w:val="32"/>
          <w:szCs w:val="32"/>
          <w:lang w:val="en-US" w:eastAsia="zh-CN"/>
        </w:rPr>
        <w:t>，决算数5.69万元</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lang w:val="en-US" w:eastAsia="zh-CN"/>
        </w:rPr>
        <w:t>支出年初预算577.64</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sz w:val="32"/>
          <w:szCs w:val="32"/>
          <w:lang w:val="en-US" w:eastAsia="zh-CN"/>
        </w:rPr>
        <w:t>，项目决算数432.86万元。</w:t>
      </w:r>
    </w:p>
    <w:p w14:paraId="5768C13A">
      <w:pPr>
        <w:pStyle w:val="41"/>
        <w:jc w:val="center"/>
        <w:rPr>
          <w:rFonts w:hint="default" w:ascii="Times New Roman" w:hAnsi="Times New Roman" w:cs="Times New Roman"/>
          <w:b/>
          <w:bCs/>
          <w:sz w:val="32"/>
          <w:lang w:val="zh-CN"/>
        </w:rPr>
      </w:pPr>
    </w:p>
    <w:p w14:paraId="71489704">
      <w:pPr>
        <w:pStyle w:val="41"/>
        <w:jc w:val="center"/>
        <w:rPr>
          <w:rFonts w:hint="default" w:ascii="Times New Roman" w:hAnsi="Times New Roman" w:cs="Times New Roman"/>
          <w:b/>
          <w:bCs/>
          <w:sz w:val="32"/>
          <w:lang w:val="zh-CN"/>
        </w:rPr>
      </w:pPr>
      <w:r>
        <w:rPr>
          <w:rFonts w:hint="default" w:ascii="Times New Roman" w:hAnsi="Times New Roman" w:cs="Times New Roman"/>
          <w:b/>
          <w:bCs/>
          <w:sz w:val="32"/>
          <w:lang w:val="zh-CN"/>
        </w:rPr>
        <w:t>表</w:t>
      </w:r>
      <w:r>
        <w:rPr>
          <w:rFonts w:hint="default" w:ascii="Times New Roman" w:hAnsi="Times New Roman" w:cs="Times New Roman"/>
          <w:b/>
          <w:bCs/>
          <w:sz w:val="32"/>
        </w:rPr>
        <w:t xml:space="preserve">3  </w:t>
      </w:r>
      <w:r>
        <w:rPr>
          <w:rFonts w:hint="default" w:ascii="Times New Roman" w:hAnsi="Times New Roman" w:cs="Times New Roman"/>
          <w:b/>
          <w:bCs/>
          <w:sz w:val="32"/>
          <w:lang w:val="zh-CN"/>
        </w:rPr>
        <w:t>年度预算支出安排情况表</w:t>
      </w:r>
    </w:p>
    <w:p w14:paraId="7ACF3313">
      <w:pPr>
        <w:pStyle w:val="41"/>
        <w:jc w:val="center"/>
        <w:rPr>
          <w:rFonts w:hint="default" w:ascii="Times New Roman" w:hAnsi="Times New Roman" w:eastAsia="仿宋_GB2312" w:cs="Times New Roman"/>
          <w:color w:val="000000"/>
          <w:sz w:val="32"/>
          <w:szCs w:val="32"/>
          <w:lang w:val="zh-CN"/>
        </w:rPr>
      </w:pPr>
      <w:r>
        <w:rPr>
          <w:rFonts w:hint="default" w:ascii="Times New Roman" w:hAnsi="Times New Roman" w:cs="Times New Roman"/>
          <w:sz w:val="28"/>
          <w:szCs w:val="28"/>
        </w:rPr>
        <w:t xml:space="preserve">                        </w:t>
      </w:r>
      <w:r>
        <w:rPr>
          <w:rFonts w:hint="default" w:ascii="Times New Roman" w:hAnsi="Times New Roman" w:cs="Times New Roman"/>
          <w:color w:val="000000"/>
          <w:sz w:val="28"/>
          <w:szCs w:val="28"/>
        </w:rPr>
        <w:t xml:space="preserve">                    </w:t>
      </w: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val="zh-CN"/>
        </w:rPr>
        <w:t>金额单位：万元</w:t>
      </w:r>
    </w:p>
    <w:tbl>
      <w:tblPr>
        <w:tblStyle w:val="19"/>
        <w:tblpPr w:leftFromText="180" w:rightFromText="180" w:vertAnchor="text" w:horzAnchor="page" w:tblpX="1792" w:tblpY="404"/>
        <w:tblOverlap w:val="never"/>
        <w:tblW w:w="8505" w:type="dxa"/>
        <w:tblInd w:w="0" w:type="dxa"/>
        <w:tblLayout w:type="autofit"/>
        <w:tblCellMar>
          <w:top w:w="0" w:type="dxa"/>
          <w:left w:w="108" w:type="dxa"/>
          <w:bottom w:w="0" w:type="dxa"/>
          <w:right w:w="108" w:type="dxa"/>
        </w:tblCellMar>
      </w:tblPr>
      <w:tblGrid>
        <w:gridCol w:w="2694"/>
        <w:gridCol w:w="1842"/>
        <w:gridCol w:w="1985"/>
        <w:gridCol w:w="1984"/>
      </w:tblGrid>
      <w:tr w14:paraId="28B4754F">
        <w:tblPrEx>
          <w:tblCellMar>
            <w:top w:w="0" w:type="dxa"/>
            <w:left w:w="108" w:type="dxa"/>
            <w:bottom w:w="0" w:type="dxa"/>
            <w:right w:w="108" w:type="dxa"/>
          </w:tblCellMar>
        </w:tblPrEx>
        <w:trPr>
          <w:trHeight w:val="454" w:hRule="exact"/>
        </w:trPr>
        <w:tc>
          <w:tcPr>
            <w:tcW w:w="269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0754109">
            <w:pPr>
              <w:widowControl/>
              <w:jc w:val="center"/>
              <w:rPr>
                <w:rFonts w:hint="default" w:ascii="Times New Roman" w:hAnsi="Times New Roman" w:eastAsia="仿宋_GB2312" w:cs="Times New Roman"/>
                <w:b w:val="0"/>
                <w:bCs/>
                <w:color w:val="000000"/>
                <w:kern w:val="0"/>
                <w:sz w:val="24"/>
                <w:szCs w:val="24"/>
              </w:rPr>
            </w:pPr>
            <w:r>
              <w:rPr>
                <w:rFonts w:hint="default" w:ascii="Times New Roman" w:hAnsi="Times New Roman" w:eastAsia="仿宋_GB2312" w:cs="Times New Roman"/>
                <w:b w:val="0"/>
                <w:bCs/>
                <w:color w:val="000000"/>
                <w:kern w:val="0"/>
                <w:sz w:val="24"/>
                <w:szCs w:val="24"/>
              </w:rPr>
              <w:t>项目（按功能分类）</w:t>
            </w:r>
          </w:p>
        </w:tc>
        <w:tc>
          <w:tcPr>
            <w:tcW w:w="1842" w:type="dxa"/>
            <w:tcBorders>
              <w:top w:val="single" w:color="auto" w:sz="4" w:space="0"/>
              <w:left w:val="nil"/>
              <w:bottom w:val="single" w:color="auto" w:sz="4" w:space="0"/>
              <w:right w:val="single" w:color="auto" w:sz="4" w:space="0"/>
            </w:tcBorders>
            <w:shd w:val="clear" w:color="auto" w:fill="FFFFFF"/>
            <w:noWrap/>
            <w:vAlign w:val="center"/>
          </w:tcPr>
          <w:p w14:paraId="3DB6DB71">
            <w:pPr>
              <w:widowControl/>
              <w:jc w:val="center"/>
              <w:rPr>
                <w:rFonts w:hint="default" w:ascii="Times New Roman" w:hAnsi="Times New Roman" w:eastAsia="仿宋_GB2312" w:cs="Times New Roman"/>
                <w:b w:val="0"/>
                <w:bCs/>
                <w:color w:val="000000"/>
                <w:kern w:val="0"/>
                <w:sz w:val="24"/>
                <w:szCs w:val="24"/>
              </w:rPr>
            </w:pPr>
            <w:r>
              <w:rPr>
                <w:rFonts w:hint="default" w:ascii="Times New Roman" w:hAnsi="Times New Roman" w:eastAsia="仿宋_GB2312" w:cs="Times New Roman"/>
                <w:b w:val="0"/>
                <w:bCs/>
                <w:color w:val="000000"/>
                <w:sz w:val="24"/>
                <w:szCs w:val="24"/>
                <w:lang w:val="zh-CN"/>
              </w:rPr>
              <w:t>年初预算数</w:t>
            </w:r>
          </w:p>
        </w:tc>
        <w:tc>
          <w:tcPr>
            <w:tcW w:w="1985" w:type="dxa"/>
            <w:tcBorders>
              <w:top w:val="single" w:color="auto" w:sz="4" w:space="0"/>
              <w:left w:val="nil"/>
              <w:bottom w:val="single" w:color="auto" w:sz="4" w:space="0"/>
              <w:right w:val="single" w:color="auto" w:sz="4" w:space="0"/>
            </w:tcBorders>
            <w:shd w:val="clear" w:color="auto" w:fill="FFFFFF"/>
            <w:noWrap/>
            <w:vAlign w:val="center"/>
          </w:tcPr>
          <w:p w14:paraId="33345201">
            <w:pPr>
              <w:pStyle w:val="41"/>
              <w:jc w:val="center"/>
              <w:rPr>
                <w:rFonts w:hint="default" w:ascii="Times New Roman" w:hAnsi="Times New Roman" w:eastAsia="仿宋_GB2312" w:cs="Times New Roman"/>
                <w:b w:val="0"/>
                <w:bCs/>
                <w:color w:val="000000"/>
                <w:sz w:val="24"/>
                <w:szCs w:val="24"/>
                <w:lang w:val="zh-CN"/>
              </w:rPr>
            </w:pPr>
            <w:r>
              <w:rPr>
                <w:rFonts w:hint="default" w:ascii="Times New Roman" w:hAnsi="Times New Roman" w:eastAsia="仿宋_GB2312" w:cs="Times New Roman"/>
                <w:b w:val="0"/>
                <w:bCs/>
                <w:color w:val="000000"/>
                <w:sz w:val="24"/>
                <w:szCs w:val="24"/>
                <w:lang w:val="zh-CN"/>
              </w:rPr>
              <w:t>预算调整数</w:t>
            </w:r>
          </w:p>
        </w:tc>
        <w:tc>
          <w:tcPr>
            <w:tcW w:w="1984" w:type="dxa"/>
            <w:tcBorders>
              <w:top w:val="single" w:color="auto" w:sz="4" w:space="0"/>
              <w:left w:val="nil"/>
              <w:bottom w:val="single" w:color="auto" w:sz="4" w:space="0"/>
              <w:right w:val="single" w:color="auto" w:sz="4" w:space="0"/>
            </w:tcBorders>
            <w:noWrap/>
            <w:vAlign w:val="center"/>
          </w:tcPr>
          <w:p w14:paraId="58DD5547">
            <w:pPr>
              <w:pStyle w:val="41"/>
              <w:jc w:val="center"/>
              <w:rPr>
                <w:rFonts w:hint="default" w:ascii="Times New Roman" w:hAnsi="Times New Roman" w:eastAsia="仿宋_GB2312" w:cs="Times New Roman"/>
                <w:b w:val="0"/>
                <w:bCs/>
                <w:color w:val="000000"/>
                <w:sz w:val="24"/>
                <w:szCs w:val="24"/>
                <w:lang w:val="zh-CN"/>
              </w:rPr>
            </w:pPr>
            <w:r>
              <w:rPr>
                <w:rFonts w:hint="default" w:ascii="Times New Roman" w:hAnsi="Times New Roman" w:eastAsia="仿宋_GB2312" w:cs="Times New Roman"/>
                <w:b w:val="0"/>
                <w:bCs/>
                <w:color w:val="000000"/>
                <w:sz w:val="24"/>
                <w:szCs w:val="24"/>
                <w:lang w:val="zh-CN"/>
              </w:rPr>
              <w:t>决算数</w:t>
            </w:r>
          </w:p>
        </w:tc>
      </w:tr>
      <w:tr w14:paraId="4B4FE961">
        <w:tblPrEx>
          <w:tblCellMar>
            <w:top w:w="0" w:type="dxa"/>
            <w:left w:w="108" w:type="dxa"/>
            <w:bottom w:w="0" w:type="dxa"/>
            <w:right w:w="108" w:type="dxa"/>
          </w:tblCellMar>
        </w:tblPrEx>
        <w:trPr>
          <w:trHeight w:val="454" w:hRule="exact"/>
        </w:trPr>
        <w:tc>
          <w:tcPr>
            <w:tcW w:w="2694" w:type="dxa"/>
            <w:tcBorders>
              <w:top w:val="nil"/>
              <w:left w:val="single" w:color="auto" w:sz="4" w:space="0"/>
              <w:bottom w:val="single" w:color="auto" w:sz="4" w:space="0"/>
              <w:right w:val="single" w:color="auto" w:sz="4" w:space="0"/>
            </w:tcBorders>
            <w:shd w:val="clear" w:color="auto" w:fill="FFFFFF"/>
            <w:noWrap/>
            <w:vAlign w:val="center"/>
          </w:tcPr>
          <w:p w14:paraId="4DA1A5C0">
            <w:pPr>
              <w:widowControl/>
              <w:jc w:val="center"/>
              <w:rPr>
                <w:rFonts w:hint="default" w:ascii="Times New Roman" w:hAnsi="Times New Roman" w:eastAsia="仿宋_GB2312" w:cs="Times New Roman"/>
                <w:b w:val="0"/>
                <w:bCs/>
                <w:color w:val="000000"/>
                <w:kern w:val="0"/>
                <w:sz w:val="24"/>
                <w:szCs w:val="24"/>
              </w:rPr>
            </w:pPr>
            <w:r>
              <w:rPr>
                <w:rFonts w:hint="default" w:ascii="Times New Roman" w:hAnsi="Times New Roman" w:eastAsia="仿宋_GB2312" w:cs="Times New Roman"/>
                <w:b w:val="0"/>
                <w:bCs/>
                <w:color w:val="000000"/>
                <w:kern w:val="0"/>
                <w:sz w:val="24"/>
                <w:szCs w:val="24"/>
              </w:rPr>
              <w:t>一般公共服务支出</w:t>
            </w:r>
          </w:p>
        </w:tc>
        <w:tc>
          <w:tcPr>
            <w:tcW w:w="1842" w:type="dxa"/>
            <w:tcBorders>
              <w:top w:val="nil"/>
              <w:left w:val="nil"/>
              <w:bottom w:val="single" w:color="auto" w:sz="4" w:space="0"/>
              <w:right w:val="single" w:color="auto" w:sz="4" w:space="0"/>
            </w:tcBorders>
            <w:shd w:val="clear" w:color="auto" w:fill="FFFFFF"/>
            <w:noWrap/>
            <w:vAlign w:val="center"/>
          </w:tcPr>
          <w:p w14:paraId="64D19819">
            <w:pPr>
              <w:widowControl/>
              <w:jc w:val="center"/>
              <w:rPr>
                <w:rFonts w:hint="default" w:ascii="Times New Roman" w:hAnsi="Times New Roman" w:eastAsia="仿宋_GB2312" w:cs="Times New Roman"/>
                <w:b w:val="0"/>
                <w:bCs/>
                <w:color w:val="000000"/>
                <w:kern w:val="0"/>
                <w:sz w:val="24"/>
                <w:szCs w:val="24"/>
              </w:rPr>
            </w:pPr>
            <w:r>
              <w:rPr>
                <w:rFonts w:hint="default" w:ascii="Times New Roman" w:hAnsi="Times New Roman" w:eastAsia="仿宋_GB2312" w:cs="Times New Roman"/>
                <w:b w:val="0"/>
                <w:bCs/>
                <w:sz w:val="24"/>
                <w:szCs w:val="24"/>
                <w:lang w:val="en-US" w:eastAsia="zh-CN"/>
              </w:rPr>
              <w:t>615.62</w:t>
            </w:r>
          </w:p>
        </w:tc>
        <w:tc>
          <w:tcPr>
            <w:tcW w:w="1985" w:type="dxa"/>
            <w:tcBorders>
              <w:top w:val="nil"/>
              <w:left w:val="nil"/>
              <w:bottom w:val="single" w:color="auto" w:sz="4" w:space="0"/>
              <w:right w:val="single" w:color="auto" w:sz="4" w:space="0"/>
            </w:tcBorders>
            <w:shd w:val="clear" w:color="auto" w:fill="FFFFFF"/>
            <w:noWrap/>
            <w:vAlign w:val="center"/>
          </w:tcPr>
          <w:p w14:paraId="1FB88396">
            <w:pPr>
              <w:widowControl/>
              <w:jc w:val="center"/>
              <w:rPr>
                <w:rFonts w:hint="default" w:ascii="Times New Roman" w:hAnsi="Times New Roman" w:eastAsia="仿宋_GB2312" w:cs="Times New Roman"/>
                <w:b w:val="0"/>
                <w:bCs/>
                <w:color w:val="000000"/>
                <w:kern w:val="0"/>
                <w:sz w:val="24"/>
                <w:szCs w:val="24"/>
                <w:lang w:val="en-US" w:eastAsia="zh-CN"/>
              </w:rPr>
            </w:pPr>
            <w:r>
              <w:rPr>
                <w:rFonts w:hint="default" w:ascii="Times New Roman" w:hAnsi="Times New Roman" w:eastAsia="仿宋_GB2312" w:cs="Times New Roman"/>
                <w:b w:val="0"/>
                <w:bCs/>
                <w:color w:val="000000"/>
                <w:kern w:val="0"/>
                <w:sz w:val="24"/>
                <w:szCs w:val="24"/>
                <w:lang w:val="en-US" w:eastAsia="zh-CN"/>
              </w:rPr>
              <w:t>458.66</w:t>
            </w:r>
          </w:p>
        </w:tc>
        <w:tc>
          <w:tcPr>
            <w:tcW w:w="1984" w:type="dxa"/>
            <w:tcBorders>
              <w:top w:val="nil"/>
              <w:left w:val="nil"/>
              <w:bottom w:val="single" w:color="auto" w:sz="4" w:space="0"/>
              <w:right w:val="single" w:color="auto" w:sz="4" w:space="0"/>
            </w:tcBorders>
            <w:noWrap/>
            <w:vAlign w:val="center"/>
          </w:tcPr>
          <w:p w14:paraId="39C30DC2">
            <w:pPr>
              <w:widowControl/>
              <w:jc w:val="center"/>
              <w:rPr>
                <w:rFonts w:hint="default" w:ascii="Times New Roman" w:hAnsi="Times New Roman" w:eastAsia="仿宋_GB2312" w:cs="Times New Roman"/>
                <w:b w:val="0"/>
                <w:bCs/>
                <w:color w:val="000000"/>
                <w:kern w:val="0"/>
                <w:sz w:val="24"/>
                <w:szCs w:val="24"/>
                <w:lang w:val="en-US" w:eastAsia="zh-CN"/>
              </w:rPr>
            </w:pPr>
            <w:r>
              <w:rPr>
                <w:rFonts w:hint="default" w:ascii="Times New Roman" w:hAnsi="Times New Roman" w:eastAsia="仿宋_GB2312" w:cs="Times New Roman"/>
                <w:b w:val="0"/>
                <w:bCs/>
                <w:color w:val="000000"/>
                <w:sz w:val="24"/>
                <w:szCs w:val="24"/>
                <w:lang w:val="en-US" w:eastAsia="zh-CN"/>
              </w:rPr>
              <w:t>458.66</w:t>
            </w:r>
          </w:p>
        </w:tc>
      </w:tr>
      <w:tr w14:paraId="2687F6BD">
        <w:tblPrEx>
          <w:tblCellMar>
            <w:top w:w="0" w:type="dxa"/>
            <w:left w:w="108" w:type="dxa"/>
            <w:bottom w:w="0" w:type="dxa"/>
            <w:right w:w="108" w:type="dxa"/>
          </w:tblCellMar>
        </w:tblPrEx>
        <w:trPr>
          <w:trHeight w:val="454" w:hRule="exact"/>
        </w:trPr>
        <w:tc>
          <w:tcPr>
            <w:tcW w:w="2694" w:type="dxa"/>
            <w:tcBorders>
              <w:top w:val="nil"/>
              <w:left w:val="single" w:color="auto" w:sz="4" w:space="0"/>
              <w:bottom w:val="single" w:color="auto" w:sz="4" w:space="0"/>
              <w:right w:val="single" w:color="auto" w:sz="4" w:space="0"/>
            </w:tcBorders>
            <w:shd w:val="clear" w:color="auto" w:fill="FFFFFF"/>
            <w:noWrap/>
            <w:vAlign w:val="center"/>
          </w:tcPr>
          <w:p w14:paraId="1EEB5C6A">
            <w:pPr>
              <w:widowControl/>
              <w:jc w:val="center"/>
              <w:rPr>
                <w:rFonts w:hint="default" w:ascii="Times New Roman" w:hAnsi="Times New Roman" w:eastAsia="仿宋_GB2312" w:cs="Times New Roman"/>
                <w:b w:val="0"/>
                <w:bCs/>
                <w:color w:val="000000"/>
                <w:kern w:val="0"/>
                <w:sz w:val="24"/>
                <w:szCs w:val="24"/>
              </w:rPr>
            </w:pPr>
            <w:r>
              <w:rPr>
                <w:rFonts w:hint="default" w:ascii="Times New Roman" w:hAnsi="Times New Roman" w:eastAsia="仿宋_GB2312" w:cs="Times New Roman"/>
                <w:b w:val="0"/>
                <w:bCs/>
                <w:color w:val="000000"/>
                <w:kern w:val="0"/>
                <w:sz w:val="24"/>
                <w:szCs w:val="24"/>
              </w:rPr>
              <w:t>合计</w:t>
            </w:r>
          </w:p>
        </w:tc>
        <w:tc>
          <w:tcPr>
            <w:tcW w:w="1842" w:type="dxa"/>
            <w:tcBorders>
              <w:top w:val="nil"/>
              <w:left w:val="nil"/>
              <w:bottom w:val="single" w:color="auto" w:sz="4" w:space="0"/>
              <w:right w:val="single" w:color="auto" w:sz="4" w:space="0"/>
            </w:tcBorders>
            <w:shd w:val="clear" w:color="auto" w:fill="FFFFFF"/>
            <w:noWrap/>
            <w:vAlign w:val="center"/>
          </w:tcPr>
          <w:p w14:paraId="668EE226">
            <w:pPr>
              <w:widowControl/>
              <w:jc w:val="center"/>
              <w:rPr>
                <w:rFonts w:hint="default" w:ascii="Times New Roman" w:hAnsi="Times New Roman" w:eastAsia="仿宋_GB2312" w:cs="Times New Roman"/>
                <w:b w:val="0"/>
                <w:bCs/>
                <w:color w:val="000000"/>
                <w:kern w:val="0"/>
                <w:sz w:val="24"/>
                <w:szCs w:val="24"/>
              </w:rPr>
            </w:pPr>
            <w:r>
              <w:rPr>
                <w:rFonts w:hint="default" w:ascii="Times New Roman" w:hAnsi="Times New Roman" w:eastAsia="仿宋_GB2312" w:cs="Times New Roman"/>
                <w:b w:val="0"/>
                <w:bCs/>
                <w:sz w:val="24"/>
                <w:szCs w:val="24"/>
                <w:lang w:val="en-US" w:eastAsia="zh-CN"/>
              </w:rPr>
              <w:t>615.62</w:t>
            </w:r>
          </w:p>
        </w:tc>
        <w:tc>
          <w:tcPr>
            <w:tcW w:w="1985" w:type="dxa"/>
            <w:tcBorders>
              <w:top w:val="nil"/>
              <w:left w:val="nil"/>
              <w:bottom w:val="single" w:color="auto" w:sz="4" w:space="0"/>
              <w:right w:val="single" w:color="auto" w:sz="4" w:space="0"/>
            </w:tcBorders>
            <w:shd w:val="clear" w:color="auto" w:fill="FFFFFF"/>
            <w:noWrap/>
            <w:vAlign w:val="center"/>
          </w:tcPr>
          <w:p w14:paraId="22864396">
            <w:pPr>
              <w:widowControl/>
              <w:jc w:val="center"/>
              <w:rPr>
                <w:rFonts w:hint="default" w:ascii="Times New Roman" w:hAnsi="Times New Roman" w:eastAsia="仿宋_GB2312" w:cs="Times New Roman"/>
                <w:b w:val="0"/>
                <w:bCs/>
                <w:color w:val="000000"/>
                <w:kern w:val="0"/>
                <w:sz w:val="24"/>
                <w:szCs w:val="24"/>
                <w:lang w:val="en-US" w:eastAsia="zh-CN"/>
              </w:rPr>
            </w:pPr>
            <w:r>
              <w:rPr>
                <w:rFonts w:hint="default" w:ascii="Times New Roman" w:hAnsi="Times New Roman" w:eastAsia="仿宋_GB2312" w:cs="Times New Roman"/>
                <w:b w:val="0"/>
                <w:bCs/>
                <w:color w:val="000000"/>
                <w:kern w:val="0"/>
                <w:sz w:val="24"/>
                <w:szCs w:val="24"/>
                <w:lang w:val="en-US" w:eastAsia="zh-CN"/>
              </w:rPr>
              <w:t>458.66</w:t>
            </w:r>
          </w:p>
        </w:tc>
        <w:tc>
          <w:tcPr>
            <w:tcW w:w="1984" w:type="dxa"/>
            <w:tcBorders>
              <w:top w:val="nil"/>
              <w:left w:val="nil"/>
              <w:bottom w:val="single" w:color="auto" w:sz="4" w:space="0"/>
              <w:right w:val="single" w:color="auto" w:sz="4" w:space="0"/>
            </w:tcBorders>
            <w:noWrap/>
            <w:vAlign w:val="center"/>
          </w:tcPr>
          <w:p w14:paraId="3A77FC83">
            <w:pPr>
              <w:widowControl/>
              <w:jc w:val="center"/>
              <w:rPr>
                <w:rFonts w:hint="default" w:ascii="Times New Roman" w:hAnsi="Times New Roman" w:eastAsia="仿宋_GB2312" w:cs="Times New Roman"/>
                <w:b w:val="0"/>
                <w:bCs/>
                <w:color w:val="000000"/>
                <w:kern w:val="0"/>
                <w:sz w:val="24"/>
                <w:szCs w:val="24"/>
                <w:lang w:val="en-US" w:eastAsia="zh-CN"/>
              </w:rPr>
            </w:pPr>
            <w:r>
              <w:rPr>
                <w:rFonts w:hint="default" w:ascii="Times New Roman" w:hAnsi="Times New Roman" w:eastAsia="仿宋_GB2312" w:cs="Times New Roman"/>
                <w:b w:val="0"/>
                <w:bCs/>
                <w:color w:val="000000"/>
                <w:sz w:val="24"/>
                <w:szCs w:val="24"/>
                <w:lang w:val="en-US" w:eastAsia="zh-CN"/>
              </w:rPr>
              <w:t>458.66</w:t>
            </w:r>
          </w:p>
        </w:tc>
      </w:tr>
    </w:tbl>
    <w:p w14:paraId="5DD8E86F">
      <w:pPr>
        <w:spacing w:line="560" w:lineRule="exact"/>
        <w:ind w:firstLine="525" w:firstLineChars="250"/>
        <w:outlineLvl w:val="0"/>
        <w:rPr>
          <w:rFonts w:hint="default" w:ascii="Times New Roman" w:hAnsi="Times New Roman" w:eastAsia="黑体" w:cs="Times New Roman"/>
        </w:rPr>
      </w:pPr>
    </w:p>
    <w:p w14:paraId="4055DD1C">
      <w:pPr>
        <w:pStyle w:val="41"/>
        <w:spacing w:line="560" w:lineRule="exact"/>
        <w:ind w:firstLine="643" w:firstLineChars="200"/>
        <w:jc w:val="center"/>
        <w:rPr>
          <w:rFonts w:hint="default" w:ascii="Times New Roman" w:hAnsi="Times New Roman" w:cs="Times New Roman"/>
          <w:color w:val="000000"/>
          <w:sz w:val="32"/>
        </w:rPr>
      </w:pPr>
      <w:r>
        <w:rPr>
          <w:rFonts w:hint="default" w:ascii="Times New Roman" w:hAnsi="Times New Roman" w:cs="Times New Roman"/>
          <w:b/>
          <w:bCs/>
          <w:color w:val="000000"/>
          <w:sz w:val="32"/>
        </w:rPr>
        <w:t xml:space="preserve">表4  </w:t>
      </w:r>
      <w:r>
        <w:rPr>
          <w:rFonts w:hint="default" w:ascii="Times New Roman" w:hAnsi="Times New Roman" w:cs="Times New Roman"/>
          <w:b/>
          <w:bCs/>
          <w:color w:val="000000"/>
          <w:sz w:val="32"/>
          <w:lang w:val="en-US" w:eastAsia="zh-CN"/>
        </w:rPr>
        <w:t>2023年</w:t>
      </w:r>
      <w:r>
        <w:rPr>
          <w:rFonts w:hint="default" w:ascii="Times New Roman" w:hAnsi="Times New Roman" w:cs="Times New Roman"/>
          <w:b/>
          <w:bCs/>
          <w:color w:val="000000"/>
          <w:sz w:val="32"/>
        </w:rPr>
        <w:t>项目支出预算安排情况表</w:t>
      </w:r>
    </w:p>
    <w:p w14:paraId="3595859A">
      <w:pPr>
        <w:pStyle w:val="41"/>
        <w:spacing w:line="560" w:lineRule="exact"/>
        <w:jc w:val="righ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金额单位：万元</w:t>
      </w:r>
    </w:p>
    <w:tbl>
      <w:tblPr>
        <w:tblStyle w:val="19"/>
        <w:tblpPr w:leftFromText="180" w:rightFromText="180" w:vertAnchor="text" w:horzAnchor="page" w:tblpXSpec="center" w:tblpY="373"/>
        <w:tblOverlap w:val="never"/>
        <w:tblW w:w="82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76"/>
        <w:gridCol w:w="1969"/>
        <w:gridCol w:w="1969"/>
        <w:gridCol w:w="1969"/>
      </w:tblGrid>
      <w:tr w14:paraId="1EB31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exact"/>
          <w:jc w:val="center"/>
        </w:trPr>
        <w:tc>
          <w:tcPr>
            <w:tcW w:w="237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9D2A098">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bCs/>
                <w:i w:val="0"/>
                <w:iCs w:val="0"/>
                <w:color w:val="000000"/>
                <w:sz w:val="24"/>
                <w:szCs w:val="24"/>
                <w:u w:val="none"/>
              </w:rPr>
            </w:pPr>
            <w:r>
              <w:rPr>
                <w:rStyle w:val="46"/>
                <w:rFonts w:hint="default" w:ascii="Times New Roman" w:hAnsi="Times New Roman" w:eastAsia="仿宋_GB2312" w:cs="Times New Roman"/>
                <w:lang w:val="en-US" w:eastAsia="zh-CN" w:bidi="ar"/>
              </w:rPr>
              <w:t>项目（按功能分类）</w:t>
            </w:r>
          </w:p>
        </w:tc>
        <w:tc>
          <w:tcPr>
            <w:tcW w:w="1969" w:type="dxa"/>
            <w:tcBorders>
              <w:top w:val="single" w:color="000000" w:sz="8" w:space="0"/>
              <w:left w:val="nil"/>
              <w:bottom w:val="single" w:color="000000" w:sz="8" w:space="0"/>
              <w:right w:val="single" w:color="000000" w:sz="8" w:space="0"/>
            </w:tcBorders>
            <w:shd w:val="clear" w:color="auto" w:fill="FFFFFF"/>
            <w:noWrap/>
            <w:vAlign w:val="center"/>
          </w:tcPr>
          <w:p w14:paraId="0288EA66">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bCs/>
                <w:i w:val="0"/>
                <w:iCs w:val="0"/>
                <w:color w:val="000000"/>
                <w:sz w:val="24"/>
                <w:szCs w:val="24"/>
                <w:u w:val="none"/>
              </w:rPr>
            </w:pPr>
            <w:r>
              <w:rPr>
                <w:rStyle w:val="47"/>
                <w:rFonts w:hint="default" w:ascii="Times New Roman" w:hAnsi="Times New Roman" w:eastAsia="仿宋_GB2312" w:cs="Times New Roman"/>
                <w:lang w:val="en-US" w:eastAsia="zh-CN" w:bidi="ar"/>
              </w:rPr>
              <w:t>年初预算数</w:t>
            </w:r>
          </w:p>
        </w:tc>
        <w:tc>
          <w:tcPr>
            <w:tcW w:w="1969" w:type="dxa"/>
            <w:tcBorders>
              <w:top w:val="single" w:color="000000" w:sz="8" w:space="0"/>
              <w:left w:val="nil"/>
              <w:bottom w:val="single" w:color="000000" w:sz="8" w:space="0"/>
              <w:right w:val="single" w:color="000000" w:sz="8" w:space="0"/>
            </w:tcBorders>
            <w:shd w:val="clear" w:color="auto" w:fill="FFFFFF"/>
            <w:noWrap/>
            <w:vAlign w:val="center"/>
          </w:tcPr>
          <w:p w14:paraId="0BEC4888">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bCs/>
                <w:i w:val="0"/>
                <w:iCs w:val="0"/>
                <w:color w:val="000000"/>
                <w:sz w:val="24"/>
                <w:szCs w:val="24"/>
                <w:u w:val="none"/>
              </w:rPr>
            </w:pPr>
            <w:r>
              <w:rPr>
                <w:rStyle w:val="47"/>
                <w:rFonts w:hint="default" w:ascii="Times New Roman" w:hAnsi="Times New Roman" w:eastAsia="仿宋_GB2312" w:cs="Times New Roman"/>
                <w:lang w:val="en-US" w:eastAsia="zh-CN" w:bidi="ar"/>
              </w:rPr>
              <w:t>预算调整数</w:t>
            </w:r>
          </w:p>
        </w:tc>
        <w:tc>
          <w:tcPr>
            <w:tcW w:w="1969" w:type="dxa"/>
            <w:tcBorders>
              <w:top w:val="single" w:color="000000" w:sz="8" w:space="0"/>
              <w:left w:val="nil"/>
              <w:bottom w:val="single" w:color="000000" w:sz="8" w:space="0"/>
              <w:right w:val="single" w:color="000000" w:sz="8" w:space="0"/>
            </w:tcBorders>
            <w:noWrap/>
            <w:vAlign w:val="center"/>
          </w:tcPr>
          <w:p w14:paraId="0BAFAE1C">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bCs/>
                <w:i w:val="0"/>
                <w:iCs w:val="0"/>
                <w:color w:val="000000"/>
                <w:sz w:val="24"/>
                <w:szCs w:val="24"/>
                <w:u w:val="none"/>
              </w:rPr>
            </w:pPr>
            <w:r>
              <w:rPr>
                <w:rStyle w:val="47"/>
                <w:rFonts w:hint="default" w:ascii="Times New Roman" w:hAnsi="Times New Roman" w:eastAsia="仿宋_GB2312" w:cs="Times New Roman"/>
                <w:lang w:val="en-US" w:eastAsia="zh-CN" w:bidi="ar"/>
              </w:rPr>
              <w:t>决算数</w:t>
            </w:r>
          </w:p>
        </w:tc>
      </w:tr>
      <w:tr w14:paraId="18EA4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exact"/>
          <w:jc w:val="center"/>
        </w:trPr>
        <w:tc>
          <w:tcPr>
            <w:tcW w:w="0" w:type="auto"/>
            <w:tcBorders>
              <w:top w:val="nil"/>
              <w:left w:val="single" w:color="000000" w:sz="8" w:space="0"/>
              <w:bottom w:val="single" w:color="000000" w:sz="8" w:space="0"/>
              <w:right w:val="single" w:color="000000" w:sz="8" w:space="0"/>
            </w:tcBorders>
            <w:shd w:val="clear" w:color="auto" w:fill="FFFFFF"/>
            <w:noWrap/>
            <w:vAlign w:val="center"/>
          </w:tcPr>
          <w:p w14:paraId="6602F409">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i w:val="0"/>
                <w:iCs w:val="0"/>
                <w:color w:val="000000"/>
                <w:sz w:val="24"/>
                <w:szCs w:val="24"/>
                <w:u w:val="none"/>
              </w:rPr>
            </w:pPr>
            <w:r>
              <w:rPr>
                <w:rStyle w:val="48"/>
                <w:rFonts w:hint="default" w:ascii="Times New Roman" w:hAnsi="Times New Roman" w:eastAsia="仿宋_GB2312" w:cs="Times New Roman"/>
                <w:lang w:val="en-US" w:eastAsia="zh-CN" w:bidi="ar"/>
              </w:rPr>
              <w:t>一般公共服务支出</w:t>
            </w:r>
          </w:p>
        </w:tc>
        <w:tc>
          <w:tcPr>
            <w:tcW w:w="0" w:type="auto"/>
            <w:tcBorders>
              <w:top w:val="nil"/>
              <w:left w:val="nil"/>
              <w:bottom w:val="single" w:color="000000" w:sz="8" w:space="0"/>
              <w:right w:val="single" w:color="000000" w:sz="8" w:space="0"/>
            </w:tcBorders>
            <w:shd w:val="clear" w:color="auto" w:fill="FFFFFF"/>
            <w:noWrap/>
            <w:vAlign w:val="center"/>
          </w:tcPr>
          <w:p w14:paraId="523C5EBA">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7.97</w:t>
            </w:r>
          </w:p>
        </w:tc>
        <w:tc>
          <w:tcPr>
            <w:tcW w:w="0" w:type="auto"/>
            <w:tcBorders>
              <w:top w:val="nil"/>
              <w:left w:val="nil"/>
              <w:bottom w:val="single" w:color="000000" w:sz="8" w:space="0"/>
              <w:right w:val="single" w:color="000000" w:sz="8" w:space="0"/>
            </w:tcBorders>
            <w:shd w:val="clear" w:color="auto" w:fill="FFFFFF"/>
            <w:noWrap/>
            <w:vAlign w:val="center"/>
          </w:tcPr>
          <w:p w14:paraId="28CD9589">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2.97</w:t>
            </w:r>
          </w:p>
        </w:tc>
        <w:tc>
          <w:tcPr>
            <w:tcW w:w="1969" w:type="dxa"/>
            <w:tcBorders>
              <w:top w:val="nil"/>
              <w:left w:val="nil"/>
              <w:bottom w:val="single" w:color="000000" w:sz="8" w:space="0"/>
              <w:right w:val="single" w:color="000000" w:sz="8" w:space="0"/>
            </w:tcBorders>
            <w:noWrap/>
            <w:vAlign w:val="center"/>
          </w:tcPr>
          <w:p w14:paraId="726CBA8E">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2.97</w:t>
            </w:r>
          </w:p>
        </w:tc>
      </w:tr>
      <w:tr w14:paraId="2CE76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exact"/>
          <w:jc w:val="center"/>
        </w:trPr>
        <w:tc>
          <w:tcPr>
            <w:tcW w:w="0" w:type="auto"/>
            <w:tcBorders>
              <w:top w:val="nil"/>
              <w:left w:val="single" w:color="000000" w:sz="8" w:space="0"/>
              <w:bottom w:val="single" w:color="000000" w:sz="8" w:space="0"/>
              <w:right w:val="single" w:color="000000" w:sz="8" w:space="0"/>
            </w:tcBorders>
            <w:shd w:val="clear" w:color="auto" w:fill="FFFFFF"/>
            <w:noWrap/>
            <w:vAlign w:val="center"/>
          </w:tcPr>
          <w:p w14:paraId="1B94A76D">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i w:val="0"/>
                <w:iCs w:val="0"/>
                <w:color w:val="000000"/>
                <w:sz w:val="24"/>
                <w:szCs w:val="24"/>
                <w:u w:val="none"/>
              </w:rPr>
            </w:pPr>
            <w:r>
              <w:rPr>
                <w:rStyle w:val="48"/>
                <w:rFonts w:hint="default" w:ascii="Times New Roman" w:hAnsi="Times New Roman" w:eastAsia="仿宋_GB2312" w:cs="Times New Roman"/>
                <w:lang w:val="en-US" w:eastAsia="zh-CN" w:bidi="ar"/>
              </w:rPr>
              <w:t>社会保障和就业支出</w:t>
            </w:r>
          </w:p>
        </w:tc>
        <w:tc>
          <w:tcPr>
            <w:tcW w:w="0" w:type="auto"/>
            <w:tcBorders>
              <w:top w:val="nil"/>
              <w:left w:val="nil"/>
              <w:bottom w:val="single" w:color="000000" w:sz="8" w:space="0"/>
              <w:right w:val="single" w:color="000000" w:sz="8" w:space="0"/>
            </w:tcBorders>
            <w:shd w:val="clear" w:color="auto" w:fill="FFFFFF"/>
            <w:noWrap/>
            <w:vAlign w:val="center"/>
          </w:tcPr>
          <w:p w14:paraId="0402665F">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547.37</w:t>
            </w:r>
          </w:p>
        </w:tc>
        <w:tc>
          <w:tcPr>
            <w:tcW w:w="0" w:type="auto"/>
            <w:tcBorders>
              <w:top w:val="nil"/>
              <w:left w:val="nil"/>
              <w:bottom w:val="single" w:color="000000" w:sz="8" w:space="0"/>
              <w:right w:val="single" w:color="000000" w:sz="8" w:space="0"/>
            </w:tcBorders>
            <w:shd w:val="clear" w:color="auto" w:fill="FFFFFF"/>
            <w:noWrap/>
            <w:vAlign w:val="center"/>
          </w:tcPr>
          <w:p w14:paraId="1258D8C0">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403.03</w:t>
            </w:r>
          </w:p>
        </w:tc>
        <w:tc>
          <w:tcPr>
            <w:tcW w:w="1969" w:type="dxa"/>
            <w:tcBorders>
              <w:top w:val="nil"/>
              <w:left w:val="nil"/>
              <w:bottom w:val="single" w:color="000000" w:sz="8" w:space="0"/>
              <w:right w:val="single" w:color="000000" w:sz="8" w:space="0"/>
            </w:tcBorders>
            <w:noWrap/>
            <w:vAlign w:val="center"/>
          </w:tcPr>
          <w:p w14:paraId="0D2063AC">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403.03</w:t>
            </w:r>
          </w:p>
        </w:tc>
      </w:tr>
      <w:tr w14:paraId="73A26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exact"/>
          <w:jc w:val="center"/>
        </w:trPr>
        <w:tc>
          <w:tcPr>
            <w:tcW w:w="0" w:type="auto"/>
            <w:tcBorders>
              <w:top w:val="nil"/>
              <w:left w:val="single" w:color="000000" w:sz="8" w:space="0"/>
              <w:bottom w:val="single" w:color="000000" w:sz="8" w:space="0"/>
              <w:right w:val="single" w:color="000000" w:sz="8" w:space="0"/>
            </w:tcBorders>
            <w:shd w:val="clear" w:color="auto" w:fill="FFFFFF"/>
            <w:noWrap/>
            <w:vAlign w:val="center"/>
          </w:tcPr>
          <w:p w14:paraId="692CBAF9">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i w:val="0"/>
                <w:iCs w:val="0"/>
                <w:color w:val="000000"/>
                <w:sz w:val="24"/>
                <w:szCs w:val="24"/>
                <w:u w:val="none"/>
              </w:rPr>
            </w:pPr>
            <w:r>
              <w:rPr>
                <w:rStyle w:val="48"/>
                <w:rFonts w:hint="default" w:ascii="Times New Roman" w:hAnsi="Times New Roman" w:eastAsia="仿宋_GB2312" w:cs="Times New Roman"/>
                <w:lang w:val="en-US" w:eastAsia="zh-CN" w:bidi="ar"/>
              </w:rPr>
              <w:t>公共安全支出</w:t>
            </w:r>
          </w:p>
        </w:tc>
        <w:tc>
          <w:tcPr>
            <w:tcW w:w="0" w:type="auto"/>
            <w:tcBorders>
              <w:top w:val="nil"/>
              <w:left w:val="nil"/>
              <w:bottom w:val="single" w:color="000000" w:sz="8" w:space="0"/>
              <w:right w:val="single" w:color="000000" w:sz="8" w:space="0"/>
            </w:tcBorders>
            <w:shd w:val="clear" w:color="auto" w:fill="FFFFFF"/>
            <w:noWrap/>
            <w:vAlign w:val="center"/>
          </w:tcPr>
          <w:p w14:paraId="14F1C10B">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35</w:t>
            </w:r>
          </w:p>
        </w:tc>
        <w:tc>
          <w:tcPr>
            <w:tcW w:w="0" w:type="auto"/>
            <w:tcBorders>
              <w:top w:val="nil"/>
              <w:left w:val="nil"/>
              <w:bottom w:val="single" w:color="000000" w:sz="8" w:space="0"/>
              <w:right w:val="single" w:color="000000" w:sz="8" w:space="0"/>
            </w:tcBorders>
            <w:shd w:val="clear" w:color="auto" w:fill="FFFFFF"/>
            <w:noWrap/>
            <w:vAlign w:val="center"/>
          </w:tcPr>
          <w:p w14:paraId="0714BE00">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969" w:type="dxa"/>
            <w:tcBorders>
              <w:top w:val="nil"/>
              <w:left w:val="nil"/>
              <w:bottom w:val="single" w:color="000000" w:sz="8" w:space="0"/>
              <w:right w:val="single" w:color="000000" w:sz="8" w:space="0"/>
            </w:tcBorders>
            <w:noWrap/>
            <w:vAlign w:val="center"/>
          </w:tcPr>
          <w:p w14:paraId="56359A39">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35</w:t>
            </w:r>
          </w:p>
        </w:tc>
      </w:tr>
      <w:tr w14:paraId="4A8DD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exact"/>
          <w:jc w:val="center"/>
        </w:trPr>
        <w:tc>
          <w:tcPr>
            <w:tcW w:w="0" w:type="auto"/>
            <w:tcBorders>
              <w:top w:val="nil"/>
              <w:left w:val="single" w:color="000000" w:sz="8" w:space="0"/>
              <w:bottom w:val="single" w:color="000000" w:sz="8" w:space="0"/>
              <w:right w:val="single" w:color="000000" w:sz="8" w:space="0"/>
            </w:tcBorders>
            <w:shd w:val="clear" w:color="auto" w:fill="FFFFFF"/>
            <w:noWrap/>
            <w:vAlign w:val="center"/>
          </w:tcPr>
          <w:p w14:paraId="1D4DEDCA">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i w:val="0"/>
                <w:iCs w:val="0"/>
                <w:color w:val="000000"/>
                <w:sz w:val="24"/>
                <w:szCs w:val="24"/>
                <w:u w:val="none"/>
              </w:rPr>
            </w:pPr>
            <w:r>
              <w:rPr>
                <w:rStyle w:val="48"/>
                <w:rFonts w:hint="default" w:ascii="Times New Roman" w:hAnsi="Times New Roman" w:eastAsia="仿宋_GB2312" w:cs="Times New Roman"/>
                <w:lang w:val="en-US" w:eastAsia="zh-CN" w:bidi="ar"/>
              </w:rPr>
              <w:t>卫生健康支出</w:t>
            </w:r>
          </w:p>
        </w:tc>
        <w:tc>
          <w:tcPr>
            <w:tcW w:w="0" w:type="auto"/>
            <w:tcBorders>
              <w:top w:val="nil"/>
              <w:left w:val="nil"/>
              <w:bottom w:val="single" w:color="000000" w:sz="8" w:space="0"/>
              <w:right w:val="single" w:color="000000" w:sz="8" w:space="0"/>
            </w:tcBorders>
            <w:shd w:val="clear" w:color="auto" w:fill="FFFFFF"/>
            <w:noWrap/>
            <w:vAlign w:val="center"/>
          </w:tcPr>
          <w:p w14:paraId="2A81D6A5">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22.32</w:t>
            </w:r>
          </w:p>
        </w:tc>
        <w:tc>
          <w:tcPr>
            <w:tcW w:w="0" w:type="auto"/>
            <w:tcBorders>
              <w:top w:val="nil"/>
              <w:left w:val="nil"/>
              <w:bottom w:val="single" w:color="000000" w:sz="8" w:space="0"/>
              <w:right w:val="single" w:color="000000" w:sz="8" w:space="0"/>
            </w:tcBorders>
            <w:shd w:val="clear" w:color="auto" w:fill="FFFFFF"/>
            <w:noWrap/>
            <w:vAlign w:val="center"/>
          </w:tcPr>
          <w:p w14:paraId="7DE90C8D">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17.66</w:t>
            </w:r>
          </w:p>
        </w:tc>
        <w:tc>
          <w:tcPr>
            <w:tcW w:w="1969" w:type="dxa"/>
            <w:tcBorders>
              <w:top w:val="nil"/>
              <w:left w:val="nil"/>
              <w:bottom w:val="single" w:color="000000" w:sz="8" w:space="0"/>
              <w:right w:val="single" w:color="000000" w:sz="8" w:space="0"/>
            </w:tcBorders>
            <w:noWrap/>
            <w:vAlign w:val="center"/>
          </w:tcPr>
          <w:p w14:paraId="51ECB5E3">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17.66</w:t>
            </w:r>
          </w:p>
        </w:tc>
      </w:tr>
      <w:tr w14:paraId="06C45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exact"/>
          <w:jc w:val="center"/>
        </w:trPr>
        <w:tc>
          <w:tcPr>
            <w:tcW w:w="0" w:type="auto"/>
            <w:tcBorders>
              <w:top w:val="nil"/>
              <w:left w:val="single" w:color="000000" w:sz="8" w:space="0"/>
              <w:bottom w:val="single" w:color="000000" w:sz="8" w:space="0"/>
              <w:right w:val="single" w:color="000000" w:sz="8" w:space="0"/>
            </w:tcBorders>
            <w:shd w:val="clear" w:color="auto" w:fill="FFFFFF"/>
            <w:noWrap/>
            <w:vAlign w:val="center"/>
          </w:tcPr>
          <w:p w14:paraId="637AAA95">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i w:val="0"/>
                <w:iCs w:val="0"/>
                <w:color w:val="000000"/>
                <w:sz w:val="24"/>
                <w:szCs w:val="24"/>
                <w:u w:val="none"/>
              </w:rPr>
            </w:pPr>
            <w:r>
              <w:rPr>
                <w:rStyle w:val="48"/>
                <w:rFonts w:hint="default" w:ascii="Times New Roman" w:hAnsi="Times New Roman" w:eastAsia="仿宋_GB2312" w:cs="Times New Roman"/>
                <w:lang w:val="en-US" w:eastAsia="zh-CN" w:bidi="ar"/>
              </w:rPr>
              <w:t>住房保障支出</w:t>
            </w:r>
          </w:p>
        </w:tc>
        <w:tc>
          <w:tcPr>
            <w:tcW w:w="0" w:type="auto"/>
            <w:tcBorders>
              <w:top w:val="nil"/>
              <w:left w:val="nil"/>
              <w:bottom w:val="single" w:color="000000" w:sz="8" w:space="0"/>
              <w:right w:val="single" w:color="000000" w:sz="8" w:space="0"/>
            </w:tcBorders>
            <w:shd w:val="clear" w:color="auto" w:fill="FFFFFF"/>
            <w:noWrap/>
            <w:vAlign w:val="center"/>
          </w:tcPr>
          <w:p w14:paraId="7E792B5C">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2.96</w:t>
            </w:r>
          </w:p>
        </w:tc>
        <w:tc>
          <w:tcPr>
            <w:tcW w:w="0" w:type="auto"/>
            <w:tcBorders>
              <w:top w:val="nil"/>
              <w:left w:val="nil"/>
              <w:bottom w:val="single" w:color="000000" w:sz="8" w:space="0"/>
              <w:right w:val="single" w:color="000000" w:sz="8" w:space="0"/>
            </w:tcBorders>
            <w:shd w:val="clear" w:color="auto" w:fill="FFFFFF"/>
            <w:noWrap/>
            <w:vAlign w:val="center"/>
          </w:tcPr>
          <w:p w14:paraId="2A30EE42">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969" w:type="dxa"/>
            <w:tcBorders>
              <w:top w:val="nil"/>
              <w:left w:val="nil"/>
              <w:bottom w:val="single" w:color="000000" w:sz="8" w:space="0"/>
              <w:right w:val="single" w:color="000000" w:sz="8" w:space="0"/>
            </w:tcBorders>
            <w:noWrap/>
            <w:vAlign w:val="center"/>
          </w:tcPr>
          <w:p w14:paraId="0714EDE1">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14:paraId="72087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exact"/>
          <w:jc w:val="center"/>
        </w:trPr>
        <w:tc>
          <w:tcPr>
            <w:tcW w:w="0" w:type="auto"/>
            <w:tcBorders>
              <w:top w:val="nil"/>
              <w:left w:val="single" w:color="000000" w:sz="8" w:space="0"/>
              <w:bottom w:val="single" w:color="000000" w:sz="8" w:space="0"/>
              <w:right w:val="single" w:color="000000" w:sz="8" w:space="0"/>
            </w:tcBorders>
            <w:shd w:val="clear" w:color="auto" w:fill="FFFFFF"/>
            <w:noWrap/>
            <w:vAlign w:val="center"/>
          </w:tcPr>
          <w:p w14:paraId="7A049210">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bCs/>
                <w:i w:val="0"/>
                <w:iCs w:val="0"/>
                <w:color w:val="000000"/>
                <w:sz w:val="24"/>
                <w:szCs w:val="24"/>
                <w:u w:val="none"/>
              </w:rPr>
            </w:pPr>
            <w:r>
              <w:rPr>
                <w:rStyle w:val="46"/>
                <w:rFonts w:hint="default" w:ascii="Times New Roman" w:hAnsi="Times New Roman" w:eastAsia="仿宋_GB2312" w:cs="Times New Roman"/>
                <w:lang w:val="en-US" w:eastAsia="zh-CN" w:bidi="ar"/>
              </w:rPr>
              <w:t>合计</w:t>
            </w:r>
          </w:p>
        </w:tc>
        <w:tc>
          <w:tcPr>
            <w:tcW w:w="0" w:type="auto"/>
            <w:tcBorders>
              <w:top w:val="nil"/>
              <w:left w:val="nil"/>
              <w:bottom w:val="single" w:color="000000" w:sz="8" w:space="0"/>
              <w:right w:val="single" w:color="000000" w:sz="8" w:space="0"/>
            </w:tcBorders>
            <w:shd w:val="clear" w:color="auto" w:fill="FFFFFF"/>
            <w:noWrap/>
            <w:vAlign w:val="center"/>
          </w:tcPr>
          <w:p w14:paraId="09D3AE83">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615.62</w:t>
            </w:r>
          </w:p>
        </w:tc>
        <w:tc>
          <w:tcPr>
            <w:tcW w:w="0" w:type="auto"/>
            <w:tcBorders>
              <w:top w:val="nil"/>
              <w:left w:val="nil"/>
              <w:bottom w:val="single" w:color="000000" w:sz="8" w:space="0"/>
              <w:right w:val="single" w:color="000000" w:sz="8" w:space="0"/>
            </w:tcBorders>
            <w:shd w:val="clear" w:color="auto" w:fill="FFFFFF"/>
            <w:noWrap/>
            <w:vAlign w:val="center"/>
          </w:tcPr>
          <w:p w14:paraId="23F1C5E0">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458.66</w:t>
            </w:r>
          </w:p>
        </w:tc>
        <w:tc>
          <w:tcPr>
            <w:tcW w:w="1969" w:type="dxa"/>
            <w:tcBorders>
              <w:top w:val="nil"/>
              <w:left w:val="nil"/>
              <w:bottom w:val="single" w:color="000000" w:sz="8" w:space="0"/>
              <w:right w:val="single" w:color="000000" w:sz="8" w:space="0"/>
            </w:tcBorders>
            <w:noWrap/>
            <w:vAlign w:val="center"/>
          </w:tcPr>
          <w:p w14:paraId="182D6913">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458.66</w:t>
            </w:r>
          </w:p>
        </w:tc>
      </w:tr>
    </w:tbl>
    <w:p w14:paraId="768FC629">
      <w:pPr>
        <w:pStyle w:val="41"/>
        <w:spacing w:line="560" w:lineRule="exact"/>
        <w:rPr>
          <w:rFonts w:hint="default" w:ascii="Times New Roman" w:hAnsi="Times New Roman" w:cs="Times New Roman"/>
          <w:color w:val="FF0000"/>
          <w:sz w:val="32"/>
        </w:rPr>
      </w:pPr>
    </w:p>
    <w:p w14:paraId="597DCAB4">
      <w:pPr>
        <w:suppressAutoHyphens/>
        <w:bidi w:val="0"/>
        <w:spacing w:line="560" w:lineRule="exact"/>
        <w:ind w:firstLine="800" w:firstLineChars="250"/>
        <w:outlineLvl w:val="0"/>
        <w:rPr>
          <w:rFonts w:hint="default" w:ascii="Times New Roman" w:hAnsi="Times New Roman" w:eastAsia="黑体" w:cs="Times New Roman"/>
          <w:sz w:val="32"/>
        </w:rPr>
      </w:pPr>
      <w:r>
        <w:rPr>
          <w:rFonts w:hint="default" w:ascii="Times New Roman" w:hAnsi="Times New Roman" w:eastAsia="黑体" w:cs="Times New Roman"/>
          <w:sz w:val="32"/>
        </w:rPr>
        <w:t>三、部门整体预算绩效管理情况</w:t>
      </w:r>
    </w:p>
    <w:p w14:paraId="3DD1D0A4">
      <w:pPr>
        <w:suppressAutoHyphens/>
        <w:bidi w:val="0"/>
        <w:spacing w:line="560" w:lineRule="exact"/>
        <w:ind w:firstLine="640" w:firstLineChars="200"/>
        <w:outlineLvl w:val="1"/>
        <w:rPr>
          <w:rFonts w:hint="default" w:ascii="Times New Roman" w:hAnsi="Times New Roman" w:eastAsia="楷体_GB2312" w:cs="Times New Roman"/>
          <w:sz w:val="32"/>
          <w:lang w:val="zh-CN"/>
        </w:rPr>
      </w:pPr>
      <w:r>
        <w:rPr>
          <w:rFonts w:hint="default" w:ascii="Times New Roman" w:hAnsi="Times New Roman" w:eastAsia="楷体_GB2312" w:cs="Times New Roman"/>
          <w:sz w:val="32"/>
          <w:lang w:val="zh-CN"/>
        </w:rPr>
        <w:t>（一）部门预算</w:t>
      </w:r>
      <w:r>
        <w:rPr>
          <w:rFonts w:hint="default" w:ascii="Times New Roman" w:hAnsi="Times New Roman" w:eastAsia="楷体_GB2312" w:cs="Times New Roman"/>
          <w:sz w:val="32"/>
          <w:lang w:val="en-US" w:eastAsia="zh-CN"/>
        </w:rPr>
        <w:t>项目绩效</w:t>
      </w:r>
      <w:r>
        <w:rPr>
          <w:rFonts w:hint="default" w:ascii="Times New Roman" w:hAnsi="Times New Roman" w:eastAsia="楷体_GB2312" w:cs="Times New Roman"/>
          <w:sz w:val="32"/>
          <w:lang w:val="zh-CN"/>
        </w:rPr>
        <w:t>管理</w:t>
      </w:r>
    </w:p>
    <w:p w14:paraId="0998274B">
      <w:pPr>
        <w:pStyle w:val="41"/>
        <w:keepNext w:val="0"/>
        <w:keepLines w:val="0"/>
        <w:pageBreakBefore w:val="0"/>
        <w:widowControl w:val="0"/>
        <w:suppressAutoHyphens/>
        <w:kinsoku/>
        <w:wordWrap/>
        <w:overflowPunct/>
        <w:topLinePunct w:val="0"/>
        <w:autoSpaceDE/>
        <w:autoSpaceDN/>
        <w:bidi w:val="0"/>
        <w:adjustRightInd/>
        <w:spacing w:line="576" w:lineRule="exact"/>
        <w:ind w:firstLine="640" w:firstLineChars="200"/>
        <w:textAlignment w:val="auto"/>
        <w:rPr>
          <w:rFonts w:hint="default" w:ascii="Times New Roman" w:hAnsi="Times New Roman" w:eastAsia="仿宋_GB2312" w:cs="Times New Roman"/>
          <w:color w:val="000000"/>
          <w:kern w:val="0"/>
          <w:sz w:val="32"/>
          <w:szCs w:val="32"/>
          <w:shd w:val="clear" w:color="auto" w:fill="FFFFFF"/>
          <w:lang w:val="en-US" w:eastAsia="zh-CN"/>
        </w:rPr>
      </w:pPr>
      <w:r>
        <w:rPr>
          <w:rFonts w:hint="default" w:ascii="Times New Roman" w:hAnsi="Times New Roman" w:eastAsia="仿宋_GB2312" w:cs="Times New Roman"/>
          <w:color w:val="000000"/>
          <w:kern w:val="0"/>
          <w:sz w:val="32"/>
          <w:szCs w:val="32"/>
          <w:shd w:val="clear" w:color="auto" w:fill="FFFFFF"/>
          <w:lang w:val="en-US" w:eastAsia="zh-CN"/>
        </w:rPr>
        <w:t>1.绩效目标的制定</w:t>
      </w:r>
    </w:p>
    <w:p w14:paraId="7902BA44">
      <w:pPr>
        <w:pStyle w:val="41"/>
        <w:keepNext w:val="0"/>
        <w:keepLines w:val="0"/>
        <w:pageBreakBefore w:val="0"/>
        <w:widowControl w:val="0"/>
        <w:suppressAutoHyphens/>
        <w:kinsoku/>
        <w:wordWrap/>
        <w:overflowPunct/>
        <w:topLinePunct w:val="0"/>
        <w:autoSpaceDE/>
        <w:autoSpaceDN/>
        <w:bidi w:val="0"/>
        <w:adjustRightInd/>
        <w:spacing w:line="576" w:lineRule="exact"/>
        <w:ind w:firstLine="640" w:firstLineChars="200"/>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32"/>
          <w:lang w:val="en-US" w:eastAsia="zh-CN" w:bidi="ar-SA"/>
        </w:rPr>
        <w:t>202</w:t>
      </w:r>
      <w:r>
        <w:rPr>
          <w:rFonts w:hint="default" w:ascii="Times New Roman" w:hAnsi="Times New Roman" w:eastAsia="仿宋_GB2312" w:cs="Times New Roman"/>
          <w:kern w:val="2"/>
          <w:sz w:val="32"/>
          <w:szCs w:val="32"/>
          <w:lang w:val="en-US" w:eastAsia="zh-CN" w:bidi="ar-SA"/>
        </w:rPr>
        <w:t>3</w:t>
      </w:r>
      <w:r>
        <w:rPr>
          <w:rFonts w:hint="default" w:ascii="Times New Roman" w:hAnsi="Times New Roman" w:eastAsia="仿宋_GB2312" w:cs="Times New Roman"/>
          <w:kern w:val="2"/>
          <w:sz w:val="32"/>
          <w:szCs w:val="32"/>
          <w:lang w:val="en-US" w:eastAsia="zh-CN" w:bidi="ar-SA"/>
        </w:rPr>
        <w:t>年度，</w:t>
      </w:r>
      <w:r>
        <w:rPr>
          <w:rFonts w:hint="default" w:ascii="Times New Roman" w:hAnsi="Times New Roman" w:eastAsia="仿宋_GB2312" w:cs="Times New Roman"/>
          <w:kern w:val="2"/>
          <w:sz w:val="32"/>
          <w:szCs w:val="32"/>
          <w:lang w:val="en-US" w:eastAsia="zh-CN" w:bidi="ar-SA"/>
        </w:rPr>
        <w:t>退役军人服务中心按照预算绩效管理工作要求，根据职能职责积极谋划，全面贯彻落实全方位、全过程、全覆盖的总体要求，严把事前评估、事中监控、事后评价关键节点，推进我单位预算绩效管理工作稳步开展</w:t>
      </w:r>
      <w:r>
        <w:rPr>
          <w:rFonts w:hint="default" w:ascii="Times New Roman" w:hAnsi="Times New Roman" w:eastAsia="仿宋_GB2312" w:cs="Times New Roman"/>
          <w:kern w:val="2"/>
          <w:sz w:val="32"/>
          <w:szCs w:val="24"/>
          <w:lang w:val="en-US" w:eastAsia="zh-CN" w:bidi="ar-SA"/>
        </w:rPr>
        <w:t>。</w:t>
      </w:r>
    </w:p>
    <w:p w14:paraId="1949EC55">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_GB2312" w:cs="Times New Roman"/>
          <w:color w:val="000000"/>
          <w:kern w:val="0"/>
          <w:sz w:val="32"/>
          <w:szCs w:val="32"/>
          <w:shd w:val="clear" w:color="auto" w:fill="FFFFFF"/>
          <w:lang w:val="zh-CN" w:eastAsia="zh-CN"/>
        </w:rPr>
      </w:pPr>
      <w:r>
        <w:rPr>
          <w:rFonts w:hint="default" w:ascii="Times New Roman" w:hAnsi="Times New Roman" w:eastAsia="仿宋_GB2312" w:cs="Times New Roman"/>
          <w:color w:val="000000"/>
          <w:kern w:val="0"/>
          <w:sz w:val="32"/>
          <w:szCs w:val="32"/>
          <w:shd w:val="clear" w:color="auto" w:fill="FFFFFF"/>
          <w:lang w:val="en-US" w:eastAsia="zh-CN"/>
        </w:rPr>
        <w:t>2.</w:t>
      </w:r>
      <w:r>
        <w:rPr>
          <w:rFonts w:hint="default" w:ascii="Times New Roman" w:hAnsi="Times New Roman" w:eastAsia="仿宋_GB2312" w:cs="Times New Roman"/>
          <w:color w:val="000000"/>
          <w:kern w:val="0"/>
          <w:sz w:val="32"/>
          <w:szCs w:val="32"/>
          <w:shd w:val="clear" w:color="auto" w:fill="FFFFFF"/>
          <w:lang w:val="zh-CN" w:eastAsia="zh-CN"/>
        </w:rPr>
        <w:t>目标实现（按人员类、运转类、特定目标类项目分类阐述）</w:t>
      </w:r>
    </w:p>
    <w:p w14:paraId="45669630">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zh-CN" w:eastAsia="zh-CN" w:bidi="ar-SA"/>
        </w:rPr>
        <w:t>202</w:t>
      </w:r>
      <w:r>
        <w:rPr>
          <w:rFonts w:hint="default" w:ascii="Times New Roman" w:hAnsi="Times New Roman" w:eastAsia="仿宋_GB2312" w:cs="Times New Roman"/>
          <w:kern w:val="2"/>
          <w:sz w:val="32"/>
          <w:szCs w:val="32"/>
          <w:lang w:val="en-US" w:eastAsia="zh-CN" w:bidi="ar-SA"/>
        </w:rPr>
        <w:t>3</w:t>
      </w:r>
      <w:r>
        <w:rPr>
          <w:rFonts w:hint="default" w:ascii="Times New Roman" w:hAnsi="Times New Roman" w:eastAsia="仿宋_GB2312" w:cs="Times New Roman"/>
          <w:kern w:val="2"/>
          <w:sz w:val="32"/>
          <w:szCs w:val="32"/>
          <w:lang w:val="zh-CN" w:eastAsia="zh-CN" w:bidi="ar-SA"/>
        </w:rPr>
        <w:t>年度，</w:t>
      </w:r>
      <w:r>
        <w:rPr>
          <w:rFonts w:hint="default" w:ascii="Times New Roman" w:hAnsi="Times New Roman" w:eastAsia="仿宋_GB2312" w:cs="Times New Roman"/>
          <w:kern w:val="2"/>
          <w:sz w:val="32"/>
          <w:szCs w:val="32"/>
          <w:lang w:val="en-US" w:eastAsia="zh-CN" w:bidi="ar-SA"/>
        </w:rPr>
        <w:t>退役军人服务中心</w:t>
      </w:r>
      <w:r>
        <w:rPr>
          <w:rFonts w:hint="default" w:ascii="Times New Roman" w:hAnsi="Times New Roman" w:eastAsia="仿宋_GB2312" w:cs="Times New Roman"/>
          <w:kern w:val="2"/>
          <w:sz w:val="32"/>
          <w:szCs w:val="32"/>
          <w:lang w:val="zh-CN" w:eastAsia="zh-CN" w:bidi="ar-SA"/>
        </w:rPr>
        <w:t>人员类年度预算为</w:t>
      </w:r>
      <w:r>
        <w:rPr>
          <w:rFonts w:hint="default" w:ascii="Times New Roman" w:hAnsi="Times New Roman" w:eastAsia="仿宋_GB2312" w:cs="Times New Roman"/>
          <w:kern w:val="2"/>
          <w:sz w:val="32"/>
          <w:szCs w:val="32"/>
          <w:lang w:val="en-US" w:eastAsia="zh-CN" w:bidi="ar-SA"/>
        </w:rPr>
        <w:t>30.62</w:t>
      </w:r>
      <w:r>
        <w:rPr>
          <w:rFonts w:hint="default" w:ascii="Times New Roman" w:hAnsi="Times New Roman" w:eastAsia="仿宋_GB2312" w:cs="Times New Roman"/>
          <w:kern w:val="2"/>
          <w:sz w:val="32"/>
          <w:szCs w:val="32"/>
          <w:lang w:val="zh-CN" w:eastAsia="zh-CN" w:bidi="ar-SA"/>
        </w:rPr>
        <w:t>万元、</w:t>
      </w:r>
      <w:r>
        <w:rPr>
          <w:rFonts w:hint="default" w:ascii="Times New Roman" w:hAnsi="Times New Roman" w:eastAsia="仿宋_GB2312" w:cs="Times New Roman"/>
          <w:kern w:val="2"/>
          <w:sz w:val="32"/>
          <w:szCs w:val="32"/>
          <w:lang w:val="en-US" w:eastAsia="zh-CN" w:bidi="ar-SA"/>
        </w:rPr>
        <w:t>调整预算数为20.1万元，</w:t>
      </w:r>
      <w:r>
        <w:rPr>
          <w:rFonts w:hint="default" w:ascii="Times New Roman" w:hAnsi="Times New Roman" w:eastAsia="仿宋_GB2312" w:cs="Times New Roman"/>
          <w:kern w:val="2"/>
          <w:sz w:val="32"/>
          <w:szCs w:val="32"/>
          <w:lang w:val="zh-CN" w:eastAsia="zh-CN" w:bidi="ar-SA"/>
        </w:rPr>
        <w:t>完成值为</w:t>
      </w:r>
      <w:r>
        <w:rPr>
          <w:rFonts w:hint="default" w:ascii="Times New Roman" w:hAnsi="Times New Roman" w:eastAsia="仿宋_GB2312" w:cs="Times New Roman"/>
          <w:kern w:val="2"/>
          <w:sz w:val="32"/>
          <w:szCs w:val="32"/>
          <w:lang w:val="en-US" w:eastAsia="zh-CN" w:bidi="ar-SA"/>
        </w:rPr>
        <w:t>20.1</w:t>
      </w:r>
      <w:r>
        <w:rPr>
          <w:rFonts w:hint="default" w:ascii="Times New Roman" w:hAnsi="Times New Roman" w:eastAsia="仿宋_GB2312" w:cs="Times New Roman"/>
          <w:kern w:val="2"/>
          <w:sz w:val="32"/>
          <w:szCs w:val="32"/>
          <w:lang w:val="zh-CN" w:eastAsia="zh-CN" w:bidi="ar-SA"/>
        </w:rPr>
        <w:t>万元，完成率</w:t>
      </w:r>
      <w:r>
        <w:rPr>
          <w:rFonts w:hint="default" w:ascii="Times New Roman" w:hAnsi="Times New Roman" w:eastAsia="仿宋_GB2312" w:cs="Times New Roman"/>
          <w:kern w:val="2"/>
          <w:sz w:val="32"/>
          <w:szCs w:val="32"/>
          <w:lang w:val="en-US" w:eastAsia="zh-CN" w:bidi="ar-SA"/>
        </w:rPr>
        <w:t>100</w:t>
      </w:r>
      <w:r>
        <w:rPr>
          <w:rFonts w:hint="default" w:ascii="Times New Roman" w:hAnsi="Times New Roman" w:eastAsia="仿宋_GB2312" w:cs="Times New Roman"/>
          <w:kern w:val="2"/>
          <w:sz w:val="32"/>
          <w:szCs w:val="32"/>
          <w:lang w:val="zh-CN" w:eastAsia="zh-CN" w:bidi="ar-SA"/>
        </w:rPr>
        <w:t>%；运转类年度预算为</w:t>
      </w:r>
      <w:r>
        <w:rPr>
          <w:rFonts w:hint="default" w:ascii="Times New Roman" w:hAnsi="Times New Roman" w:eastAsia="仿宋_GB2312" w:cs="Times New Roman"/>
          <w:kern w:val="2"/>
          <w:sz w:val="32"/>
          <w:szCs w:val="32"/>
          <w:lang w:val="en-US" w:eastAsia="zh-CN" w:bidi="ar-SA"/>
        </w:rPr>
        <w:t>7.36</w:t>
      </w:r>
      <w:r>
        <w:rPr>
          <w:rFonts w:hint="default" w:ascii="Times New Roman" w:hAnsi="Times New Roman" w:eastAsia="仿宋_GB2312" w:cs="Times New Roman"/>
          <w:kern w:val="2"/>
          <w:sz w:val="32"/>
          <w:szCs w:val="32"/>
          <w:lang w:val="zh-CN" w:eastAsia="zh-CN" w:bidi="ar-SA"/>
        </w:rPr>
        <w:t>万元、</w:t>
      </w:r>
      <w:r>
        <w:rPr>
          <w:rFonts w:hint="default" w:ascii="Times New Roman" w:hAnsi="Times New Roman" w:eastAsia="仿宋_GB2312" w:cs="Times New Roman"/>
          <w:kern w:val="2"/>
          <w:sz w:val="32"/>
          <w:szCs w:val="32"/>
          <w:lang w:val="en-US" w:eastAsia="zh-CN" w:bidi="ar-SA"/>
        </w:rPr>
        <w:t>调整预算数为5.69万元，</w:t>
      </w:r>
      <w:r>
        <w:rPr>
          <w:rFonts w:hint="default" w:ascii="Times New Roman" w:hAnsi="Times New Roman" w:eastAsia="仿宋_GB2312" w:cs="Times New Roman"/>
          <w:kern w:val="2"/>
          <w:sz w:val="32"/>
          <w:szCs w:val="32"/>
          <w:lang w:val="zh-CN" w:eastAsia="zh-CN" w:bidi="ar-SA"/>
        </w:rPr>
        <w:t>完成值为</w:t>
      </w:r>
      <w:r>
        <w:rPr>
          <w:rFonts w:hint="default" w:ascii="Times New Roman" w:hAnsi="Times New Roman" w:eastAsia="仿宋_GB2312" w:cs="Times New Roman"/>
          <w:kern w:val="2"/>
          <w:sz w:val="32"/>
          <w:szCs w:val="32"/>
          <w:lang w:val="en-US" w:eastAsia="zh-CN" w:bidi="ar-SA"/>
        </w:rPr>
        <w:t>5.69</w:t>
      </w:r>
      <w:r>
        <w:rPr>
          <w:rFonts w:hint="default" w:ascii="Times New Roman" w:hAnsi="Times New Roman" w:eastAsia="仿宋_GB2312" w:cs="Times New Roman"/>
          <w:kern w:val="2"/>
          <w:sz w:val="32"/>
          <w:szCs w:val="32"/>
          <w:lang w:val="zh-CN" w:eastAsia="zh-CN" w:bidi="ar-SA"/>
        </w:rPr>
        <w:t>万元，完成率</w:t>
      </w:r>
      <w:r>
        <w:rPr>
          <w:rFonts w:hint="default" w:ascii="Times New Roman" w:hAnsi="Times New Roman" w:eastAsia="仿宋_GB2312" w:cs="Times New Roman"/>
          <w:kern w:val="2"/>
          <w:sz w:val="32"/>
          <w:szCs w:val="32"/>
          <w:lang w:val="en-US" w:eastAsia="zh-CN" w:bidi="ar-SA"/>
        </w:rPr>
        <w:t>100</w:t>
      </w:r>
      <w:r>
        <w:rPr>
          <w:rFonts w:hint="default" w:ascii="Times New Roman" w:hAnsi="Times New Roman" w:eastAsia="仿宋_GB2312" w:cs="Times New Roman"/>
          <w:kern w:val="2"/>
          <w:sz w:val="32"/>
          <w:szCs w:val="32"/>
          <w:lang w:val="zh-CN" w:eastAsia="zh-CN" w:bidi="ar-SA"/>
        </w:rPr>
        <w:t>%。</w:t>
      </w:r>
    </w:p>
    <w:p w14:paraId="793C64DB">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zh-CN" w:eastAsia="zh-CN" w:bidi="ar-SA"/>
        </w:rPr>
        <w:t>特定目标类年度预算为</w:t>
      </w:r>
      <w:r>
        <w:rPr>
          <w:rFonts w:hint="default" w:ascii="Times New Roman" w:hAnsi="Times New Roman" w:eastAsia="仿宋_GB2312" w:cs="Times New Roman"/>
          <w:kern w:val="2"/>
          <w:sz w:val="32"/>
          <w:szCs w:val="32"/>
          <w:lang w:val="en-US" w:eastAsia="zh-CN" w:bidi="ar-SA"/>
        </w:rPr>
        <w:t>577.64</w:t>
      </w:r>
      <w:r>
        <w:rPr>
          <w:rFonts w:hint="default" w:ascii="Times New Roman" w:hAnsi="Times New Roman" w:eastAsia="仿宋_GB2312" w:cs="Times New Roman"/>
          <w:kern w:val="2"/>
          <w:sz w:val="32"/>
          <w:szCs w:val="32"/>
          <w:lang w:val="zh-CN" w:eastAsia="zh-CN" w:bidi="ar-SA"/>
        </w:rPr>
        <w:t>万元、</w:t>
      </w:r>
      <w:r>
        <w:rPr>
          <w:rFonts w:hint="default" w:ascii="Times New Roman" w:hAnsi="Times New Roman" w:eastAsia="仿宋_GB2312" w:cs="Times New Roman"/>
          <w:kern w:val="2"/>
          <w:sz w:val="32"/>
          <w:szCs w:val="32"/>
          <w:lang w:val="en-US" w:eastAsia="zh-CN" w:bidi="ar-SA"/>
        </w:rPr>
        <w:t>调整预算数为432.87万元，</w:t>
      </w:r>
      <w:r>
        <w:rPr>
          <w:rFonts w:hint="default" w:ascii="Times New Roman" w:hAnsi="Times New Roman" w:eastAsia="仿宋_GB2312" w:cs="Times New Roman"/>
          <w:kern w:val="2"/>
          <w:sz w:val="32"/>
          <w:szCs w:val="32"/>
          <w:lang w:val="zh-CN" w:eastAsia="zh-CN" w:bidi="ar-SA"/>
        </w:rPr>
        <w:t>完成值为</w:t>
      </w:r>
      <w:r>
        <w:rPr>
          <w:rFonts w:hint="default" w:ascii="Times New Roman" w:hAnsi="Times New Roman" w:eastAsia="仿宋_GB2312" w:cs="Times New Roman"/>
          <w:kern w:val="2"/>
          <w:sz w:val="32"/>
          <w:szCs w:val="32"/>
          <w:lang w:val="en-US" w:eastAsia="zh-CN" w:bidi="ar-SA"/>
        </w:rPr>
        <w:t>432.87</w:t>
      </w:r>
      <w:r>
        <w:rPr>
          <w:rFonts w:hint="default" w:ascii="Times New Roman" w:hAnsi="Times New Roman" w:eastAsia="仿宋_GB2312" w:cs="Times New Roman"/>
          <w:kern w:val="2"/>
          <w:sz w:val="32"/>
          <w:szCs w:val="32"/>
          <w:lang w:val="zh-CN" w:eastAsia="zh-CN" w:bidi="ar-SA"/>
        </w:rPr>
        <w:t>万元，完成率</w:t>
      </w:r>
      <w:r>
        <w:rPr>
          <w:rFonts w:hint="default" w:ascii="Times New Roman" w:hAnsi="Times New Roman" w:eastAsia="仿宋_GB2312" w:cs="Times New Roman"/>
          <w:kern w:val="2"/>
          <w:sz w:val="32"/>
          <w:szCs w:val="32"/>
          <w:lang w:val="en-US" w:eastAsia="zh-CN" w:bidi="ar-SA"/>
        </w:rPr>
        <w:t>100</w:t>
      </w:r>
      <w:r>
        <w:rPr>
          <w:rFonts w:hint="default" w:ascii="Times New Roman" w:hAnsi="Times New Roman" w:eastAsia="仿宋_GB2312" w:cs="Times New Roman"/>
          <w:kern w:val="2"/>
          <w:sz w:val="32"/>
          <w:szCs w:val="32"/>
          <w:lang w:val="zh-CN" w:eastAsia="zh-CN" w:bidi="ar-SA"/>
        </w:rPr>
        <w:t>%。</w:t>
      </w:r>
    </w:p>
    <w:p w14:paraId="04757F3A">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default" w:ascii="Times New Roman" w:hAnsi="Times New Roman" w:eastAsia="仿宋_GB2312" w:cs="Times New Roman"/>
          <w:color w:val="000000"/>
          <w:kern w:val="0"/>
          <w:sz w:val="32"/>
          <w:szCs w:val="32"/>
          <w:shd w:val="clear" w:color="auto" w:fill="FFFFFF"/>
          <w:lang w:val="en-US" w:eastAsia="zh-CN"/>
        </w:rPr>
      </w:pPr>
      <w:r>
        <w:rPr>
          <w:rFonts w:hint="default" w:ascii="Times New Roman" w:hAnsi="Times New Roman" w:eastAsia="仿宋_GB2312" w:cs="Times New Roman"/>
          <w:color w:val="000000"/>
          <w:kern w:val="0"/>
          <w:sz w:val="32"/>
          <w:szCs w:val="32"/>
          <w:shd w:val="clear" w:color="auto" w:fill="FFFFFF"/>
          <w:lang w:val="en-US" w:eastAsia="zh-CN"/>
        </w:rPr>
        <w:t>3.</w:t>
      </w:r>
      <w:r>
        <w:rPr>
          <w:rFonts w:hint="default" w:ascii="Times New Roman" w:hAnsi="Times New Roman" w:eastAsia="仿宋_GB2312" w:cs="Times New Roman"/>
          <w:color w:val="000000"/>
          <w:kern w:val="0"/>
          <w:sz w:val="32"/>
          <w:szCs w:val="32"/>
          <w:shd w:val="clear" w:color="auto" w:fill="FFFFFF"/>
          <w:lang w:val="en-US" w:eastAsia="zh-CN"/>
        </w:rPr>
        <w:t>支出控制</w:t>
      </w:r>
    </w:p>
    <w:p w14:paraId="0D0282EF">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按照“专款专用、集约合理”的原则，严格控制各项事务资金的使用，坚持预算不超支的工作要求，切实做好支出控制，项目支出和基本支出相互独立，未有混用现象。</w:t>
      </w:r>
    </w:p>
    <w:p w14:paraId="33B19BAB">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default" w:ascii="Times New Roman" w:hAnsi="Times New Roman" w:eastAsia="仿宋_GB2312" w:cs="Times New Roman"/>
          <w:color w:val="000000"/>
          <w:kern w:val="0"/>
          <w:sz w:val="32"/>
          <w:szCs w:val="32"/>
          <w:shd w:val="clear" w:color="auto" w:fill="FFFFFF"/>
          <w:lang w:val="en-US" w:eastAsia="zh-CN"/>
        </w:rPr>
      </w:pPr>
      <w:r>
        <w:rPr>
          <w:rFonts w:hint="default" w:ascii="Times New Roman" w:hAnsi="Times New Roman" w:eastAsia="仿宋_GB2312" w:cs="Times New Roman"/>
          <w:color w:val="000000"/>
          <w:kern w:val="0"/>
          <w:sz w:val="32"/>
          <w:szCs w:val="32"/>
          <w:shd w:val="clear" w:color="auto" w:fill="FFFFFF"/>
          <w:lang w:val="en-US" w:eastAsia="zh-CN"/>
        </w:rPr>
        <w:t>4</w:t>
      </w:r>
      <w:r>
        <w:rPr>
          <w:rFonts w:hint="default" w:ascii="Times New Roman" w:hAnsi="Times New Roman" w:eastAsia="仿宋_GB2312" w:cs="Times New Roman"/>
          <w:color w:val="000000"/>
          <w:kern w:val="0"/>
          <w:sz w:val="32"/>
          <w:szCs w:val="32"/>
          <w:shd w:val="clear" w:color="auto" w:fill="FFFFFF"/>
          <w:lang w:val="en-US" w:eastAsia="zh-CN"/>
        </w:rPr>
        <w:t>.预算动态调整</w:t>
      </w:r>
    </w:p>
    <w:p w14:paraId="7D2ED4F6">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按照实事求是、客观公正的原则，结合实际情况，按照工作程序，报请园区管委会、园区财政金融局审核，在总体预算不变动的情况下，对部分事项的预算实行了动态调整。</w:t>
      </w:r>
    </w:p>
    <w:p w14:paraId="3E0C62DC">
      <w:pPr>
        <w:pStyle w:val="41"/>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仿宋_GB2312" w:cs="Times New Roman"/>
          <w:color w:val="000000"/>
          <w:kern w:val="0"/>
          <w:sz w:val="32"/>
          <w:szCs w:val="32"/>
          <w:shd w:val="clear" w:color="auto" w:fill="FFFFFF"/>
          <w:lang w:val="en-US" w:eastAsia="zh-CN" w:bidi="ar-SA"/>
        </w:rPr>
      </w:pPr>
      <w:r>
        <w:rPr>
          <w:rFonts w:hint="default" w:ascii="Times New Roman" w:hAnsi="Times New Roman" w:eastAsia="仿宋_GB2312" w:cs="Times New Roman"/>
          <w:color w:val="000000"/>
          <w:kern w:val="0"/>
          <w:sz w:val="32"/>
          <w:szCs w:val="32"/>
          <w:shd w:val="clear" w:color="auto" w:fill="FFFFFF"/>
          <w:lang w:val="en-US" w:eastAsia="zh-CN" w:bidi="ar-SA"/>
        </w:rPr>
        <w:t>5.</w:t>
      </w:r>
      <w:r>
        <w:rPr>
          <w:rFonts w:hint="default" w:ascii="Times New Roman" w:hAnsi="Times New Roman" w:eastAsia="仿宋_GB2312" w:cs="Times New Roman"/>
          <w:color w:val="000000"/>
          <w:kern w:val="0"/>
          <w:sz w:val="32"/>
          <w:szCs w:val="32"/>
          <w:shd w:val="clear" w:color="auto" w:fill="FFFFFF"/>
          <w:lang w:val="en-US" w:eastAsia="zh-CN" w:bidi="ar-SA"/>
        </w:rPr>
        <w:t>执行进度</w:t>
      </w:r>
    </w:p>
    <w:p w14:paraId="01269DF9">
      <w:pPr>
        <w:pStyle w:val="41"/>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按照财务管理制度，对每一笔资金的使用。执行严格管理，</w:t>
      </w:r>
      <w:r>
        <w:rPr>
          <w:rFonts w:hint="default" w:ascii="Times New Roman" w:hAnsi="Times New Roman" w:eastAsia="仿宋_GB2312" w:cs="Times New Roman"/>
          <w:kern w:val="2"/>
          <w:sz w:val="32"/>
          <w:szCs w:val="32"/>
          <w:lang w:val="en-US" w:eastAsia="zh-CN" w:bidi="ar-SA"/>
        </w:rPr>
        <w:t>退役军人服务中心</w:t>
      </w:r>
      <w:r>
        <w:rPr>
          <w:rFonts w:hint="default" w:ascii="Times New Roman" w:hAnsi="Times New Roman" w:eastAsia="仿宋_GB2312" w:cs="Times New Roman"/>
          <w:kern w:val="2"/>
          <w:sz w:val="32"/>
          <w:szCs w:val="32"/>
          <w:lang w:val="en-US" w:eastAsia="zh-CN" w:bidi="ar-SA"/>
        </w:rPr>
        <w:t>202</w:t>
      </w:r>
      <w:r>
        <w:rPr>
          <w:rFonts w:hint="default" w:ascii="Times New Roman" w:hAnsi="Times New Roman" w:eastAsia="仿宋_GB2312" w:cs="Times New Roman"/>
          <w:kern w:val="2"/>
          <w:sz w:val="32"/>
          <w:szCs w:val="32"/>
          <w:lang w:val="en-US" w:eastAsia="zh-CN" w:bidi="ar-SA"/>
        </w:rPr>
        <w:t>3</w:t>
      </w:r>
      <w:r>
        <w:rPr>
          <w:rFonts w:hint="default" w:ascii="Times New Roman" w:hAnsi="Times New Roman" w:eastAsia="仿宋_GB2312" w:cs="Times New Roman"/>
          <w:kern w:val="2"/>
          <w:sz w:val="32"/>
          <w:szCs w:val="32"/>
          <w:lang w:val="en-US" w:eastAsia="zh-CN" w:bidi="ar-SA"/>
        </w:rPr>
        <w:t>年预算支出</w:t>
      </w:r>
      <w:r>
        <w:rPr>
          <w:rFonts w:hint="default" w:ascii="Times New Roman" w:hAnsi="Times New Roman" w:eastAsia="仿宋_GB2312" w:cs="Times New Roman"/>
          <w:kern w:val="2"/>
          <w:sz w:val="32"/>
          <w:szCs w:val="32"/>
          <w:lang w:val="en-US" w:eastAsia="zh-CN" w:bidi="ar-SA"/>
        </w:rPr>
        <w:t>615.62</w:t>
      </w:r>
      <w:r>
        <w:rPr>
          <w:rFonts w:hint="default" w:ascii="Times New Roman" w:hAnsi="Times New Roman" w:eastAsia="仿宋_GB2312" w:cs="Times New Roman"/>
          <w:kern w:val="2"/>
          <w:sz w:val="32"/>
          <w:szCs w:val="32"/>
          <w:lang w:val="en-US" w:eastAsia="zh-CN" w:bidi="ar-SA"/>
        </w:rPr>
        <w:t>万元，</w:t>
      </w:r>
      <w:r>
        <w:rPr>
          <w:rFonts w:hint="default" w:ascii="Times New Roman" w:hAnsi="Times New Roman" w:eastAsia="仿宋_GB2312" w:cs="Times New Roman"/>
          <w:sz w:val="32"/>
          <w:szCs w:val="32"/>
          <w:lang w:val="en-US" w:eastAsia="zh-CN"/>
        </w:rPr>
        <w:t>调整预算数为458.66万元，</w:t>
      </w:r>
      <w:r>
        <w:rPr>
          <w:rFonts w:hint="default" w:ascii="Times New Roman" w:hAnsi="Times New Roman" w:eastAsia="仿宋_GB2312" w:cs="Times New Roman"/>
          <w:kern w:val="2"/>
          <w:sz w:val="32"/>
          <w:szCs w:val="32"/>
          <w:lang w:val="en-US" w:eastAsia="zh-CN" w:bidi="ar-SA"/>
        </w:rPr>
        <w:t>实际支出</w:t>
      </w:r>
      <w:r>
        <w:rPr>
          <w:rFonts w:hint="default" w:ascii="Times New Roman" w:hAnsi="Times New Roman" w:eastAsia="仿宋_GB2312" w:cs="Times New Roman"/>
          <w:kern w:val="2"/>
          <w:sz w:val="32"/>
          <w:szCs w:val="32"/>
          <w:lang w:val="en-US" w:eastAsia="zh-CN" w:bidi="ar-SA"/>
        </w:rPr>
        <w:t>458.66</w:t>
      </w:r>
      <w:r>
        <w:rPr>
          <w:rFonts w:hint="default" w:ascii="Times New Roman" w:hAnsi="Times New Roman" w:eastAsia="仿宋_GB2312" w:cs="Times New Roman"/>
          <w:kern w:val="2"/>
          <w:sz w:val="32"/>
          <w:szCs w:val="32"/>
          <w:lang w:val="en-US" w:eastAsia="zh-CN" w:bidi="ar-SA"/>
        </w:rPr>
        <w:t>万元，当年预算执行率为</w:t>
      </w:r>
      <w:r>
        <w:rPr>
          <w:rFonts w:hint="default" w:ascii="Times New Roman" w:hAnsi="Times New Roman" w:eastAsia="仿宋_GB2312" w:cs="Times New Roman"/>
          <w:kern w:val="2"/>
          <w:sz w:val="32"/>
          <w:szCs w:val="32"/>
          <w:lang w:val="en-US" w:eastAsia="zh-CN" w:bidi="ar-SA"/>
        </w:rPr>
        <w:t>100%。</w:t>
      </w:r>
    </w:p>
    <w:p w14:paraId="57B6C03E">
      <w:pPr>
        <w:pStyle w:val="41"/>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仿宋_GB2312" w:cs="Times New Roman"/>
          <w:color w:val="000000"/>
          <w:kern w:val="0"/>
          <w:sz w:val="32"/>
          <w:szCs w:val="32"/>
          <w:shd w:val="clear" w:color="auto" w:fill="FFFFFF"/>
          <w:lang w:val="en-US" w:eastAsia="zh-CN" w:bidi="ar-SA"/>
        </w:rPr>
      </w:pPr>
      <w:r>
        <w:rPr>
          <w:rFonts w:hint="default" w:ascii="Times New Roman" w:hAnsi="Times New Roman" w:eastAsia="仿宋_GB2312" w:cs="Times New Roman"/>
          <w:color w:val="000000"/>
          <w:kern w:val="0"/>
          <w:sz w:val="32"/>
          <w:szCs w:val="32"/>
          <w:shd w:val="clear" w:color="auto" w:fill="FFFFFF"/>
          <w:lang w:val="en-US" w:eastAsia="zh-CN" w:bidi="ar-SA"/>
        </w:rPr>
        <w:t>6</w:t>
      </w:r>
      <w:r>
        <w:rPr>
          <w:rFonts w:hint="default" w:ascii="Times New Roman" w:hAnsi="Times New Roman" w:eastAsia="仿宋_GB2312" w:cs="Times New Roman"/>
          <w:color w:val="000000"/>
          <w:kern w:val="0"/>
          <w:sz w:val="32"/>
          <w:szCs w:val="32"/>
          <w:shd w:val="clear" w:color="auto" w:fill="FFFFFF"/>
          <w:lang w:val="en-US" w:eastAsia="zh-CN" w:bidi="ar-SA"/>
        </w:rPr>
        <w:t>.预算完成情况</w:t>
      </w:r>
    </w:p>
    <w:p w14:paraId="75B1422C">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退役军人服务中心</w:t>
      </w:r>
      <w:r>
        <w:rPr>
          <w:rFonts w:hint="default" w:ascii="Times New Roman" w:hAnsi="Times New Roman" w:eastAsia="仿宋_GB2312" w:cs="Times New Roman"/>
          <w:kern w:val="2"/>
          <w:sz w:val="32"/>
          <w:szCs w:val="32"/>
          <w:lang w:val="en-US" w:eastAsia="zh-CN" w:bidi="ar-SA"/>
        </w:rPr>
        <w:t>202</w:t>
      </w:r>
      <w:r>
        <w:rPr>
          <w:rFonts w:hint="default" w:ascii="Times New Roman" w:hAnsi="Times New Roman" w:eastAsia="仿宋_GB2312" w:cs="Times New Roman"/>
          <w:kern w:val="2"/>
          <w:sz w:val="32"/>
          <w:szCs w:val="32"/>
          <w:lang w:val="en-US" w:eastAsia="zh-CN" w:bidi="ar-SA"/>
        </w:rPr>
        <w:t>3</w:t>
      </w:r>
      <w:r>
        <w:rPr>
          <w:rFonts w:hint="default" w:ascii="Times New Roman" w:hAnsi="Times New Roman" w:eastAsia="仿宋_GB2312" w:cs="Times New Roman"/>
          <w:kern w:val="2"/>
          <w:sz w:val="32"/>
          <w:szCs w:val="32"/>
          <w:lang w:val="en-US" w:eastAsia="zh-CN" w:bidi="ar-SA"/>
        </w:rPr>
        <w:t>年基本支出、项目支出，严格按照财务管理制度执行，各项资金实施、报销等票据资料齐备。预算资金使用情况随实际事项进度进行，保障了工作正常开展。</w:t>
      </w:r>
      <w:r>
        <w:rPr>
          <w:rFonts w:hint="default" w:ascii="Times New Roman" w:hAnsi="Times New Roman" w:eastAsia="仿宋_GB2312" w:cs="Times New Roman"/>
          <w:kern w:val="2"/>
          <w:sz w:val="32"/>
          <w:szCs w:val="32"/>
          <w:lang w:val="en-US" w:eastAsia="zh-CN" w:bidi="ar-SA"/>
        </w:rPr>
        <w:t>退役军人服务中心</w:t>
      </w:r>
      <w:r>
        <w:rPr>
          <w:rFonts w:hint="default" w:ascii="Times New Roman" w:hAnsi="Times New Roman" w:eastAsia="仿宋_GB2312" w:cs="Times New Roman"/>
          <w:kern w:val="2"/>
          <w:sz w:val="32"/>
          <w:szCs w:val="32"/>
          <w:lang w:val="en-US" w:eastAsia="zh-CN" w:bidi="ar-SA"/>
        </w:rPr>
        <w:t>202</w:t>
      </w:r>
      <w:r>
        <w:rPr>
          <w:rFonts w:hint="default" w:ascii="Times New Roman" w:hAnsi="Times New Roman" w:eastAsia="仿宋_GB2312" w:cs="Times New Roman"/>
          <w:kern w:val="2"/>
          <w:sz w:val="32"/>
          <w:szCs w:val="32"/>
          <w:lang w:val="en-US" w:eastAsia="zh-CN" w:bidi="ar-SA"/>
        </w:rPr>
        <w:t>3</w:t>
      </w:r>
      <w:r>
        <w:rPr>
          <w:rFonts w:hint="default" w:ascii="Times New Roman" w:hAnsi="Times New Roman" w:eastAsia="仿宋_GB2312" w:cs="Times New Roman"/>
          <w:kern w:val="2"/>
          <w:sz w:val="32"/>
          <w:szCs w:val="32"/>
          <w:lang w:val="en-US" w:eastAsia="zh-CN" w:bidi="ar-SA"/>
        </w:rPr>
        <w:t>年预算支出</w:t>
      </w:r>
      <w:r>
        <w:rPr>
          <w:rFonts w:hint="default" w:ascii="Times New Roman" w:hAnsi="Times New Roman" w:eastAsia="仿宋_GB2312" w:cs="Times New Roman"/>
          <w:kern w:val="2"/>
          <w:sz w:val="32"/>
          <w:szCs w:val="32"/>
          <w:lang w:val="en-US" w:eastAsia="zh-CN" w:bidi="ar-SA"/>
        </w:rPr>
        <w:t>615.62</w:t>
      </w:r>
      <w:r>
        <w:rPr>
          <w:rFonts w:hint="default" w:ascii="Times New Roman" w:hAnsi="Times New Roman" w:eastAsia="仿宋_GB2312" w:cs="Times New Roman"/>
          <w:kern w:val="2"/>
          <w:sz w:val="32"/>
          <w:szCs w:val="32"/>
          <w:lang w:val="en-US" w:eastAsia="zh-CN" w:bidi="ar-SA"/>
        </w:rPr>
        <w:t>万元，</w:t>
      </w:r>
      <w:r>
        <w:rPr>
          <w:rFonts w:hint="default" w:ascii="Times New Roman" w:hAnsi="Times New Roman" w:eastAsia="仿宋_GB2312" w:cs="Times New Roman"/>
          <w:sz w:val="32"/>
          <w:szCs w:val="32"/>
          <w:lang w:val="en-US" w:eastAsia="zh-CN"/>
        </w:rPr>
        <w:t>调整预算支出458.66万元，</w:t>
      </w:r>
      <w:r>
        <w:rPr>
          <w:rFonts w:hint="default" w:ascii="Times New Roman" w:hAnsi="Times New Roman" w:eastAsia="仿宋_GB2312" w:cs="Times New Roman"/>
          <w:kern w:val="2"/>
          <w:sz w:val="32"/>
          <w:szCs w:val="32"/>
          <w:lang w:val="en-US" w:eastAsia="zh-CN" w:bidi="ar-SA"/>
        </w:rPr>
        <w:t>实际支出</w:t>
      </w:r>
      <w:r>
        <w:rPr>
          <w:rFonts w:hint="default" w:ascii="Times New Roman" w:hAnsi="Times New Roman" w:eastAsia="仿宋_GB2312" w:cs="Times New Roman"/>
          <w:kern w:val="2"/>
          <w:sz w:val="32"/>
          <w:szCs w:val="32"/>
          <w:lang w:val="en-US" w:eastAsia="zh-CN" w:bidi="ar-SA"/>
        </w:rPr>
        <w:t>458.66</w:t>
      </w:r>
      <w:r>
        <w:rPr>
          <w:rFonts w:hint="default" w:ascii="Times New Roman" w:hAnsi="Times New Roman" w:eastAsia="仿宋_GB2312" w:cs="Times New Roman"/>
          <w:kern w:val="2"/>
          <w:sz w:val="32"/>
          <w:szCs w:val="32"/>
          <w:lang w:val="en-US" w:eastAsia="zh-CN" w:bidi="ar-SA"/>
        </w:rPr>
        <w:t>万元</w:t>
      </w:r>
      <w:r>
        <w:rPr>
          <w:rFonts w:hint="default" w:ascii="Times New Roman" w:hAnsi="Times New Roman" w:eastAsia="仿宋_GB2312" w:cs="Times New Roman"/>
          <w:kern w:val="2"/>
          <w:sz w:val="32"/>
          <w:szCs w:val="32"/>
          <w:lang w:val="en-US" w:eastAsia="zh-CN" w:bidi="ar-SA"/>
        </w:rPr>
        <w:t>。</w:t>
      </w:r>
    </w:p>
    <w:p w14:paraId="2CA2FE19">
      <w:pPr>
        <w:pStyle w:val="10"/>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highlight w:val="none"/>
          <w:shd w:val="clear" w:color="auto" w:fill="FFFFFF"/>
          <w:lang w:val="zh-CN"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7.</w:t>
      </w:r>
      <w:r>
        <w:rPr>
          <w:rFonts w:hint="default" w:ascii="Times New Roman" w:hAnsi="Times New Roman" w:eastAsia="仿宋_GB2312" w:cs="Times New Roman"/>
          <w:color w:val="000000"/>
          <w:kern w:val="0"/>
          <w:sz w:val="32"/>
          <w:szCs w:val="32"/>
          <w:highlight w:val="none"/>
          <w:shd w:val="clear" w:color="auto" w:fill="FFFFFF"/>
          <w:lang w:val="zh-CN" w:eastAsia="zh-CN"/>
        </w:rPr>
        <w:t>资金结余率</w:t>
      </w:r>
    </w:p>
    <w:p w14:paraId="1DB98658">
      <w:pPr>
        <w:pStyle w:val="41"/>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default" w:ascii="Times New Roman" w:hAnsi="Times New Roman" w:cs="Times New Roman"/>
          <w:lang w:val="en-US" w:eastAsia="zh-CN"/>
        </w:rPr>
      </w:pPr>
      <w:r>
        <w:rPr>
          <w:rFonts w:hint="default" w:ascii="Times New Roman" w:hAnsi="Times New Roman" w:eastAsia="仿宋_GB2312" w:cs="Times New Roman"/>
          <w:sz w:val="32"/>
          <w:szCs w:val="32"/>
          <w:highlight w:val="none"/>
          <w:lang w:val="en-US" w:eastAsia="zh-CN"/>
        </w:rPr>
        <w:t>中心</w:t>
      </w:r>
      <w:r>
        <w:rPr>
          <w:rFonts w:hint="default" w:ascii="Times New Roman" w:hAnsi="Times New Roman" w:eastAsia="仿宋_GB2312" w:cs="Times New Roman"/>
          <w:sz w:val="32"/>
          <w:szCs w:val="32"/>
          <w:highlight w:val="none"/>
          <w:lang w:val="en-US" w:eastAsia="zh-CN"/>
        </w:rPr>
        <w:t>共有项目</w:t>
      </w:r>
      <w:r>
        <w:rPr>
          <w:rFonts w:hint="default" w:ascii="Times New Roman" w:hAnsi="Times New Roman"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lang w:val="en-US" w:eastAsia="zh-CN"/>
        </w:rPr>
        <w:t>个，</w:t>
      </w:r>
      <w:r>
        <w:rPr>
          <w:rFonts w:hint="default" w:ascii="Times New Roman" w:hAnsi="Times New Roman" w:eastAsia="仿宋_GB2312" w:cs="Times New Roman"/>
          <w:i w:val="0"/>
          <w:iCs w:val="0"/>
          <w:caps w:val="0"/>
          <w:color w:val="000000"/>
          <w:spacing w:val="0"/>
          <w:sz w:val="32"/>
          <w:szCs w:val="32"/>
          <w:highlight w:val="none"/>
        </w:rPr>
        <w:t>结余率</w:t>
      </w:r>
      <w:r>
        <w:rPr>
          <w:rFonts w:hint="default" w:ascii="Times New Roman" w:hAnsi="Times New Roman" w:cs="Times New Roman"/>
          <w:i w:val="0"/>
          <w:iCs w:val="0"/>
          <w:caps w:val="0"/>
          <w:color w:val="000000"/>
          <w:spacing w:val="0"/>
          <w:sz w:val="32"/>
          <w:szCs w:val="32"/>
          <w:highlight w:val="none"/>
          <w:lang w:val="en-US" w:eastAsia="zh-CN"/>
        </w:rPr>
        <w:t>均</w:t>
      </w:r>
      <w:r>
        <w:rPr>
          <w:rFonts w:hint="default" w:ascii="Times New Roman" w:hAnsi="Times New Roman" w:eastAsia="仿宋_GB2312" w:cs="Times New Roman"/>
          <w:i w:val="0"/>
          <w:iCs w:val="0"/>
          <w:caps w:val="0"/>
          <w:color w:val="000000"/>
          <w:spacing w:val="0"/>
          <w:sz w:val="32"/>
          <w:szCs w:val="32"/>
          <w:highlight w:val="none"/>
        </w:rPr>
        <w:t>为</w:t>
      </w:r>
      <w:r>
        <w:rPr>
          <w:rFonts w:hint="default" w:ascii="Times New Roman" w:hAnsi="Times New Roman" w:eastAsia="仿宋_GB2312" w:cs="Times New Roman"/>
          <w:i w:val="0"/>
          <w:iCs w:val="0"/>
          <w:caps w:val="0"/>
          <w:color w:val="000000"/>
          <w:spacing w:val="0"/>
          <w:sz w:val="32"/>
          <w:szCs w:val="32"/>
          <w:highlight w:val="none"/>
          <w:lang w:val="en-US" w:eastAsia="zh-CN"/>
        </w:rPr>
        <w:t>0</w:t>
      </w:r>
      <w:r>
        <w:rPr>
          <w:rFonts w:hint="default" w:ascii="Times New Roman" w:hAnsi="Times New Roman" w:eastAsia="仿宋_GB2312" w:cs="Times New Roman"/>
          <w:i w:val="0"/>
          <w:iCs w:val="0"/>
          <w:caps w:val="0"/>
          <w:color w:val="000000"/>
          <w:spacing w:val="0"/>
          <w:sz w:val="32"/>
          <w:szCs w:val="32"/>
          <w:highlight w:val="none"/>
        </w:rPr>
        <w:t>。</w:t>
      </w:r>
    </w:p>
    <w:p w14:paraId="006071ED">
      <w:pPr>
        <w:pStyle w:val="41"/>
        <w:keepNext w:val="0"/>
        <w:keepLines w:val="0"/>
        <w:pageBreakBefore w:val="0"/>
        <w:kinsoku/>
        <w:wordWrap/>
        <w:autoSpaceDE/>
        <w:autoSpaceDN/>
        <w:bidi w:val="0"/>
        <w:spacing w:line="576" w:lineRule="exact"/>
        <w:ind w:firstLine="640"/>
        <w:jc w:val="left"/>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8.违规记录</w:t>
      </w:r>
      <w:r>
        <w:rPr>
          <w:rFonts w:hint="default" w:ascii="Times New Roman" w:hAnsi="Times New Roman" w:eastAsia="仿宋_GB2312" w:cs="Times New Roman"/>
          <w:color w:val="000000"/>
          <w:kern w:val="2"/>
          <w:sz w:val="32"/>
          <w:szCs w:val="32"/>
          <w:lang w:val="en-US" w:eastAsia="zh-CN" w:bidi="ar-SA"/>
        </w:rPr>
        <w:t>等情况</w:t>
      </w:r>
    </w:p>
    <w:p w14:paraId="55A139ED">
      <w:pPr>
        <w:pStyle w:val="41"/>
        <w:keepNext w:val="0"/>
        <w:keepLines w:val="0"/>
        <w:pageBreakBefore w:val="0"/>
        <w:suppressAutoHyphens/>
        <w:kinsoku/>
        <w:wordWrap/>
        <w:autoSpaceDE/>
        <w:autoSpaceDN/>
        <w:bidi w:val="0"/>
        <w:spacing w:line="576" w:lineRule="exact"/>
        <w:ind w:firstLine="640"/>
        <w:jc w:val="left"/>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退役军人服务中心</w:t>
      </w:r>
      <w:r>
        <w:rPr>
          <w:rFonts w:hint="default" w:ascii="Times New Roman" w:hAnsi="Times New Roman" w:eastAsia="仿宋_GB2312" w:cs="Times New Roman"/>
          <w:kern w:val="2"/>
          <w:sz w:val="32"/>
          <w:szCs w:val="24"/>
          <w:lang w:val="en-US" w:eastAsia="zh-CN" w:bidi="ar-SA"/>
        </w:rPr>
        <w:t>秉承合法、合规、实效、集约的资金使用原则，按照财务管理制度及财政法律法规申请各项资金，按照资金使用流程管控使用，未出现违规违纪现象。</w:t>
      </w:r>
    </w:p>
    <w:p w14:paraId="25C7A0A8">
      <w:pPr>
        <w:pStyle w:val="41"/>
        <w:numPr>
          <w:ilvl w:val="0"/>
          <w:numId w:val="3"/>
        </w:numPr>
        <w:spacing w:line="560" w:lineRule="exact"/>
        <w:ind w:firstLine="640" w:firstLineChars="200"/>
        <w:rPr>
          <w:rFonts w:hint="default" w:ascii="Times New Roman" w:hAnsi="Times New Roman" w:eastAsia="楷体_GB2312" w:cs="Times New Roman"/>
          <w:bCs/>
          <w:sz w:val="32"/>
        </w:rPr>
      </w:pPr>
      <w:r>
        <w:rPr>
          <w:rFonts w:hint="default" w:ascii="Times New Roman" w:hAnsi="Times New Roman" w:eastAsia="楷体_GB2312" w:cs="Times New Roman"/>
          <w:bCs/>
          <w:sz w:val="32"/>
        </w:rPr>
        <w:t>结果应用情况</w:t>
      </w:r>
    </w:p>
    <w:p w14:paraId="0B84BA37">
      <w:pPr>
        <w:pStyle w:val="41"/>
        <w:keepNext w:val="0"/>
        <w:keepLines w:val="0"/>
        <w:pageBreakBefore w:val="0"/>
        <w:suppressAutoHyphens/>
        <w:kinsoku/>
        <w:wordWrap/>
        <w:autoSpaceDE/>
        <w:autoSpaceDN/>
        <w:bidi w:val="0"/>
        <w:spacing w:line="576" w:lineRule="exact"/>
        <w:ind w:firstLine="640"/>
        <w:jc w:val="left"/>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退役军人服务中心2023年预算在园区门户网站专栏公开，年度决算纳入园区财政集中公开，对存在的问题进行相应整改，提高预算编制准确性，严格执行财务制度。</w:t>
      </w:r>
    </w:p>
    <w:p w14:paraId="5D443AC1">
      <w:pPr>
        <w:suppressAutoHyphens/>
        <w:bidi w:val="0"/>
        <w:spacing w:line="560" w:lineRule="exact"/>
        <w:ind w:firstLine="640" w:firstLineChars="200"/>
        <w:outlineLvl w:val="0"/>
        <w:rPr>
          <w:rFonts w:hint="default" w:ascii="Times New Roman" w:hAnsi="Times New Roman" w:eastAsia="黑体" w:cs="Times New Roman"/>
          <w:sz w:val="32"/>
        </w:rPr>
      </w:pPr>
      <w:r>
        <w:rPr>
          <w:rFonts w:hint="default" w:ascii="Times New Roman" w:hAnsi="Times New Roman" w:eastAsia="黑体" w:cs="Times New Roman"/>
          <w:sz w:val="32"/>
        </w:rPr>
        <w:t>四、评价结论及建议</w:t>
      </w:r>
    </w:p>
    <w:p w14:paraId="220F69DE">
      <w:pPr>
        <w:pStyle w:val="41"/>
        <w:numPr>
          <w:ilvl w:val="0"/>
          <w:numId w:val="0"/>
        </w:numPr>
        <w:spacing w:line="560" w:lineRule="exact"/>
        <w:ind w:firstLine="640" w:firstLineChars="200"/>
        <w:rPr>
          <w:rFonts w:hint="default" w:ascii="Times New Roman" w:hAnsi="Times New Roman" w:eastAsia="楷体_GB2312" w:cs="Times New Roman"/>
          <w:bCs/>
          <w:sz w:val="32"/>
          <w:lang w:val="zh-CN"/>
        </w:rPr>
      </w:pPr>
      <w:r>
        <w:rPr>
          <w:rFonts w:hint="default" w:ascii="Times New Roman" w:hAnsi="Times New Roman" w:eastAsia="楷体_GB2312" w:cs="Times New Roman"/>
          <w:bCs/>
          <w:sz w:val="32"/>
          <w:lang w:val="zh-CN"/>
        </w:rPr>
        <w:t>（一）评价结论</w:t>
      </w:r>
    </w:p>
    <w:p w14:paraId="2BED04BA">
      <w:pPr>
        <w:pStyle w:val="41"/>
        <w:suppressAutoHyphens/>
        <w:bidi w:val="0"/>
        <w:spacing w:line="560" w:lineRule="exact"/>
        <w:ind w:firstLine="640" w:firstLineChars="200"/>
        <w:rPr>
          <w:rFonts w:hint="default" w:ascii="Times New Roman" w:hAnsi="Times New Roman" w:eastAsia="仿宋_GB2312" w:cs="Times New Roman"/>
          <w:sz w:val="32"/>
          <w:lang w:val="zh-CN"/>
        </w:rPr>
      </w:pPr>
      <w:r>
        <w:rPr>
          <w:rFonts w:hint="default" w:ascii="Times New Roman" w:hAnsi="Times New Roman" w:eastAsia="仿宋_GB2312" w:cs="Times New Roman"/>
          <w:sz w:val="32"/>
        </w:rPr>
        <w:t>参照</w:t>
      </w:r>
      <w:r>
        <w:rPr>
          <w:rFonts w:hint="default" w:ascii="Times New Roman" w:hAnsi="Times New Roman" w:eastAsia="仿宋_GB2312" w:cs="Times New Roman"/>
          <w:sz w:val="32"/>
          <w:lang w:val="zh-CN"/>
        </w:rPr>
        <w:t>综合得分 90 分（含）以上，绩效评级为“优”；综合得分 75 分（含）—90 分，绩效评级为“良”；综合得分 60 分（含）—75 分，绩效评级为“合格”；综合得分 60 分以下，绩效评级为“不合格”</w:t>
      </w:r>
      <w:r>
        <w:rPr>
          <w:rFonts w:hint="default" w:ascii="Times New Roman" w:hAnsi="Times New Roman" w:eastAsia="仿宋_GB2312" w:cs="Times New Roman"/>
          <w:sz w:val="32"/>
        </w:rPr>
        <w:t>评价体系</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202</w:t>
      </w:r>
      <w:r>
        <w:rPr>
          <w:rFonts w:hint="default" w:ascii="Times New Roman" w:hAnsi="Times New Roman" w:eastAsia="仿宋_GB2312" w:cs="Times New Roman"/>
          <w:sz w:val="32"/>
          <w:lang w:val="en-US" w:eastAsia="zh-CN"/>
        </w:rPr>
        <w:t>3</w:t>
      </w:r>
      <w:r>
        <w:rPr>
          <w:rFonts w:hint="default" w:ascii="Times New Roman" w:hAnsi="Times New Roman" w:eastAsia="仿宋_GB2312" w:cs="Times New Roman"/>
          <w:sz w:val="32"/>
        </w:rPr>
        <w:t>年整体支出绩效评分为</w:t>
      </w:r>
      <w:r>
        <w:rPr>
          <w:rFonts w:hint="default" w:ascii="Times New Roman" w:hAnsi="Times New Roman" w:eastAsia="仿宋_GB2312" w:cs="Times New Roman"/>
          <w:sz w:val="32"/>
          <w:lang w:val="en-US" w:eastAsia="zh-CN"/>
        </w:rPr>
        <w:t>81.5</w:t>
      </w:r>
      <w:r>
        <w:rPr>
          <w:rFonts w:hint="default" w:ascii="Times New Roman" w:hAnsi="Times New Roman" w:eastAsia="仿宋_GB2312" w:cs="Times New Roman"/>
          <w:sz w:val="32"/>
        </w:rPr>
        <w:t>分，绩效评级为“</w:t>
      </w:r>
      <w:r>
        <w:rPr>
          <w:rFonts w:hint="default" w:ascii="Times New Roman" w:hAnsi="Times New Roman" w:eastAsia="仿宋_GB2312" w:cs="Times New Roman"/>
          <w:sz w:val="32"/>
          <w:lang w:val="en-US" w:eastAsia="zh-CN"/>
        </w:rPr>
        <w:t>良</w:t>
      </w:r>
      <w:r>
        <w:rPr>
          <w:rFonts w:hint="default" w:ascii="Times New Roman" w:hAnsi="Times New Roman" w:eastAsia="仿宋_GB2312" w:cs="Times New Roman"/>
          <w:sz w:val="32"/>
        </w:rPr>
        <w:t>”。</w:t>
      </w:r>
    </w:p>
    <w:p w14:paraId="7DB6582B">
      <w:pPr>
        <w:suppressAutoHyphens/>
        <w:bidi w:val="0"/>
        <w:spacing w:line="560" w:lineRule="exact"/>
        <w:ind w:firstLine="640" w:firstLineChars="200"/>
        <w:outlineLvl w:val="1"/>
        <w:rPr>
          <w:rFonts w:hint="default" w:ascii="Times New Roman" w:hAnsi="Times New Roman" w:eastAsia="楷体_GB2312" w:cs="Times New Roman"/>
          <w:sz w:val="32"/>
          <w:lang w:val="zh-CN"/>
        </w:rPr>
      </w:pPr>
      <w:r>
        <w:rPr>
          <w:rFonts w:hint="default" w:ascii="Times New Roman" w:hAnsi="Times New Roman" w:eastAsia="楷体_GB2312" w:cs="Times New Roman"/>
          <w:sz w:val="32"/>
          <w:lang w:val="zh-CN"/>
        </w:rPr>
        <w:t>（二）存在问题</w:t>
      </w:r>
    </w:p>
    <w:p w14:paraId="64D6E78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kern w:val="2"/>
          <w:sz w:val="32"/>
          <w:szCs w:val="32"/>
          <w:lang w:val="en-US" w:eastAsia="zh-CN" w:bidi="zh-TW"/>
        </w:rPr>
      </w:pPr>
      <w:r>
        <w:rPr>
          <w:rFonts w:hint="default" w:ascii="Times New Roman" w:hAnsi="Times New Roman" w:eastAsia="仿宋_GB2312" w:cs="Times New Roman"/>
          <w:bCs/>
          <w:color w:val="000000"/>
          <w:sz w:val="32"/>
          <w:szCs w:val="32"/>
          <w:lang w:eastAsia="zh-CN"/>
        </w:rPr>
        <w:t>1.</w:t>
      </w:r>
      <w:r>
        <w:rPr>
          <w:rFonts w:hint="default" w:ascii="Times New Roman" w:hAnsi="Times New Roman" w:eastAsia="仿宋_GB2312" w:cs="Times New Roman"/>
          <w:kern w:val="2"/>
          <w:sz w:val="32"/>
          <w:szCs w:val="32"/>
          <w:lang w:val="en-US" w:eastAsia="zh-CN" w:bidi="zh-TW"/>
        </w:rPr>
        <w:t>预算编制和绩效目标编制不够细</w:t>
      </w:r>
      <w:r>
        <w:rPr>
          <w:rFonts w:hint="default" w:ascii="Times New Roman" w:hAnsi="Times New Roman" w:eastAsia="仿宋_GB2312" w:cs="Times New Roman"/>
          <w:kern w:val="2"/>
          <w:sz w:val="32"/>
          <w:szCs w:val="32"/>
          <w:lang w:val="en-US" w:eastAsia="zh-CN" w:bidi="zh-TW"/>
        </w:rPr>
        <w:t>化，部分项目资金使用率较低。</w:t>
      </w:r>
    </w:p>
    <w:p w14:paraId="15012004">
      <w:pPr>
        <w:pStyle w:val="42"/>
        <w:spacing w:line="560" w:lineRule="atLeast"/>
        <w:ind w:firstLine="640" w:firstLineChars="200"/>
        <w:rPr>
          <w:rFonts w:hint="default" w:ascii="Times New Roman" w:hAnsi="Times New Roman" w:eastAsia="仿宋_GB2312" w:cs="Times New Roman"/>
          <w:kern w:val="2"/>
          <w:sz w:val="32"/>
          <w:szCs w:val="32"/>
          <w:lang w:val="en-US" w:eastAsia="zh-CN" w:bidi="zh-TW"/>
        </w:rPr>
      </w:pPr>
      <w:r>
        <w:rPr>
          <w:rFonts w:hint="default" w:ascii="Times New Roman" w:hAnsi="Times New Roman" w:eastAsia="仿宋_GB2312" w:cs="Times New Roman"/>
          <w:kern w:val="2"/>
          <w:sz w:val="32"/>
          <w:szCs w:val="32"/>
          <w:lang w:val="en-US" w:eastAsia="zh-CN" w:bidi="zh-TW"/>
        </w:rPr>
        <w:t>2.项目预算编制有些项目还不合理，尤其是招商引资、优抚对象年度确认工作经费、自主就业退役士兵就业创业费，自主就业退役士兵职业教育和技能培训费、适应性培训、其他退役军人工作经费等，实际产生的费用和预算数差距较大。</w:t>
      </w:r>
    </w:p>
    <w:p w14:paraId="072C65D7">
      <w:pPr>
        <w:pStyle w:val="42"/>
        <w:spacing w:line="560" w:lineRule="atLeast"/>
        <w:ind w:firstLine="640" w:firstLineChars="200"/>
        <w:rPr>
          <w:rFonts w:hint="default" w:ascii="Times New Roman" w:hAnsi="Times New Roman" w:eastAsia="仿宋_GB2312" w:cs="Times New Roman"/>
          <w:color w:val="000000"/>
          <w:spacing w:val="-6"/>
          <w:sz w:val="32"/>
          <w:szCs w:val="32"/>
          <w:lang w:val="en-US" w:eastAsia="zh-CN"/>
        </w:rPr>
      </w:pPr>
      <w:r>
        <w:rPr>
          <w:rFonts w:hint="default" w:ascii="Times New Roman" w:hAnsi="Times New Roman" w:eastAsia="仿宋_GB2312" w:cs="Times New Roman"/>
          <w:bCs/>
          <w:color w:val="000000"/>
          <w:sz w:val="32"/>
          <w:szCs w:val="32"/>
          <w:lang w:eastAsia="zh-CN"/>
        </w:rPr>
        <w:t>3.</w:t>
      </w:r>
      <w:r>
        <w:rPr>
          <w:rFonts w:hint="default" w:ascii="Times New Roman" w:hAnsi="Times New Roman" w:eastAsia="仿宋_GB2312" w:cs="Times New Roman"/>
          <w:color w:val="000000"/>
          <w:sz w:val="32"/>
          <w:szCs w:val="32"/>
          <w:lang w:val="zh-CN" w:eastAsia="zh-CN"/>
        </w:rPr>
        <w:t>年初收入预算安排总数</w:t>
      </w:r>
      <w:r>
        <w:rPr>
          <w:rFonts w:hint="default" w:ascii="Times New Roman" w:hAnsi="Times New Roman" w:eastAsia="仿宋_GB2312" w:cs="Times New Roman"/>
          <w:color w:val="000000"/>
          <w:sz w:val="32"/>
          <w:szCs w:val="32"/>
          <w:lang w:val="en-US" w:eastAsia="zh-CN"/>
        </w:rPr>
        <w:t>615.62</w:t>
      </w:r>
      <w:r>
        <w:rPr>
          <w:rFonts w:hint="default" w:ascii="Times New Roman" w:hAnsi="Times New Roman" w:eastAsia="仿宋_GB2312" w:cs="Times New Roman"/>
          <w:color w:val="000000"/>
          <w:sz w:val="32"/>
          <w:szCs w:val="32"/>
          <w:lang w:val="zh-CN" w:eastAsia="zh-CN"/>
        </w:rPr>
        <w:t>万元，</w:t>
      </w:r>
      <w:r>
        <w:rPr>
          <w:rFonts w:hint="default" w:ascii="Times New Roman" w:hAnsi="Times New Roman" w:eastAsia="仿宋_GB2312" w:cs="Times New Roman"/>
          <w:sz w:val="32"/>
          <w:szCs w:val="32"/>
          <w:lang w:val="en-US" w:eastAsia="zh-CN"/>
        </w:rPr>
        <w:t>调整预算数为458.66万元，</w:t>
      </w:r>
      <w:r>
        <w:rPr>
          <w:rFonts w:hint="default" w:ascii="Times New Roman" w:hAnsi="Times New Roman" w:eastAsia="仿宋_GB2312" w:cs="Times New Roman"/>
          <w:color w:val="000000"/>
          <w:sz w:val="32"/>
          <w:szCs w:val="32"/>
          <w:lang w:val="zh-CN" w:eastAsia="zh-CN"/>
        </w:rPr>
        <w:t>决算支出</w:t>
      </w:r>
      <w:r>
        <w:rPr>
          <w:rFonts w:hint="default" w:ascii="Times New Roman" w:hAnsi="Times New Roman" w:eastAsia="仿宋_GB2312" w:cs="Times New Roman"/>
          <w:color w:val="000000"/>
          <w:sz w:val="32"/>
          <w:szCs w:val="32"/>
          <w:lang w:val="en-US" w:eastAsia="zh-CN"/>
        </w:rPr>
        <w:t>458.66</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000000"/>
          <w:sz w:val="32"/>
          <w:szCs w:val="32"/>
          <w:lang w:eastAsia="zh-CN"/>
        </w:rPr>
        <w:t>。</w:t>
      </w:r>
    </w:p>
    <w:p w14:paraId="34D2BBB4">
      <w:pPr>
        <w:suppressAutoHyphens/>
        <w:bidi w:val="0"/>
        <w:spacing w:line="560" w:lineRule="exact"/>
        <w:ind w:firstLine="640" w:firstLineChars="200"/>
        <w:outlineLvl w:val="1"/>
        <w:rPr>
          <w:rFonts w:hint="default" w:ascii="Times New Roman" w:hAnsi="Times New Roman" w:eastAsia="楷体_GB2312" w:cs="Times New Roman"/>
          <w:sz w:val="32"/>
          <w:lang w:val="zh-CN"/>
        </w:rPr>
      </w:pPr>
      <w:r>
        <w:rPr>
          <w:rFonts w:hint="default" w:ascii="Times New Roman" w:hAnsi="Times New Roman" w:eastAsia="楷体_GB2312" w:cs="Times New Roman"/>
          <w:sz w:val="32"/>
          <w:lang w:val="zh-CN"/>
        </w:rPr>
        <w:t>（三）改进建议</w:t>
      </w:r>
    </w:p>
    <w:p w14:paraId="77DF97B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cs="Times New Roman"/>
          <w:i w:val="0"/>
          <w:iCs w:val="0"/>
          <w:caps w:val="0"/>
          <w:color w:val="000000"/>
          <w:spacing w:val="0"/>
          <w:sz w:val="32"/>
          <w:szCs w:val="32"/>
          <w:shd w:val="clear" w:color="auto" w:fill="FFFFFF"/>
          <w:lang w:val="en-US" w:eastAsia="zh-CN"/>
        </w:rPr>
        <w:t>1</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w:t>
      </w:r>
      <w:r>
        <w:rPr>
          <w:rFonts w:hint="default" w:ascii="Times New Roman" w:hAnsi="Times New Roman" w:eastAsia="仿宋_GB2312" w:cs="Times New Roman"/>
          <w:sz w:val="32"/>
          <w:szCs w:val="32"/>
          <w:lang w:val="en-US" w:eastAsia="zh-CN"/>
        </w:rPr>
        <w:t>做好预算编制前期准备工作，掌握了解本单位情况，注重上年度预算执行情况进行认真审核，确保预算编制的严谨性，避免部门的收支预算在执行过程中出现大的偏差，提高可预见性，增强预算准确性。</w:t>
      </w:r>
    </w:p>
    <w:p w14:paraId="26DB8416">
      <w:pPr>
        <w:spacing w:line="560" w:lineRule="exact"/>
        <w:ind w:firstLine="640" w:firstLineChars="200"/>
        <w:outlineLvl w:val="1"/>
        <w:rPr>
          <w:rFonts w:hint="default" w:ascii="Times New Roman" w:hAnsi="Times New Roman" w:eastAsia="仿宋_GB2312" w:cs="Times New Roman"/>
          <w:sz w:val="32"/>
          <w:szCs w:val="32"/>
          <w:lang w:val="en-US" w:eastAsia="zh-CN"/>
        </w:rPr>
      </w:pPr>
      <w:r>
        <w:rPr>
          <w:rFonts w:hint="default" w:ascii="Times New Roman" w:hAnsi="Times New Roman" w:eastAsia="宋体" w:cs="Times New Roman"/>
          <w:i w:val="0"/>
          <w:iCs w:val="0"/>
          <w:caps w:val="0"/>
          <w:color w:val="000000"/>
          <w:spacing w:val="0"/>
          <w:sz w:val="32"/>
          <w:szCs w:val="32"/>
          <w:shd w:val="clear" w:color="auto" w:fill="FFFFFF"/>
          <w:lang w:val="en-US" w:eastAsia="zh-CN"/>
        </w:rPr>
        <w:t>2</w:t>
      </w:r>
      <w:r>
        <w:rPr>
          <w:rFonts w:hint="default" w:ascii="Times New Roman" w:hAnsi="Times New Roman" w:cs="Times New Roman"/>
          <w:lang w:val="en-US" w:eastAsia="zh-CN"/>
        </w:rPr>
        <w:t>.</w:t>
      </w:r>
      <w:r>
        <w:rPr>
          <w:rFonts w:hint="default" w:ascii="Times New Roman" w:hAnsi="Times New Roman" w:eastAsia="仿宋_GB2312" w:cs="Times New Roman"/>
          <w:sz w:val="32"/>
          <w:szCs w:val="32"/>
          <w:lang w:val="en-US" w:eastAsia="zh-CN"/>
        </w:rPr>
        <w:t>加强预算执行管理，保证预算得到有效执行。要严格要求资金使用、发放的流程，完善财务管理制度，强化财务控制意识。</w:t>
      </w:r>
    </w:p>
    <w:p w14:paraId="4ADE6D69">
      <w:pPr>
        <w:keepNext w:val="0"/>
        <w:keepLines w:val="0"/>
        <w:pageBreakBefore w:val="0"/>
        <w:kinsoku/>
        <w:wordWrap/>
        <w:overflowPunct/>
        <w:topLinePunct w:val="0"/>
        <w:autoSpaceDE/>
        <w:autoSpaceDN/>
        <w:bidi w:val="0"/>
        <w:spacing w:line="572" w:lineRule="exact"/>
        <w:jc w:val="left"/>
        <w:textAlignment w:val="auto"/>
        <w:outlineLvl w:val="1"/>
        <w:rPr>
          <w:rFonts w:hint="default" w:ascii="Times New Roman" w:hAnsi="Times New Roman" w:eastAsia="黑体" w:cs="Times New Roman"/>
          <w:color w:val="auto"/>
          <w:sz w:val="32"/>
          <w:szCs w:val="32"/>
          <w:highlight w:val="none"/>
          <w:lang w:val="en-US" w:eastAsia="zh-CN"/>
        </w:rPr>
      </w:pPr>
    </w:p>
    <w:p w14:paraId="2DBC323D">
      <w:pPr>
        <w:pStyle w:val="2"/>
        <w:rPr>
          <w:rFonts w:hint="default" w:ascii="Times New Roman" w:hAnsi="Times New Roman" w:eastAsia="黑体" w:cs="Times New Roman"/>
          <w:color w:val="auto"/>
          <w:sz w:val="32"/>
          <w:szCs w:val="32"/>
          <w:highlight w:val="none"/>
          <w:lang w:val="en-US" w:eastAsia="zh-CN"/>
        </w:rPr>
      </w:pPr>
    </w:p>
    <w:p w14:paraId="670DA8B7">
      <w:pPr>
        <w:pStyle w:val="3"/>
        <w:ind w:left="0" w:leftChars="0" w:firstLine="0" w:firstLineChars="0"/>
        <w:rPr>
          <w:rFonts w:hint="default" w:ascii="Times New Roman" w:hAnsi="Times New Roman" w:eastAsia="黑体" w:cs="Times New Roman"/>
          <w:color w:val="auto"/>
          <w:sz w:val="32"/>
          <w:szCs w:val="32"/>
          <w:highlight w:val="none"/>
          <w:lang w:val="en-US" w:eastAsia="zh-CN"/>
        </w:rPr>
      </w:pPr>
      <w:bookmarkStart w:id="138" w:name="_GoBack"/>
      <w:bookmarkEnd w:id="138"/>
    </w:p>
    <w:p w14:paraId="3C71CA3B">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outlineLvl w:val="9"/>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遂宁高新区</w:t>
      </w:r>
      <w:r>
        <w:rPr>
          <w:rFonts w:hint="default" w:ascii="Times New Roman" w:hAnsi="Times New Roman" w:eastAsia="方正小标宋简体" w:cs="Times New Roman"/>
          <w:sz w:val="44"/>
          <w:szCs w:val="44"/>
          <w:lang w:val="en-US" w:eastAsia="zh-CN"/>
        </w:rPr>
        <w:t>退役军人服务中心</w:t>
      </w:r>
    </w:p>
    <w:p w14:paraId="7359A84B">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专项预算项目支出绩效自评报告</w:t>
      </w:r>
    </w:p>
    <w:p w14:paraId="36F13C2C">
      <w:pPr>
        <w:keepNext w:val="0"/>
        <w:keepLines w:val="0"/>
        <w:pageBreakBefore w:val="0"/>
        <w:widowControl w:val="0"/>
        <w:tabs>
          <w:tab w:val="left" w:pos="3885"/>
        </w:tabs>
        <w:kinsoku/>
        <w:wordWrap/>
        <w:overflowPunct/>
        <w:topLinePunct w:val="0"/>
        <w:autoSpaceDE/>
        <w:autoSpaceDN/>
        <w:bidi w:val="0"/>
        <w:adjustRightInd/>
        <w:snapToGrid w:val="0"/>
        <w:spacing w:line="600" w:lineRule="exact"/>
        <w:jc w:val="center"/>
        <w:textAlignment w:val="auto"/>
        <w:outlineLvl w:val="9"/>
        <w:rPr>
          <w:rFonts w:hint="default" w:ascii="Times New Roman" w:hAnsi="Times New Roman" w:cs="Times New Roman"/>
        </w:rPr>
      </w:pPr>
      <w:r>
        <w:rPr>
          <w:rFonts w:hint="default" w:ascii="Times New Roman" w:hAnsi="Times New Roman" w:eastAsia="仿宋_GB2312" w:cs="Times New Roman"/>
          <w:sz w:val="32"/>
          <w:lang w:val="en-US" w:eastAsia="zh-CN"/>
        </w:rPr>
        <w:t>（</w:t>
      </w:r>
      <w:bookmarkStart w:id="106" w:name="OLE_LINK31"/>
      <w:r>
        <w:rPr>
          <w:rFonts w:hint="default" w:ascii="Times New Roman" w:hAnsi="Times New Roman" w:eastAsia="仿宋_GB2312" w:cs="Times New Roman"/>
          <w:sz w:val="32"/>
          <w:lang w:val="en-US" w:eastAsia="zh-CN"/>
        </w:rPr>
        <w:t>优抚对象抚恤和生活补助</w:t>
      </w:r>
      <w:bookmarkEnd w:id="106"/>
      <w:r>
        <w:rPr>
          <w:rFonts w:hint="default" w:ascii="Times New Roman" w:hAnsi="Times New Roman" w:eastAsia="仿宋_GB2312" w:cs="Times New Roman"/>
          <w:sz w:val="32"/>
          <w:lang w:val="en-US" w:eastAsia="zh-CN"/>
        </w:rPr>
        <w:t>项目）</w:t>
      </w:r>
    </w:p>
    <w:p w14:paraId="23B0ACDF">
      <w:pPr>
        <w:pStyle w:val="38"/>
        <w:spacing w:line="620" w:lineRule="exact"/>
        <w:jc w:val="both"/>
        <w:rPr>
          <w:rFonts w:hint="default" w:ascii="Times New Roman" w:hAnsi="Times New Roman" w:eastAsia="黑体" w:cs="Times New Roman"/>
          <w:kern w:val="2"/>
          <w:sz w:val="32"/>
          <w:szCs w:val="24"/>
          <w:lang w:val="zh-CN" w:eastAsia="zh-CN" w:bidi="ar-SA"/>
        </w:rPr>
      </w:pPr>
    </w:p>
    <w:p w14:paraId="6D39DC76">
      <w:pPr>
        <w:adjustRightInd w:val="0"/>
        <w:snapToGrid w:val="0"/>
        <w:spacing w:line="590" w:lineRule="exact"/>
        <w:ind w:firstLine="640" w:firstLineChars="200"/>
        <w:rPr>
          <w:rFonts w:hint="default" w:ascii="Times New Roman" w:hAnsi="Times New Roman" w:eastAsia="黑体" w:cs="Times New Roman"/>
          <w:kern w:val="2"/>
          <w:sz w:val="32"/>
          <w:szCs w:val="24"/>
          <w:lang w:val="zh-CN" w:eastAsia="zh-CN" w:bidi="ar-SA"/>
        </w:rPr>
      </w:pPr>
      <w:r>
        <w:rPr>
          <w:rFonts w:hint="default" w:ascii="Times New Roman" w:hAnsi="Times New Roman" w:eastAsia="黑体" w:cs="Times New Roman"/>
          <w:kern w:val="2"/>
          <w:sz w:val="32"/>
          <w:szCs w:val="24"/>
          <w:lang w:val="zh-CN" w:eastAsia="zh-CN" w:bidi="ar-SA"/>
        </w:rPr>
        <w:t>一、项目概况</w:t>
      </w:r>
    </w:p>
    <w:p w14:paraId="28B81495">
      <w:pPr>
        <w:suppressAutoHyphens/>
        <w:bidi w:val="0"/>
        <w:adjustRightInd w:val="0"/>
        <w:snapToGrid w:val="0"/>
        <w:spacing w:line="590" w:lineRule="exact"/>
        <w:ind w:firstLine="643" w:firstLineChars="200"/>
        <w:rPr>
          <w:rFonts w:hint="default" w:ascii="Times New Roman" w:hAnsi="Times New Roman" w:eastAsia="楷体_GB2312" w:cs="Times New Roman"/>
          <w:b/>
          <w:sz w:val="32"/>
          <w:lang w:val="zh-CN" w:eastAsia="zh-CN"/>
        </w:rPr>
      </w:pPr>
      <w:r>
        <w:rPr>
          <w:rFonts w:hint="default" w:ascii="Times New Roman" w:hAnsi="Times New Roman" w:eastAsia="楷体_GB2312" w:cs="Times New Roman"/>
          <w:b/>
          <w:sz w:val="32"/>
          <w:lang w:val="zh-CN" w:eastAsia="zh-CN"/>
        </w:rPr>
        <w:t>（一）项目基本情况</w:t>
      </w:r>
    </w:p>
    <w:p w14:paraId="77C514E2">
      <w:pPr>
        <w:suppressAutoHyphens/>
        <w:bidi w:val="0"/>
        <w:adjustRightInd w:val="0"/>
        <w:snapToGrid w:val="0"/>
        <w:spacing w:line="590" w:lineRule="exact"/>
        <w:ind w:firstLine="640" w:firstLineChars="200"/>
        <w:rPr>
          <w:rFonts w:hint="default" w:ascii="Times New Roman" w:hAnsi="Times New Roman" w:eastAsia="仿宋_GB2312" w:cs="Times New Roman"/>
          <w:sz w:val="32"/>
          <w:lang w:val="zh-CN"/>
        </w:rPr>
      </w:pPr>
      <w:r>
        <w:rPr>
          <w:rFonts w:hint="default" w:ascii="Times New Roman" w:hAnsi="Times New Roman" w:eastAsia="仿宋_GB2312" w:cs="Times New Roman"/>
          <w:sz w:val="32"/>
          <w:lang w:val="zh-CN"/>
        </w:rPr>
        <w:t>1</w:t>
      </w:r>
      <w:r>
        <w:rPr>
          <w:rFonts w:hint="default" w:ascii="Times New Roman" w:hAnsi="Times New Roman" w:eastAsia="仿宋_GB2312" w:cs="Times New Roman"/>
          <w:sz w:val="32"/>
          <w:lang w:val="zh-CN"/>
        </w:rPr>
        <w:t xml:space="preserve">. </w:t>
      </w:r>
      <w:r>
        <w:rPr>
          <w:rFonts w:hint="default" w:ascii="Times New Roman" w:hAnsi="Times New Roman" w:eastAsia="仿宋_GB2312" w:cs="Times New Roman"/>
          <w:sz w:val="32"/>
          <w:lang w:val="zh-CN"/>
        </w:rPr>
        <w:t>说明项目主管部门（单位）在该项目管理中的职能。</w:t>
      </w:r>
    </w:p>
    <w:p w14:paraId="4A0C8885">
      <w:pPr>
        <w:suppressAutoHyphens/>
        <w:bidi w:val="0"/>
        <w:adjustRightInd w:val="0"/>
        <w:snapToGrid w:val="0"/>
        <w:spacing w:line="590" w:lineRule="exact"/>
        <w:ind w:firstLine="640" w:firstLineChars="200"/>
        <w:rPr>
          <w:rFonts w:hint="default" w:ascii="Times New Roman" w:hAnsi="Times New Roman" w:eastAsia="仿宋_GB2312" w:cs="Times New Roman"/>
          <w:sz w:val="32"/>
          <w:lang w:val="zh-CN"/>
        </w:rPr>
      </w:pPr>
      <w:r>
        <w:rPr>
          <w:rFonts w:hint="default" w:ascii="Times New Roman" w:hAnsi="Times New Roman" w:eastAsia="仿宋_GB2312" w:cs="Times New Roman"/>
          <w:sz w:val="32"/>
          <w:lang w:val="zh-CN" w:eastAsia="zh-CN"/>
        </w:rPr>
        <w:t>主要用于伤残人员、“三属”(烈士、因公牺牲和病故军人遗属)、在乡老复员军人、带病回乡退伍军人、在农村的和城镇无工作单位且家庭生活困难的参战退役人员﹑部分原8023部队及其他参加核试验军队退役人员以及符合条件的农村籍退役士兵等人员抚恤和生活补助支出。</w:t>
      </w:r>
    </w:p>
    <w:p w14:paraId="0E9B19AF">
      <w:pPr>
        <w:suppressAutoHyphens/>
        <w:bidi w:val="0"/>
        <w:adjustRightInd w:val="0"/>
        <w:snapToGrid w:val="0"/>
        <w:spacing w:line="590" w:lineRule="exact"/>
        <w:ind w:firstLine="640" w:firstLineChars="200"/>
        <w:rPr>
          <w:rFonts w:hint="default" w:ascii="Times New Roman" w:hAnsi="Times New Roman" w:eastAsia="仿宋_GB2312" w:cs="Times New Roman"/>
          <w:sz w:val="32"/>
          <w:lang w:val="zh-CN"/>
        </w:rPr>
      </w:pPr>
      <w:r>
        <w:rPr>
          <w:rFonts w:hint="default" w:ascii="Times New Roman" w:hAnsi="Times New Roman" w:eastAsia="仿宋_GB2312" w:cs="Times New Roman"/>
          <w:sz w:val="32"/>
          <w:lang w:val="zh-CN"/>
        </w:rPr>
        <w:t>项目立项、资金申报的依据。</w:t>
      </w:r>
    </w:p>
    <w:p w14:paraId="1D92FE52">
      <w:pPr>
        <w:suppressAutoHyphens/>
        <w:bidi w:val="0"/>
        <w:adjustRightInd w:val="0"/>
        <w:snapToGrid w:val="0"/>
        <w:spacing w:line="590" w:lineRule="exact"/>
        <w:ind w:firstLine="640" w:firstLineChars="200"/>
        <w:rPr>
          <w:rFonts w:hint="default" w:ascii="Times New Roman" w:hAnsi="Times New Roman" w:eastAsia="仿宋_GB2312" w:cs="Times New Roman"/>
          <w:sz w:val="32"/>
          <w:lang w:val="zh-CN" w:eastAsia="zh-CN"/>
        </w:rPr>
      </w:pPr>
      <w:r>
        <w:rPr>
          <w:rFonts w:hint="default" w:ascii="Times New Roman" w:hAnsi="Times New Roman" w:eastAsia="仿宋_GB2312" w:cs="Times New Roman"/>
          <w:sz w:val="32"/>
          <w:lang w:val="zh-CN"/>
        </w:rPr>
        <w:t xml:space="preserve"> </w:t>
      </w:r>
      <w:r>
        <w:rPr>
          <w:rFonts w:hint="default" w:ascii="Times New Roman" w:hAnsi="Times New Roman" w:eastAsia="仿宋_GB2312" w:cs="Times New Roman"/>
          <w:sz w:val="32"/>
          <w:lang w:val="en-US" w:eastAsia="zh-CN"/>
        </w:rPr>
        <w:t>根据（川退役军人发〔2021〕94号）及（川退役军人发〔2022〕117号）文件要求执行。</w:t>
      </w:r>
    </w:p>
    <w:p w14:paraId="39FBE8A8">
      <w:pPr>
        <w:suppressAutoHyphens/>
        <w:bidi w:val="0"/>
        <w:adjustRightInd w:val="0"/>
        <w:snapToGrid w:val="0"/>
        <w:spacing w:line="590" w:lineRule="exact"/>
        <w:ind w:firstLine="640" w:firstLineChars="200"/>
        <w:rPr>
          <w:rFonts w:hint="default" w:ascii="Times New Roman" w:hAnsi="Times New Roman" w:eastAsia="仿宋_GB2312" w:cs="Times New Roman"/>
          <w:sz w:val="32"/>
          <w:lang w:val="zh-CN"/>
        </w:rPr>
      </w:pPr>
      <w:r>
        <w:rPr>
          <w:rFonts w:hint="default" w:ascii="Times New Roman" w:hAnsi="Times New Roman" w:eastAsia="仿宋_GB2312" w:cs="Times New Roman"/>
          <w:sz w:val="32"/>
          <w:lang w:val="en-US" w:eastAsia="zh-CN"/>
        </w:rPr>
        <w:t>3.</w:t>
      </w:r>
      <w:r>
        <w:rPr>
          <w:rFonts w:hint="default" w:ascii="Times New Roman" w:hAnsi="Times New Roman" w:eastAsia="仿宋_GB2312" w:cs="Times New Roman"/>
          <w:sz w:val="32"/>
          <w:lang w:val="zh-CN"/>
        </w:rPr>
        <w:t>资金管理办法制定情况，资金支持具体项目的条件、范围与支持方式概况。</w:t>
      </w:r>
    </w:p>
    <w:p w14:paraId="296F33D0">
      <w:pPr>
        <w:suppressAutoHyphens/>
        <w:bidi w:val="0"/>
        <w:adjustRightInd w:val="0"/>
        <w:snapToGrid w:val="0"/>
        <w:spacing w:line="590" w:lineRule="exact"/>
        <w:ind w:firstLine="640" w:firstLineChars="200"/>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严格财政金融局资金管理办法进行资金管理，按照文件要求和人员人数进行资金拨付。</w:t>
      </w:r>
    </w:p>
    <w:p w14:paraId="2D0C9423">
      <w:pPr>
        <w:suppressAutoHyphens/>
        <w:bidi w:val="0"/>
        <w:adjustRightInd w:val="0"/>
        <w:snapToGrid w:val="0"/>
        <w:spacing w:line="590" w:lineRule="exact"/>
        <w:ind w:firstLine="640" w:firstLineChars="200"/>
        <w:rPr>
          <w:rFonts w:hint="default" w:ascii="Times New Roman" w:hAnsi="Times New Roman" w:eastAsia="仿宋_GB2312" w:cs="Times New Roman"/>
          <w:sz w:val="32"/>
          <w:lang w:val="zh-CN"/>
        </w:rPr>
      </w:pPr>
      <w:r>
        <w:rPr>
          <w:rFonts w:hint="default" w:ascii="Times New Roman" w:hAnsi="Times New Roman" w:eastAsia="仿宋_GB2312" w:cs="Times New Roman"/>
          <w:sz w:val="32"/>
          <w:lang w:val="zh-CN"/>
        </w:rPr>
        <w:t>4</w:t>
      </w:r>
      <w:r>
        <w:rPr>
          <w:rFonts w:hint="default" w:ascii="Times New Roman" w:hAnsi="Times New Roman" w:eastAsia="仿宋_GB2312" w:cs="Times New Roman"/>
          <w:sz w:val="32"/>
          <w:lang w:val="zh-CN"/>
        </w:rPr>
        <w:t xml:space="preserve">. </w:t>
      </w:r>
      <w:r>
        <w:rPr>
          <w:rFonts w:hint="default" w:ascii="Times New Roman" w:hAnsi="Times New Roman" w:eastAsia="仿宋_GB2312" w:cs="Times New Roman"/>
          <w:sz w:val="32"/>
          <w:lang w:val="zh-CN"/>
        </w:rPr>
        <w:t>资金分配的原则及考虑因素。</w:t>
      </w:r>
    </w:p>
    <w:p w14:paraId="04E2928D">
      <w:pPr>
        <w:suppressAutoHyphens/>
        <w:bidi w:val="0"/>
        <w:adjustRightInd w:val="0"/>
        <w:snapToGrid w:val="0"/>
        <w:spacing w:line="590" w:lineRule="exact"/>
        <w:ind w:firstLine="640" w:firstLineChars="200"/>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该项目资金计划据实申报，财政金融局按照标准严格审核通过。</w:t>
      </w:r>
    </w:p>
    <w:p w14:paraId="72FB3220">
      <w:pPr>
        <w:suppressAutoHyphens/>
        <w:bidi w:val="0"/>
        <w:adjustRightInd w:val="0"/>
        <w:snapToGrid w:val="0"/>
        <w:spacing w:line="590" w:lineRule="exact"/>
        <w:ind w:firstLine="643" w:firstLineChars="200"/>
        <w:rPr>
          <w:rFonts w:hint="default" w:ascii="Times New Roman" w:hAnsi="Times New Roman" w:eastAsia="楷体_GB2312" w:cs="Times New Roman"/>
          <w:b/>
          <w:sz w:val="32"/>
          <w:lang w:val="zh-CN"/>
        </w:rPr>
      </w:pPr>
      <w:r>
        <w:rPr>
          <w:rFonts w:hint="default" w:ascii="Times New Roman" w:hAnsi="Times New Roman" w:eastAsia="楷体_GB2312" w:cs="Times New Roman"/>
          <w:b/>
          <w:sz w:val="32"/>
          <w:lang w:val="zh-CN"/>
        </w:rPr>
        <w:t>（二）项目绩效目标</w:t>
      </w:r>
    </w:p>
    <w:p w14:paraId="47448303">
      <w:pPr>
        <w:suppressAutoHyphens/>
        <w:bidi w:val="0"/>
        <w:adjustRightInd w:val="0"/>
        <w:snapToGrid w:val="0"/>
        <w:spacing w:line="590" w:lineRule="exact"/>
        <w:ind w:firstLine="640" w:firstLineChars="200"/>
        <w:rPr>
          <w:rFonts w:hint="default" w:ascii="Times New Roman" w:hAnsi="Times New Roman" w:eastAsia="仿宋_GB2312" w:cs="Times New Roman"/>
          <w:color w:val="000000"/>
          <w:sz w:val="32"/>
          <w:lang w:val="zh-CN"/>
        </w:rPr>
      </w:pPr>
      <w:r>
        <w:rPr>
          <w:rFonts w:hint="default" w:ascii="Times New Roman" w:hAnsi="Times New Roman" w:eastAsia="仿宋_GB2312" w:cs="Times New Roman"/>
          <w:color w:val="000000"/>
          <w:sz w:val="32"/>
          <w:lang w:val="zh-CN"/>
        </w:rPr>
        <w:t>1</w:t>
      </w:r>
      <w:r>
        <w:rPr>
          <w:rFonts w:hint="default" w:ascii="Times New Roman" w:hAnsi="Times New Roman" w:eastAsia="仿宋_GB2312" w:cs="Times New Roman"/>
          <w:color w:val="000000"/>
          <w:sz w:val="32"/>
          <w:lang w:val="zh-CN"/>
        </w:rPr>
        <w:t xml:space="preserve">. </w:t>
      </w:r>
      <w:r>
        <w:rPr>
          <w:rFonts w:hint="default" w:ascii="Times New Roman" w:hAnsi="Times New Roman" w:eastAsia="仿宋_GB2312" w:cs="Times New Roman"/>
          <w:color w:val="000000"/>
          <w:sz w:val="32"/>
          <w:lang w:val="zh-CN"/>
        </w:rPr>
        <w:t>项目主要内容。</w:t>
      </w:r>
    </w:p>
    <w:p w14:paraId="5D248CCA">
      <w:pPr>
        <w:suppressAutoHyphens/>
        <w:bidi w:val="0"/>
        <w:adjustRightInd w:val="0"/>
        <w:snapToGrid w:val="0"/>
        <w:spacing w:line="590" w:lineRule="exact"/>
        <w:ind w:firstLine="640" w:firstLineChars="200"/>
        <w:rPr>
          <w:rFonts w:hint="default" w:ascii="Times New Roman" w:hAnsi="Times New Roman" w:eastAsia="仿宋_GB2312" w:cs="Times New Roman"/>
          <w:color w:val="000000"/>
          <w:sz w:val="32"/>
          <w:lang w:val="en-US" w:eastAsia="zh-CN"/>
        </w:rPr>
      </w:pPr>
      <w:r>
        <w:rPr>
          <w:rFonts w:hint="default" w:ascii="Times New Roman" w:hAnsi="Times New Roman" w:eastAsia="仿宋_GB2312" w:cs="Times New Roman"/>
          <w:color w:val="000000"/>
          <w:sz w:val="32"/>
          <w:lang w:val="en-US" w:eastAsia="zh-CN"/>
        </w:rPr>
        <w:t>通过项目实施，维护了优抚对象合法权益，解决了优抚对象实际困难，促进了社会和谐。</w:t>
      </w:r>
    </w:p>
    <w:p w14:paraId="0E969654">
      <w:pPr>
        <w:suppressAutoHyphens/>
        <w:bidi w:val="0"/>
        <w:adjustRightInd w:val="0"/>
        <w:snapToGrid w:val="0"/>
        <w:spacing w:line="590" w:lineRule="exact"/>
        <w:ind w:firstLine="640" w:firstLineChars="200"/>
        <w:rPr>
          <w:rFonts w:hint="default" w:ascii="Times New Roman" w:hAnsi="Times New Roman" w:eastAsia="仿宋_GB2312" w:cs="Times New Roman"/>
          <w:color w:val="000000"/>
          <w:sz w:val="32"/>
          <w:lang w:val="zh-CN"/>
        </w:rPr>
      </w:pPr>
      <w:r>
        <w:rPr>
          <w:rFonts w:hint="default" w:ascii="Times New Roman" w:hAnsi="Times New Roman" w:eastAsia="仿宋_GB2312" w:cs="Times New Roman"/>
          <w:color w:val="000000"/>
          <w:sz w:val="32"/>
          <w:lang w:val="en-US" w:eastAsia="zh-CN"/>
        </w:rPr>
        <w:t>2.</w:t>
      </w:r>
      <w:r>
        <w:rPr>
          <w:rFonts w:hint="default" w:ascii="Times New Roman" w:hAnsi="Times New Roman" w:eastAsia="仿宋_GB2312" w:cs="Times New Roman"/>
          <w:color w:val="000000"/>
          <w:sz w:val="32"/>
          <w:lang w:val="zh-CN"/>
        </w:rPr>
        <w:t>项目应实现的具体绩效目标，包括目标的量化、细化情况以及项目实施进度计划等。</w:t>
      </w:r>
    </w:p>
    <w:p w14:paraId="40A7CF51">
      <w:pPr>
        <w:suppressAutoHyphens/>
        <w:bidi w:val="0"/>
        <w:adjustRightInd w:val="0"/>
        <w:snapToGrid w:val="0"/>
        <w:spacing w:line="590" w:lineRule="exact"/>
        <w:ind w:firstLine="640" w:firstLineChars="200"/>
        <w:rPr>
          <w:rFonts w:hint="default" w:ascii="Times New Roman" w:hAnsi="Times New Roman" w:eastAsia="仿宋_GB2312" w:cs="Times New Roman"/>
          <w:color w:val="000000"/>
          <w:sz w:val="32"/>
          <w:lang w:val="zh-CN"/>
        </w:rPr>
      </w:pPr>
      <w:r>
        <w:rPr>
          <w:rFonts w:hint="default" w:ascii="Times New Roman" w:hAnsi="Times New Roman" w:eastAsia="仿宋_GB2312" w:cs="Times New Roman"/>
          <w:color w:val="000000"/>
          <w:sz w:val="32"/>
          <w:lang w:val="en-US" w:eastAsia="zh-CN"/>
        </w:rPr>
        <w:t>项目实施按要求报审后，进行实施。2023年为270余人发放优抚对象抚恤和生活补助经费34.65万元，已按文件要求和时间节点进行支付。</w:t>
      </w:r>
    </w:p>
    <w:p w14:paraId="71D43E05">
      <w:pPr>
        <w:suppressAutoHyphens/>
        <w:bidi w:val="0"/>
        <w:adjustRightInd w:val="0"/>
        <w:snapToGrid w:val="0"/>
        <w:spacing w:line="590" w:lineRule="exact"/>
        <w:ind w:firstLine="640" w:firstLineChars="200"/>
        <w:rPr>
          <w:rFonts w:hint="default" w:ascii="Times New Roman" w:hAnsi="Times New Roman" w:eastAsia="仿宋_GB2312" w:cs="Times New Roman"/>
          <w:color w:val="000000"/>
          <w:sz w:val="32"/>
          <w:lang w:val="zh-CN"/>
        </w:rPr>
      </w:pPr>
      <w:r>
        <w:rPr>
          <w:rFonts w:hint="default" w:ascii="Times New Roman" w:hAnsi="Times New Roman" w:eastAsia="仿宋_GB2312" w:cs="Times New Roman"/>
          <w:color w:val="000000"/>
          <w:sz w:val="32"/>
          <w:lang w:val="zh-CN"/>
        </w:rPr>
        <w:t>3</w:t>
      </w:r>
      <w:r>
        <w:rPr>
          <w:rFonts w:hint="default" w:ascii="Times New Roman" w:hAnsi="Times New Roman" w:eastAsia="仿宋_GB2312" w:cs="Times New Roman"/>
          <w:color w:val="000000"/>
          <w:sz w:val="32"/>
          <w:lang w:val="zh-CN"/>
        </w:rPr>
        <w:t xml:space="preserve">. </w:t>
      </w:r>
      <w:r>
        <w:rPr>
          <w:rFonts w:hint="default" w:ascii="Times New Roman" w:hAnsi="Times New Roman" w:eastAsia="仿宋_GB2312" w:cs="Times New Roman"/>
          <w:color w:val="000000"/>
          <w:sz w:val="32"/>
          <w:lang w:val="zh-CN"/>
        </w:rPr>
        <w:t>分析评价申报内容是否与实际相符，申报目标是否合理可行。</w:t>
      </w:r>
    </w:p>
    <w:p w14:paraId="5AB1BBFD">
      <w:pPr>
        <w:suppressAutoHyphens/>
        <w:bidi w:val="0"/>
        <w:adjustRightInd w:val="0"/>
        <w:snapToGrid w:val="0"/>
        <w:spacing w:line="590" w:lineRule="exact"/>
        <w:ind w:firstLine="640" w:firstLineChars="200"/>
        <w:rPr>
          <w:rFonts w:hint="default" w:ascii="Times New Roman" w:hAnsi="Times New Roman" w:eastAsia="楷体_GB2312" w:cs="Times New Roman"/>
          <w:b/>
          <w:lang w:val="zh-CN"/>
        </w:rPr>
      </w:pPr>
      <w:r>
        <w:rPr>
          <w:rFonts w:hint="default" w:ascii="Times New Roman" w:hAnsi="Times New Roman" w:eastAsia="仿宋_GB2312" w:cs="Times New Roman"/>
          <w:color w:val="000000"/>
          <w:sz w:val="32"/>
          <w:lang w:val="en-US" w:eastAsia="zh-CN"/>
        </w:rPr>
        <w:t>中心</w:t>
      </w:r>
      <w:r>
        <w:rPr>
          <w:rFonts w:hint="default" w:ascii="Times New Roman" w:hAnsi="Times New Roman" w:eastAsia="仿宋_GB2312" w:cs="Times New Roman"/>
          <w:color w:val="000000"/>
          <w:sz w:val="32"/>
          <w:lang w:val="en-US" w:eastAsia="zh-CN"/>
        </w:rPr>
        <w:t>充分考虑了项目的实际情况，确保</w:t>
      </w:r>
      <w:r>
        <w:rPr>
          <w:rFonts w:hint="default" w:ascii="Times New Roman" w:hAnsi="Times New Roman" w:eastAsia="仿宋_GB2312" w:cs="Times New Roman"/>
          <w:color w:val="000000"/>
          <w:sz w:val="32"/>
          <w:lang w:val="en-US" w:eastAsia="zh-CN"/>
        </w:rPr>
        <w:t>申报</w:t>
      </w:r>
      <w:r>
        <w:rPr>
          <w:rFonts w:hint="default" w:ascii="Times New Roman" w:hAnsi="Times New Roman" w:eastAsia="仿宋_GB2312" w:cs="Times New Roman"/>
          <w:color w:val="000000"/>
          <w:sz w:val="32"/>
          <w:lang w:val="en-US" w:eastAsia="zh-CN"/>
        </w:rPr>
        <w:t>目标的合理性和可行性。</w:t>
      </w:r>
      <w:r>
        <w:rPr>
          <w:rFonts w:hint="default" w:ascii="Times New Roman" w:hAnsi="Times New Roman" w:eastAsia="仿宋_GB2312" w:cs="Times New Roman"/>
          <w:color w:val="000000"/>
          <w:sz w:val="32"/>
          <w:lang w:val="en-US" w:eastAsia="zh-CN"/>
        </w:rPr>
        <w:br w:type="textWrapping"/>
      </w:r>
      <w:r>
        <w:rPr>
          <w:rFonts w:hint="default" w:ascii="Times New Roman" w:hAnsi="Times New Roman" w:eastAsia="仿宋" w:cs="Times New Roman"/>
          <w:snapToGrid w:val="0"/>
          <w:color w:val="000000"/>
          <w:spacing w:val="0"/>
          <w:kern w:val="0"/>
          <w:position w:val="0"/>
          <w:sz w:val="32"/>
          <w:szCs w:val="32"/>
          <w:lang w:val="en-US" w:eastAsia="zh-CN"/>
        </w:rPr>
        <w:t xml:space="preserve">   </w:t>
      </w:r>
      <w:r>
        <w:rPr>
          <w:rFonts w:hint="default" w:ascii="Times New Roman" w:hAnsi="Times New Roman" w:eastAsia="楷体_GB2312" w:cs="Times New Roman"/>
          <w:b/>
          <w:sz w:val="32"/>
          <w:lang w:val="zh-CN"/>
        </w:rPr>
        <w:t>（三）项目自评步骤及方法</w:t>
      </w:r>
    </w:p>
    <w:p w14:paraId="22E27CCE">
      <w:pPr>
        <w:suppressAutoHyphens/>
        <w:bidi w:val="0"/>
        <w:adjustRightInd w:val="0"/>
        <w:snapToGrid w:val="0"/>
        <w:spacing w:line="590" w:lineRule="exact"/>
        <w:ind w:firstLine="640" w:firstLineChars="200"/>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中心对项目的日常开展进行分析总结，定期对项目进展进行跟踪掌握，确保项目顺利实施。</w:t>
      </w:r>
    </w:p>
    <w:p w14:paraId="40295EE8">
      <w:pPr>
        <w:suppressAutoHyphens/>
        <w:bidi w:val="0"/>
        <w:adjustRightInd w:val="0"/>
        <w:snapToGrid w:val="0"/>
        <w:spacing w:line="590" w:lineRule="exact"/>
        <w:ind w:firstLine="640" w:firstLineChars="200"/>
        <w:rPr>
          <w:rFonts w:hint="default" w:ascii="Times New Roman" w:hAnsi="Times New Roman" w:eastAsia="黑体" w:cs="Times New Roman"/>
          <w:sz w:val="32"/>
        </w:rPr>
      </w:pPr>
      <w:r>
        <w:rPr>
          <w:rFonts w:hint="default" w:ascii="Times New Roman" w:hAnsi="Times New Roman" w:eastAsia="黑体" w:cs="Times New Roman"/>
          <w:sz w:val="32"/>
        </w:rPr>
        <w:t>二、项目资金申报及使用情况</w:t>
      </w:r>
    </w:p>
    <w:p w14:paraId="10006B23">
      <w:pPr>
        <w:adjustRightInd w:val="0"/>
        <w:snapToGrid w:val="0"/>
        <w:spacing w:line="590" w:lineRule="exact"/>
        <w:ind w:firstLine="643" w:firstLineChars="200"/>
        <w:rPr>
          <w:rFonts w:hint="default" w:ascii="Times New Roman" w:hAnsi="Times New Roman" w:eastAsia="楷体_GB2312" w:cs="Times New Roman"/>
          <w:b/>
          <w:sz w:val="32"/>
          <w:lang w:val="zh-CN"/>
        </w:rPr>
      </w:pPr>
      <w:r>
        <w:rPr>
          <w:rFonts w:hint="default" w:ascii="Times New Roman" w:hAnsi="Times New Roman" w:eastAsia="楷体_GB2312" w:cs="Times New Roman"/>
          <w:b/>
          <w:sz w:val="32"/>
          <w:lang w:val="zh-CN"/>
        </w:rPr>
        <w:t>（一）项目资金申报及批复情况</w:t>
      </w:r>
    </w:p>
    <w:p w14:paraId="3314F1D4">
      <w:pPr>
        <w:suppressAutoHyphens/>
        <w:bidi w:val="0"/>
        <w:adjustRightInd w:val="0"/>
        <w:snapToGrid w:val="0"/>
        <w:spacing w:line="590" w:lineRule="exact"/>
        <w:ind w:firstLine="640" w:firstLineChars="200"/>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2023年义务兵家庭优待金项目区级预算编制40万元，遂高管财预发[2023]1号文件批复40万元。</w:t>
      </w:r>
    </w:p>
    <w:p w14:paraId="063ED7FD">
      <w:pPr>
        <w:adjustRightInd w:val="0"/>
        <w:snapToGrid w:val="0"/>
        <w:spacing w:line="590" w:lineRule="exact"/>
        <w:ind w:firstLine="643" w:firstLineChars="200"/>
        <w:rPr>
          <w:rFonts w:hint="default" w:ascii="Times New Roman" w:hAnsi="Times New Roman" w:eastAsia="楷体_GB2312" w:cs="Times New Roman"/>
          <w:b/>
          <w:sz w:val="32"/>
          <w:lang w:val="zh-CN"/>
        </w:rPr>
      </w:pPr>
      <w:r>
        <w:rPr>
          <w:rFonts w:hint="default" w:ascii="Times New Roman" w:hAnsi="Times New Roman" w:eastAsia="楷体_GB2312" w:cs="Times New Roman"/>
          <w:b/>
          <w:sz w:val="32"/>
          <w:lang w:val="zh-CN"/>
        </w:rPr>
        <w:t>（二）资金计划、到位及使用情况（可用表格形式反映）。</w:t>
      </w:r>
    </w:p>
    <w:p w14:paraId="4CC3094E">
      <w:pPr>
        <w:suppressAutoHyphens/>
        <w:bidi w:val="0"/>
        <w:adjustRightInd w:val="0"/>
        <w:snapToGrid w:val="0"/>
        <w:spacing w:line="590" w:lineRule="exact"/>
        <w:ind w:firstLine="643" w:firstLineChars="200"/>
        <w:rPr>
          <w:rFonts w:hint="default" w:ascii="Times New Roman" w:hAnsi="Times New Roman" w:eastAsia="仿宋_GB2312" w:cs="Times New Roman"/>
          <w:b/>
          <w:sz w:val="32"/>
          <w:lang w:val="zh-CN"/>
        </w:rPr>
      </w:pPr>
      <w:r>
        <w:rPr>
          <w:rFonts w:hint="default" w:ascii="Times New Roman" w:hAnsi="Times New Roman" w:eastAsia="仿宋_GB2312" w:cs="Times New Roman"/>
          <w:b/>
          <w:sz w:val="32"/>
          <w:lang w:val="zh-CN"/>
        </w:rPr>
        <w:t>1</w:t>
      </w:r>
      <w:r>
        <w:rPr>
          <w:rFonts w:hint="default" w:ascii="Times New Roman" w:hAnsi="Times New Roman" w:eastAsia="仿宋_GB2312" w:cs="Times New Roman"/>
          <w:b/>
          <w:sz w:val="32"/>
          <w:lang w:val="zh-CN"/>
        </w:rPr>
        <w:t xml:space="preserve">. </w:t>
      </w:r>
      <w:r>
        <w:rPr>
          <w:rFonts w:hint="default" w:ascii="Times New Roman" w:hAnsi="Times New Roman" w:eastAsia="仿宋_GB2312" w:cs="Times New Roman"/>
          <w:b/>
          <w:sz w:val="32"/>
          <w:lang w:val="zh-CN"/>
        </w:rPr>
        <w:t>资金计划</w:t>
      </w:r>
    </w:p>
    <w:p w14:paraId="2232FEBD">
      <w:pPr>
        <w:pStyle w:val="9"/>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zh-CN" w:eastAsia="zh-CN" w:bidi="ar-SA"/>
        </w:rPr>
        <w:t>2023年为270余人发放优抚对象抚恤和生活补助经费</w:t>
      </w:r>
      <w:r>
        <w:rPr>
          <w:rFonts w:hint="default" w:ascii="Times New Roman" w:hAnsi="Times New Roman" w:cs="Times New Roman"/>
          <w:kern w:val="2"/>
          <w:sz w:val="32"/>
          <w:szCs w:val="24"/>
          <w:lang w:val="en-US" w:eastAsia="zh-CN" w:bidi="ar-SA"/>
        </w:rPr>
        <w:t>。</w:t>
      </w:r>
    </w:p>
    <w:p w14:paraId="10C5AA5A">
      <w:pPr>
        <w:suppressAutoHyphens/>
        <w:bidi w:val="0"/>
        <w:adjustRightInd w:val="0"/>
        <w:snapToGrid w:val="0"/>
        <w:spacing w:line="590" w:lineRule="exact"/>
        <w:ind w:firstLine="643" w:firstLineChars="200"/>
        <w:rPr>
          <w:rFonts w:hint="default" w:ascii="Times New Roman" w:hAnsi="Times New Roman" w:eastAsia="仿宋_GB2312" w:cs="Times New Roman"/>
          <w:b/>
          <w:sz w:val="32"/>
          <w:lang w:val="zh-CN"/>
        </w:rPr>
      </w:pPr>
      <w:r>
        <w:rPr>
          <w:rFonts w:hint="default" w:ascii="Times New Roman" w:hAnsi="Times New Roman" w:eastAsia="仿宋_GB2312" w:cs="Times New Roman"/>
          <w:b/>
          <w:sz w:val="32"/>
          <w:lang w:val="en-US" w:eastAsia="zh-CN"/>
        </w:rPr>
        <w:t>2.</w:t>
      </w:r>
      <w:r>
        <w:rPr>
          <w:rFonts w:hint="default" w:ascii="Times New Roman" w:hAnsi="Times New Roman" w:eastAsia="仿宋_GB2312" w:cs="Times New Roman"/>
          <w:b/>
          <w:sz w:val="32"/>
          <w:lang w:val="zh-CN"/>
        </w:rPr>
        <w:t>资金到位</w:t>
      </w:r>
    </w:p>
    <w:p w14:paraId="45376CC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sz w:val="32"/>
          <w:szCs w:val="32"/>
          <w:lang w:val="en-US" w:eastAsia="zh-CN"/>
        </w:rPr>
        <w:t>2023年</w:t>
      </w:r>
      <w:r>
        <w:rPr>
          <w:rFonts w:hint="default" w:ascii="Times New Roman" w:hAnsi="Times New Roman" w:cs="Times New Roman"/>
          <w:sz w:val="32"/>
          <w:szCs w:val="32"/>
          <w:lang w:val="en-US" w:eastAsia="zh-CN"/>
        </w:rPr>
        <w:t>区级</w:t>
      </w:r>
      <w:r>
        <w:rPr>
          <w:rFonts w:hint="default" w:ascii="Times New Roman" w:hAnsi="Times New Roman" w:eastAsia="仿宋_GB2312" w:cs="Times New Roman"/>
          <w:sz w:val="32"/>
          <w:szCs w:val="32"/>
          <w:lang w:val="en-US" w:eastAsia="zh-CN"/>
        </w:rPr>
        <w:t>预算资金</w:t>
      </w:r>
      <w:r>
        <w:rPr>
          <w:rFonts w:hint="default" w:ascii="Times New Roman" w:hAnsi="Times New Roman" w:cs="Times New Roman"/>
          <w:sz w:val="32"/>
          <w:szCs w:val="32"/>
          <w:lang w:val="en-US" w:eastAsia="zh-CN"/>
        </w:rPr>
        <w:t>40</w:t>
      </w:r>
      <w:r>
        <w:rPr>
          <w:rFonts w:hint="default" w:ascii="Times New Roman" w:hAnsi="Times New Roman" w:eastAsia="仿宋_GB2312" w:cs="Times New Roman"/>
          <w:sz w:val="32"/>
          <w:szCs w:val="32"/>
          <w:lang w:val="en-US" w:eastAsia="zh-CN"/>
        </w:rPr>
        <w:t>万元</w:t>
      </w:r>
      <w:r>
        <w:rPr>
          <w:rFonts w:hint="default" w:ascii="Times New Roman" w:hAnsi="Times New Roman" w:cs="Times New Roman"/>
          <w:sz w:val="32"/>
          <w:szCs w:val="32"/>
          <w:lang w:val="en-US" w:eastAsia="zh-CN"/>
        </w:rPr>
        <w:t>，资金到位40万元。</w:t>
      </w:r>
    </w:p>
    <w:p w14:paraId="6339FB80">
      <w:pPr>
        <w:suppressAutoHyphens/>
        <w:bidi w:val="0"/>
        <w:adjustRightInd w:val="0"/>
        <w:snapToGrid w:val="0"/>
        <w:spacing w:line="590" w:lineRule="exact"/>
        <w:ind w:firstLine="643" w:firstLineChars="200"/>
        <w:rPr>
          <w:rFonts w:hint="default" w:ascii="Times New Roman" w:hAnsi="Times New Roman" w:eastAsia="仿宋_GB2312" w:cs="Times New Roman"/>
          <w:b/>
          <w:sz w:val="32"/>
          <w:lang w:val="zh-CN" w:eastAsia="zh-CN"/>
        </w:rPr>
      </w:pPr>
      <w:r>
        <w:rPr>
          <w:rFonts w:hint="default" w:ascii="Times New Roman" w:hAnsi="Times New Roman" w:eastAsia="仿宋_GB2312" w:cs="Times New Roman"/>
          <w:b/>
          <w:sz w:val="32"/>
          <w:lang w:val="zh-CN" w:eastAsia="zh-CN"/>
        </w:rPr>
        <w:t>3. 资金使用</w:t>
      </w:r>
    </w:p>
    <w:p w14:paraId="2F0822A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cs="Times New Roman"/>
          <w:lang w:val="zh-CN"/>
        </w:rPr>
      </w:pPr>
      <w:r>
        <w:rPr>
          <w:rFonts w:hint="default" w:ascii="Times New Roman" w:hAnsi="Times New Roman" w:eastAsia="仿宋_GB2312" w:cs="Times New Roman"/>
          <w:snapToGrid w:val="0"/>
          <w:color w:val="000000"/>
          <w:kern w:val="0"/>
          <w:sz w:val="32"/>
          <w:szCs w:val="32"/>
          <w:lang w:val="en-US" w:eastAsia="zh-CN" w:bidi="ar-SA"/>
        </w:rPr>
        <w:t>2023年</w:t>
      </w:r>
      <w:r>
        <w:rPr>
          <w:rFonts w:hint="default" w:ascii="Times New Roman" w:hAnsi="Times New Roman" w:eastAsia="仿宋_GB2312" w:cs="Times New Roman"/>
          <w:kern w:val="2"/>
          <w:sz w:val="32"/>
          <w:szCs w:val="24"/>
          <w:lang w:val="zh-CN" w:eastAsia="zh-CN" w:bidi="ar-SA"/>
        </w:rPr>
        <w:t>优抚对象抚恤和生活补助经费</w:t>
      </w:r>
      <w:r>
        <w:rPr>
          <w:rFonts w:hint="default" w:ascii="Times New Roman" w:hAnsi="Times New Roman" w:eastAsia="仿宋_GB2312" w:cs="Times New Roman"/>
          <w:snapToGrid w:val="0"/>
          <w:color w:val="000000"/>
          <w:kern w:val="0"/>
          <w:sz w:val="32"/>
          <w:szCs w:val="32"/>
          <w:lang w:val="en-US" w:eastAsia="zh-CN" w:bidi="ar-SA"/>
        </w:rPr>
        <w:t>实际执行34.65万元</w:t>
      </w:r>
      <w:r>
        <w:rPr>
          <w:rFonts w:hint="default" w:ascii="Times New Roman" w:hAnsi="Times New Roman" w:cs="Times New Roman"/>
          <w:sz w:val="32"/>
          <w:szCs w:val="32"/>
          <w:highlight w:val="none"/>
          <w:lang w:val="en-US" w:eastAsia="zh-CN"/>
        </w:rPr>
        <w:t>。</w:t>
      </w:r>
    </w:p>
    <w:p w14:paraId="174DBEE1">
      <w:pPr>
        <w:adjustRightInd w:val="0"/>
        <w:snapToGrid w:val="0"/>
        <w:spacing w:line="590" w:lineRule="exact"/>
        <w:ind w:firstLine="643" w:firstLineChars="200"/>
        <w:rPr>
          <w:rFonts w:hint="default" w:ascii="Times New Roman" w:hAnsi="Times New Roman" w:eastAsia="楷体_GB2312" w:cs="Times New Roman"/>
          <w:b/>
          <w:sz w:val="32"/>
          <w:lang w:val="zh-CN"/>
        </w:rPr>
      </w:pPr>
      <w:r>
        <w:rPr>
          <w:rFonts w:hint="default" w:ascii="Times New Roman" w:hAnsi="Times New Roman" w:eastAsia="楷体_GB2312" w:cs="Times New Roman"/>
          <w:b/>
          <w:sz w:val="32"/>
          <w:lang w:val="zh-CN"/>
        </w:rPr>
        <w:t>（三）项目财务管理情况</w:t>
      </w:r>
    </w:p>
    <w:p w14:paraId="018E0C4C">
      <w:pPr>
        <w:keepNext w:val="0"/>
        <w:keepLines w:val="0"/>
        <w:pageBreakBefore w:val="0"/>
        <w:widowControl w:val="0"/>
        <w:numPr>
          <w:ilvl w:val="0"/>
          <w:numId w:val="0"/>
        </w:numPr>
        <w:tabs>
          <w:tab w:val="left" w:pos="3885"/>
        </w:tabs>
        <w:suppressAutoHyphens/>
        <w:kinsoku/>
        <w:wordWrap/>
        <w:overflowPunct/>
        <w:topLinePunct w:val="0"/>
        <w:autoSpaceDE/>
        <w:autoSpaceDN/>
        <w:bidi w:val="0"/>
        <w:adjustRightInd/>
        <w:snapToGrid w:val="0"/>
        <w:spacing w:line="600" w:lineRule="exact"/>
        <w:ind w:firstLine="640" w:firstLineChars="200"/>
        <w:jc w:val="left"/>
        <w:textAlignment w:val="auto"/>
        <w:outlineLvl w:val="9"/>
        <w:rPr>
          <w:rFonts w:hint="default" w:ascii="Times New Roman" w:hAnsi="Times New Roman" w:eastAsia="仿宋_GB2312" w:cs="Times New Roman"/>
          <w:b w:val="0"/>
          <w:bCs w:val="0"/>
          <w:sz w:val="32"/>
          <w:szCs w:val="21"/>
          <w:lang w:val="zh-CN" w:eastAsia="zh-CN"/>
        </w:rPr>
      </w:pPr>
      <w:r>
        <w:rPr>
          <w:rFonts w:hint="default" w:ascii="Times New Roman" w:hAnsi="Times New Roman" w:eastAsia="仿宋_GB2312" w:cs="Times New Roman"/>
          <w:b w:val="0"/>
          <w:bCs w:val="0"/>
          <w:sz w:val="32"/>
          <w:szCs w:val="21"/>
          <w:lang w:val="en-US" w:eastAsia="zh-CN"/>
        </w:rPr>
        <w:t>该项目资金支出严格按照财务资金管理制度的要求进行管理和执行，资金管理、费用支付流程均符合相关制度规定，不存在截留、滞留、挤占、挪用、套取、虚报、冒领等问题，财务处理及时，会计核算规范。</w:t>
      </w:r>
    </w:p>
    <w:p w14:paraId="58207E86">
      <w:pPr>
        <w:suppressAutoHyphens/>
        <w:bidi w:val="0"/>
        <w:adjustRightInd w:val="0"/>
        <w:snapToGrid w:val="0"/>
        <w:spacing w:line="590" w:lineRule="exact"/>
        <w:ind w:firstLine="640" w:firstLineChars="200"/>
        <w:rPr>
          <w:rFonts w:hint="default" w:ascii="Times New Roman" w:hAnsi="Times New Roman" w:eastAsia="黑体" w:cs="Times New Roman"/>
          <w:sz w:val="32"/>
        </w:rPr>
      </w:pPr>
      <w:r>
        <w:rPr>
          <w:rFonts w:hint="default" w:ascii="Times New Roman" w:hAnsi="Times New Roman" w:eastAsia="黑体" w:cs="Times New Roman"/>
          <w:sz w:val="32"/>
        </w:rPr>
        <w:t>三、项目实施及管理情况</w:t>
      </w:r>
    </w:p>
    <w:p w14:paraId="353368DB">
      <w:pPr>
        <w:suppressAutoHyphens/>
        <w:bidi w:val="0"/>
        <w:adjustRightInd w:val="0"/>
        <w:snapToGrid w:val="0"/>
        <w:spacing w:line="590" w:lineRule="exact"/>
        <w:ind w:firstLine="640" w:firstLineChars="200"/>
        <w:rPr>
          <w:rFonts w:hint="default" w:ascii="Times New Roman" w:hAnsi="Times New Roman" w:eastAsia="仿宋_GB2312" w:cs="Times New Roman"/>
          <w:sz w:val="32"/>
          <w:lang w:val="zh-CN"/>
        </w:rPr>
      </w:pPr>
      <w:r>
        <w:rPr>
          <w:rFonts w:hint="default" w:ascii="Times New Roman" w:hAnsi="Times New Roman" w:eastAsia="仿宋_GB2312" w:cs="Times New Roman"/>
          <w:sz w:val="32"/>
          <w:lang w:val="zh-CN"/>
        </w:rPr>
        <w:t>结合项目组织实施管理办法，重点围绕以下内容进行分析评价，并对自评中发现的问题分析说明。</w:t>
      </w:r>
    </w:p>
    <w:p w14:paraId="1F79E16D">
      <w:pPr>
        <w:adjustRightInd w:val="0"/>
        <w:snapToGrid w:val="0"/>
        <w:spacing w:line="590" w:lineRule="exact"/>
        <w:ind w:firstLine="643" w:firstLineChars="200"/>
        <w:rPr>
          <w:rFonts w:hint="default" w:ascii="Times New Roman" w:hAnsi="Times New Roman" w:eastAsia="楷体_GB2312" w:cs="Times New Roman"/>
          <w:b/>
          <w:sz w:val="32"/>
          <w:lang w:val="zh-CN"/>
        </w:rPr>
      </w:pPr>
      <w:r>
        <w:rPr>
          <w:rFonts w:hint="default" w:ascii="Times New Roman" w:hAnsi="Times New Roman" w:eastAsia="楷体_GB2312" w:cs="Times New Roman"/>
          <w:b/>
          <w:sz w:val="32"/>
          <w:lang w:val="zh-CN"/>
        </w:rPr>
        <w:t>（</w:t>
      </w:r>
      <w:r>
        <w:rPr>
          <w:rFonts w:hint="default" w:ascii="Times New Roman" w:hAnsi="Times New Roman" w:eastAsia="楷体_GB2312" w:cs="Times New Roman"/>
          <w:b/>
          <w:sz w:val="32"/>
          <w:lang w:val="en-US" w:eastAsia="zh-CN"/>
        </w:rPr>
        <w:t>一</w:t>
      </w:r>
      <w:r>
        <w:rPr>
          <w:rFonts w:hint="default" w:ascii="Times New Roman" w:hAnsi="Times New Roman" w:eastAsia="楷体_GB2312" w:cs="Times New Roman"/>
          <w:b/>
          <w:sz w:val="32"/>
          <w:lang w:val="zh-CN"/>
        </w:rPr>
        <w:t>）</w:t>
      </w:r>
      <w:r>
        <w:rPr>
          <w:rFonts w:hint="default" w:ascii="Times New Roman" w:hAnsi="Times New Roman" w:eastAsia="楷体_GB2312" w:cs="Times New Roman"/>
          <w:b/>
          <w:sz w:val="32"/>
          <w:lang w:val="zh-CN"/>
        </w:rPr>
        <w:t>项目组织架构及实施流程</w:t>
      </w:r>
    </w:p>
    <w:p w14:paraId="50872B9A">
      <w:pPr>
        <w:pStyle w:val="18"/>
        <w:keepNext w:val="0"/>
        <w:keepLines w:val="0"/>
        <w:pageBreakBefore w:val="0"/>
        <w:widowControl/>
        <w:suppressLineNumbers w:val="0"/>
        <w:suppressAutoHyphens/>
        <w:kinsoku w:val="0"/>
        <w:wordWrap/>
        <w:overflowPunct/>
        <w:topLinePunct w:val="0"/>
        <w:autoSpaceDE w:val="0"/>
        <w:autoSpaceDN w:val="0"/>
        <w:bidi w:val="0"/>
        <w:adjustRightInd w:val="0"/>
        <w:snapToGrid w:val="0"/>
        <w:spacing w:before="0" w:beforeAutospacing="0" w:after="0" w:afterAutospacing="0" w:line="560" w:lineRule="exact"/>
        <w:ind w:left="0" w:firstLine="640" w:firstLineChars="200"/>
        <w:jc w:val="both"/>
        <w:textAlignment w:val="baseline"/>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rPr>
        <w:t>按照业务人员经办、</w:t>
      </w:r>
      <w:r>
        <w:rPr>
          <w:rFonts w:hint="default" w:ascii="Times New Roman" w:hAnsi="Times New Roman" w:eastAsia="仿宋_GB2312" w:cs="Times New Roman"/>
          <w:sz w:val="32"/>
          <w:szCs w:val="32"/>
          <w:lang w:val="en-US" w:eastAsia="zh-CN"/>
        </w:rPr>
        <w:t>财务人员</w:t>
      </w:r>
      <w:r>
        <w:rPr>
          <w:rFonts w:hint="default" w:ascii="Times New Roman" w:hAnsi="Times New Roman" w:eastAsia="仿宋_GB2312" w:cs="Times New Roman"/>
          <w:sz w:val="32"/>
          <w:szCs w:val="32"/>
        </w:rPr>
        <w:t>初审、中心主任审核、管</w:t>
      </w:r>
      <w:r>
        <w:rPr>
          <w:rFonts w:hint="default" w:ascii="Times New Roman" w:hAnsi="Times New Roman" w:eastAsia="仿宋_GB2312" w:cs="Times New Roman"/>
          <w:sz w:val="32"/>
          <w:szCs w:val="32"/>
          <w:lang w:val="zh-CN" w:eastAsia="zh-CN"/>
        </w:rPr>
        <w:t>委会分管领导审批的流程组织实施，按月完成支付工作。</w:t>
      </w:r>
    </w:p>
    <w:p w14:paraId="3532AC25">
      <w:pPr>
        <w:adjustRightInd w:val="0"/>
        <w:snapToGrid w:val="0"/>
        <w:spacing w:line="590" w:lineRule="exact"/>
        <w:ind w:firstLine="643" w:firstLineChars="200"/>
        <w:rPr>
          <w:rFonts w:hint="default" w:ascii="Times New Roman" w:hAnsi="Times New Roman" w:eastAsia="楷体_GB2312" w:cs="Times New Roman"/>
          <w:b/>
          <w:color w:val="auto"/>
          <w:kern w:val="2"/>
          <w:sz w:val="32"/>
          <w:szCs w:val="24"/>
          <w:lang w:val="zh-CN" w:eastAsia="zh-CN" w:bidi="ar-SA"/>
        </w:rPr>
      </w:pPr>
      <w:r>
        <w:rPr>
          <w:rFonts w:hint="default" w:ascii="Times New Roman" w:hAnsi="Times New Roman" w:eastAsia="楷体_GB2312" w:cs="Times New Roman"/>
          <w:b/>
          <w:color w:val="auto"/>
          <w:kern w:val="2"/>
          <w:sz w:val="32"/>
          <w:szCs w:val="24"/>
          <w:lang w:val="zh-CN" w:eastAsia="zh-CN" w:bidi="ar-SA"/>
        </w:rPr>
        <w:t>（二）项目管理情况</w:t>
      </w:r>
    </w:p>
    <w:p w14:paraId="230F2C60">
      <w:pPr>
        <w:pStyle w:val="18"/>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60" w:lineRule="exact"/>
        <w:ind w:left="0" w:firstLine="640" w:firstLineChars="200"/>
        <w:jc w:val="both"/>
        <w:textAlignment w:val="baseline"/>
        <w:rPr>
          <w:rFonts w:hint="default" w:ascii="Times New Roman" w:hAnsi="Times New Roman" w:cs="Times New Roman"/>
          <w:lang w:val="zh-CN"/>
        </w:rPr>
      </w:pPr>
      <w:r>
        <w:rPr>
          <w:rFonts w:hint="default" w:ascii="Times New Roman" w:hAnsi="Times New Roman" w:eastAsia="仿宋_GB2312" w:cs="Times New Roman"/>
          <w:sz w:val="32"/>
          <w:szCs w:val="32"/>
        </w:rPr>
        <w:t>该项目严格按照单位内控制度审批流程的要求组织资金申报，资金项目拨付通过事权、财权手续严格执行财务管理制度，资金拨付及时到位，会计核算严格按照行政单位会计制度要求进行做账。</w:t>
      </w:r>
    </w:p>
    <w:p w14:paraId="0296853D">
      <w:pPr>
        <w:adjustRightInd w:val="0"/>
        <w:snapToGrid w:val="0"/>
        <w:spacing w:line="590" w:lineRule="exact"/>
        <w:ind w:firstLine="643" w:firstLineChars="200"/>
        <w:rPr>
          <w:rFonts w:hint="default" w:ascii="Times New Roman" w:hAnsi="Times New Roman" w:eastAsia="楷体_GB2312" w:cs="Times New Roman"/>
          <w:b/>
          <w:sz w:val="32"/>
          <w:lang w:val="zh-CN"/>
        </w:rPr>
      </w:pPr>
      <w:r>
        <w:rPr>
          <w:rFonts w:hint="default" w:ascii="Times New Roman" w:hAnsi="Times New Roman" w:eastAsia="楷体_GB2312" w:cs="Times New Roman"/>
          <w:b/>
          <w:sz w:val="32"/>
          <w:lang w:val="zh-CN"/>
        </w:rPr>
        <w:t>（</w:t>
      </w:r>
      <w:r>
        <w:rPr>
          <w:rFonts w:hint="default" w:ascii="Times New Roman" w:hAnsi="Times New Roman" w:eastAsia="楷体_GB2312" w:cs="Times New Roman"/>
          <w:b/>
          <w:sz w:val="32"/>
          <w:lang w:val="en-US" w:eastAsia="zh-CN"/>
        </w:rPr>
        <w:t>三</w:t>
      </w:r>
      <w:r>
        <w:rPr>
          <w:rFonts w:hint="default" w:ascii="Times New Roman" w:hAnsi="Times New Roman" w:eastAsia="楷体_GB2312" w:cs="Times New Roman"/>
          <w:b/>
          <w:sz w:val="32"/>
          <w:lang w:val="zh-CN"/>
        </w:rPr>
        <w:t>）</w:t>
      </w:r>
      <w:r>
        <w:rPr>
          <w:rFonts w:hint="default" w:ascii="Times New Roman" w:hAnsi="Times New Roman" w:eastAsia="楷体_GB2312" w:cs="Times New Roman"/>
          <w:b/>
          <w:sz w:val="32"/>
          <w:lang w:val="zh-CN"/>
        </w:rPr>
        <w:t>项目监管情况</w:t>
      </w:r>
    </w:p>
    <w:p w14:paraId="1E8A96FA">
      <w:pPr>
        <w:pStyle w:val="9"/>
        <w:numPr>
          <w:ilvl w:val="0"/>
          <w:numId w:val="0"/>
        </w:numPr>
        <w:ind w:firstLine="640" w:firstLineChars="200"/>
        <w:rPr>
          <w:rFonts w:hint="default" w:ascii="Times New Roman" w:hAnsi="Times New Roman" w:cs="Times New Roman"/>
          <w:lang w:val="zh-CN"/>
        </w:rPr>
      </w:pPr>
      <w:r>
        <w:rPr>
          <w:rFonts w:hint="default" w:ascii="Times New Roman" w:hAnsi="Times New Roman" w:cs="Times New Roman"/>
          <w:kern w:val="2"/>
          <w:sz w:val="32"/>
          <w:szCs w:val="24"/>
          <w:lang w:val="en-US" w:eastAsia="zh-CN" w:bidi="ar-SA"/>
        </w:rPr>
        <w:t>退役军人服务中心</w:t>
      </w:r>
      <w:r>
        <w:rPr>
          <w:rFonts w:hint="default" w:ascii="Times New Roman" w:hAnsi="Times New Roman" w:eastAsia="仿宋_GB2312" w:cs="Times New Roman"/>
          <w:color w:val="000000"/>
          <w:kern w:val="2"/>
          <w:sz w:val="32"/>
          <w:szCs w:val="32"/>
          <w:lang w:val="en-US" w:eastAsia="zh-CN" w:bidi="ar-SA"/>
        </w:rPr>
        <w:t>秉承合法、合规、实效、集约的资金使用原则，按照财务管理制度及财政法律法规申请各项资金</w:t>
      </w:r>
      <w:r>
        <w:rPr>
          <w:rFonts w:hint="default" w:ascii="Times New Roman" w:hAnsi="Times New Roman"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按照资金使用流程管控使用，未出现违规违纪现象。</w:t>
      </w:r>
    </w:p>
    <w:p w14:paraId="68DDAC30">
      <w:pPr>
        <w:suppressAutoHyphens/>
        <w:bidi w:val="0"/>
        <w:adjustRightInd w:val="0"/>
        <w:snapToGrid w:val="0"/>
        <w:spacing w:line="590" w:lineRule="exact"/>
        <w:ind w:firstLine="640" w:firstLineChars="200"/>
        <w:rPr>
          <w:rFonts w:hint="default" w:ascii="Times New Roman" w:hAnsi="Times New Roman" w:eastAsia="黑体" w:cs="Times New Roman"/>
          <w:sz w:val="32"/>
          <w:lang w:val="zh-CN"/>
        </w:rPr>
      </w:pPr>
      <w:r>
        <w:rPr>
          <w:rFonts w:hint="default" w:ascii="Times New Roman" w:hAnsi="Times New Roman" w:eastAsia="黑体" w:cs="Times New Roman"/>
          <w:sz w:val="32"/>
        </w:rPr>
        <w:t>四、项目绩效情况</w:t>
      </w:r>
      <w:r>
        <w:rPr>
          <w:rFonts w:hint="default" w:ascii="Times New Roman" w:hAnsi="Times New Roman" w:eastAsia="黑体" w:cs="Times New Roman"/>
          <w:sz w:val="32"/>
          <w:lang w:val="zh-CN"/>
        </w:rPr>
        <w:tab/>
      </w:r>
    </w:p>
    <w:p w14:paraId="4A8B4395">
      <w:pPr>
        <w:adjustRightInd w:val="0"/>
        <w:snapToGrid w:val="0"/>
        <w:spacing w:line="590" w:lineRule="exact"/>
        <w:ind w:firstLine="643" w:firstLineChars="200"/>
        <w:rPr>
          <w:rFonts w:hint="default" w:ascii="Times New Roman" w:hAnsi="Times New Roman" w:eastAsia="楷体_GB2312" w:cs="Times New Roman"/>
          <w:b/>
          <w:sz w:val="32"/>
          <w:lang w:val="zh-CN"/>
        </w:rPr>
      </w:pPr>
      <w:r>
        <w:rPr>
          <w:rFonts w:hint="default" w:ascii="Times New Roman" w:hAnsi="Times New Roman" w:eastAsia="楷体_GB2312" w:cs="Times New Roman"/>
          <w:b/>
          <w:sz w:val="32"/>
          <w:lang w:val="zh-CN"/>
        </w:rPr>
        <w:t>（一）项目完成情况</w:t>
      </w:r>
    </w:p>
    <w:p w14:paraId="0F08D711">
      <w:pPr>
        <w:keepNext w:val="0"/>
        <w:keepLines w:val="0"/>
        <w:pageBreakBefore w:val="0"/>
        <w:widowControl w:val="0"/>
        <w:numPr>
          <w:ilvl w:val="0"/>
          <w:numId w:val="0"/>
        </w:numPr>
        <w:tabs>
          <w:tab w:val="left" w:pos="3885"/>
        </w:tabs>
        <w:suppressAutoHyphens/>
        <w:kinsoku/>
        <w:wordWrap/>
        <w:overflowPunct/>
        <w:topLinePunct w:val="0"/>
        <w:autoSpaceDE/>
        <w:autoSpaceDN/>
        <w:bidi w:val="0"/>
        <w:adjustRightInd/>
        <w:snapToGrid w:val="0"/>
        <w:spacing w:line="600" w:lineRule="exact"/>
        <w:ind w:firstLine="640" w:firstLineChars="200"/>
        <w:jc w:val="left"/>
        <w:textAlignment w:val="auto"/>
        <w:outlineLvl w:val="9"/>
        <w:rPr>
          <w:rFonts w:hint="default" w:ascii="Times New Roman" w:hAnsi="Times New Roman" w:eastAsia="仿宋_GB2312" w:cs="Times New Roman"/>
          <w:b w:val="0"/>
          <w:bCs w:val="0"/>
          <w:sz w:val="32"/>
          <w:szCs w:val="21"/>
          <w:lang w:val="zh-CN" w:eastAsia="zh-CN"/>
        </w:rPr>
      </w:pPr>
      <w:r>
        <w:rPr>
          <w:rFonts w:hint="default" w:ascii="Times New Roman" w:hAnsi="Times New Roman" w:eastAsia="仿宋_GB2312" w:cs="Times New Roman"/>
          <w:b w:val="0"/>
          <w:bCs w:val="0"/>
          <w:sz w:val="32"/>
          <w:szCs w:val="21"/>
          <w:lang w:val="en-US" w:eastAsia="zh-CN"/>
        </w:rPr>
        <w:t>项目实施按要求报审后，进行实施。2023年对</w:t>
      </w:r>
      <w:r>
        <w:rPr>
          <w:rFonts w:hint="default" w:ascii="Times New Roman" w:hAnsi="Times New Roman" w:eastAsia="仿宋_GB2312" w:cs="Times New Roman"/>
          <w:b w:val="0"/>
          <w:bCs w:val="0"/>
          <w:sz w:val="32"/>
          <w:szCs w:val="21"/>
          <w:lang w:val="zh-CN" w:eastAsia="zh-CN"/>
        </w:rPr>
        <w:t>270余人发放优抚对象抚恤和生活补助经费</w:t>
      </w:r>
      <w:r>
        <w:rPr>
          <w:rFonts w:hint="default" w:ascii="Times New Roman" w:hAnsi="Times New Roman" w:eastAsia="仿宋_GB2312" w:cs="Times New Roman"/>
          <w:b w:val="0"/>
          <w:bCs w:val="0"/>
          <w:sz w:val="32"/>
          <w:szCs w:val="21"/>
          <w:lang w:val="en-US" w:eastAsia="zh-CN"/>
        </w:rPr>
        <w:t>，共支付34.65</w:t>
      </w:r>
      <w:r>
        <w:rPr>
          <w:rFonts w:hint="default" w:ascii="Times New Roman" w:hAnsi="Times New Roman" w:eastAsia="仿宋_GB2312" w:cs="Times New Roman"/>
          <w:b w:val="0"/>
          <w:bCs w:val="0"/>
          <w:sz w:val="32"/>
          <w:szCs w:val="21"/>
          <w:lang w:val="en-US" w:eastAsia="zh-CN"/>
        </w:rPr>
        <w:t>万元，</w:t>
      </w:r>
      <w:r>
        <w:rPr>
          <w:rFonts w:hint="default" w:ascii="Times New Roman" w:hAnsi="Times New Roman" w:eastAsia="仿宋_GB2312" w:cs="Times New Roman"/>
          <w:b w:val="0"/>
          <w:bCs w:val="0"/>
          <w:sz w:val="32"/>
          <w:szCs w:val="21"/>
          <w:lang w:val="en-US" w:eastAsia="zh-CN"/>
        </w:rPr>
        <w:t>已按时按质进行发放。</w:t>
      </w:r>
    </w:p>
    <w:p w14:paraId="794CFA08">
      <w:pPr>
        <w:adjustRightInd w:val="0"/>
        <w:snapToGrid w:val="0"/>
        <w:spacing w:line="590" w:lineRule="exact"/>
        <w:ind w:firstLine="643" w:firstLineChars="200"/>
        <w:rPr>
          <w:rFonts w:hint="default" w:ascii="Times New Roman" w:hAnsi="Times New Roman" w:eastAsia="楷体_GB2312" w:cs="Times New Roman"/>
          <w:b/>
          <w:sz w:val="32"/>
          <w:lang w:val="zh-CN"/>
        </w:rPr>
      </w:pPr>
      <w:r>
        <w:rPr>
          <w:rFonts w:hint="default" w:ascii="Times New Roman" w:hAnsi="Times New Roman" w:eastAsia="楷体_GB2312" w:cs="Times New Roman"/>
          <w:b/>
          <w:sz w:val="32"/>
          <w:lang w:val="zh-CN"/>
        </w:rPr>
        <w:t>（二）项目效益情况</w:t>
      </w:r>
    </w:p>
    <w:p w14:paraId="411CC52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21"/>
          <w:lang w:val="en-US" w:eastAsia="zh-CN"/>
        </w:rPr>
        <w:t>通过发放优抚对象抚恤补助资金，使优抚对象等人员的基本生活得到有效保障。</w:t>
      </w:r>
    </w:p>
    <w:p w14:paraId="198C2A13">
      <w:pPr>
        <w:suppressAutoHyphens/>
        <w:bidi w:val="0"/>
        <w:adjustRightInd w:val="0"/>
        <w:snapToGrid w:val="0"/>
        <w:spacing w:line="590" w:lineRule="exact"/>
        <w:ind w:firstLine="640" w:firstLineChars="200"/>
        <w:rPr>
          <w:rFonts w:hint="default" w:ascii="Times New Roman" w:hAnsi="Times New Roman" w:eastAsia="黑体" w:cs="Times New Roman"/>
          <w:sz w:val="32"/>
        </w:rPr>
      </w:pPr>
      <w:r>
        <w:rPr>
          <w:rFonts w:hint="default" w:ascii="Times New Roman" w:hAnsi="Times New Roman" w:eastAsia="黑体" w:cs="Times New Roman"/>
          <w:sz w:val="32"/>
        </w:rPr>
        <w:t>五、评价结论及建议</w:t>
      </w:r>
    </w:p>
    <w:p w14:paraId="21E7D70E">
      <w:pPr>
        <w:adjustRightInd w:val="0"/>
        <w:snapToGrid w:val="0"/>
        <w:spacing w:line="590" w:lineRule="exact"/>
        <w:ind w:firstLine="643" w:firstLineChars="200"/>
        <w:rPr>
          <w:rFonts w:hint="default" w:ascii="Times New Roman" w:hAnsi="Times New Roman" w:eastAsia="楷体_GB2312" w:cs="Times New Roman"/>
          <w:b/>
          <w:sz w:val="32"/>
          <w:lang w:val="zh-CN"/>
        </w:rPr>
      </w:pPr>
      <w:r>
        <w:rPr>
          <w:rFonts w:hint="default" w:ascii="Times New Roman" w:hAnsi="Times New Roman" w:eastAsia="楷体_GB2312" w:cs="Times New Roman"/>
          <w:b/>
          <w:sz w:val="32"/>
          <w:lang w:val="zh-CN"/>
        </w:rPr>
        <w:t>（一）评价结论</w:t>
      </w:r>
    </w:p>
    <w:p w14:paraId="7DEEB78D">
      <w:pPr>
        <w:pStyle w:val="9"/>
        <w:suppressAutoHyphens/>
        <w:bidi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该项目资金支出严格按照财务资金管理制度的要求进行管理和执行，资金管理、费用支付流程均符合相关制度规定，专款专用，未出现截留、滞留、挤占、挪用、套取、虚报、冒领等问题。开展较好。</w:t>
      </w:r>
    </w:p>
    <w:p w14:paraId="7DAB5160">
      <w:pPr>
        <w:adjustRightInd w:val="0"/>
        <w:snapToGrid w:val="0"/>
        <w:spacing w:line="590" w:lineRule="exact"/>
        <w:ind w:firstLine="643" w:firstLineChars="200"/>
        <w:rPr>
          <w:rFonts w:hint="default" w:ascii="Times New Roman" w:hAnsi="Times New Roman" w:eastAsia="楷体_GB2312" w:cs="Times New Roman"/>
          <w:b/>
          <w:sz w:val="32"/>
          <w:lang w:val="zh-CN"/>
        </w:rPr>
      </w:pPr>
      <w:r>
        <w:rPr>
          <w:rFonts w:hint="default" w:ascii="Times New Roman" w:hAnsi="Times New Roman" w:eastAsia="楷体_GB2312" w:cs="Times New Roman"/>
          <w:b/>
          <w:sz w:val="32"/>
          <w:lang w:val="zh-CN"/>
        </w:rPr>
        <w:t>（二）存在的问题</w:t>
      </w:r>
    </w:p>
    <w:p w14:paraId="00A92FE2">
      <w:pPr>
        <w:pStyle w:val="9"/>
        <w:suppressAutoHyphens/>
        <w:bidi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暂无</w:t>
      </w:r>
    </w:p>
    <w:p w14:paraId="4FBADC11">
      <w:pPr>
        <w:adjustRightInd w:val="0"/>
        <w:snapToGrid w:val="0"/>
        <w:spacing w:line="590" w:lineRule="exact"/>
        <w:ind w:firstLine="643" w:firstLineChars="200"/>
        <w:rPr>
          <w:rFonts w:hint="default" w:ascii="Times New Roman" w:hAnsi="Times New Roman" w:eastAsia="楷体_GB2312" w:cs="Times New Roman"/>
          <w:b/>
          <w:sz w:val="32"/>
          <w:lang w:val="zh-CN"/>
        </w:rPr>
      </w:pPr>
      <w:r>
        <w:rPr>
          <w:rFonts w:hint="default" w:ascii="Times New Roman" w:hAnsi="Times New Roman" w:eastAsia="楷体_GB2312" w:cs="Times New Roman"/>
          <w:b/>
          <w:sz w:val="32"/>
          <w:lang w:val="zh-CN"/>
        </w:rPr>
        <w:t>（三）相关建议</w:t>
      </w:r>
    </w:p>
    <w:p w14:paraId="5F33D121">
      <w:pPr>
        <w:pStyle w:val="9"/>
        <w:suppressAutoHyphens/>
        <w:bidi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继续加强项目实施统筹，确保高效率完成目标任务。</w:t>
      </w:r>
    </w:p>
    <w:p w14:paraId="589CEBF8">
      <w:pPr>
        <w:pStyle w:val="9"/>
        <w:suppressAutoHyphens/>
        <w:bidi w:val="0"/>
        <w:rPr>
          <w:rFonts w:hint="default" w:ascii="Times New Roman" w:hAnsi="Times New Roman" w:eastAsia="仿宋_GB2312" w:cs="Times New Roman"/>
          <w:sz w:val="32"/>
          <w:szCs w:val="32"/>
          <w:lang w:val="en-US" w:eastAsia="zh-CN"/>
        </w:rPr>
      </w:pPr>
    </w:p>
    <w:p w14:paraId="09176EE3">
      <w:pPr>
        <w:keepNext w:val="0"/>
        <w:keepLines w:val="0"/>
        <w:pageBreakBefore w:val="0"/>
        <w:kinsoku/>
        <w:wordWrap/>
        <w:overflowPunct/>
        <w:topLinePunct w:val="0"/>
        <w:autoSpaceDE/>
        <w:autoSpaceDN/>
        <w:bidi w:val="0"/>
        <w:spacing w:line="572" w:lineRule="exact"/>
        <w:jc w:val="left"/>
        <w:textAlignment w:val="auto"/>
        <w:outlineLvl w:val="1"/>
        <w:rPr>
          <w:rFonts w:hint="default" w:ascii="Times New Roman" w:hAnsi="Times New Roman" w:eastAsia="黑体" w:cs="Times New Roman"/>
          <w:color w:val="auto"/>
          <w:sz w:val="32"/>
          <w:szCs w:val="32"/>
          <w:highlight w:val="none"/>
        </w:rPr>
      </w:pPr>
    </w:p>
    <w:p w14:paraId="2DED895F">
      <w:pPr>
        <w:keepNext w:val="0"/>
        <w:keepLines w:val="0"/>
        <w:pageBreakBefore w:val="0"/>
        <w:kinsoku/>
        <w:wordWrap/>
        <w:overflowPunct/>
        <w:topLinePunct w:val="0"/>
        <w:autoSpaceDE/>
        <w:autoSpaceDN/>
        <w:bidi w:val="0"/>
        <w:spacing w:line="572" w:lineRule="exact"/>
        <w:jc w:val="left"/>
        <w:textAlignment w:val="auto"/>
        <w:outlineLvl w:val="1"/>
        <w:rPr>
          <w:rFonts w:hint="default" w:ascii="Times New Roman" w:hAnsi="Times New Roman" w:eastAsia="黑体" w:cs="Times New Roman"/>
          <w:color w:val="auto"/>
          <w:sz w:val="32"/>
          <w:szCs w:val="32"/>
          <w:highlight w:val="none"/>
        </w:rPr>
      </w:pPr>
    </w:p>
    <w:p w14:paraId="43FEC7F7">
      <w:pPr>
        <w:pStyle w:val="23"/>
        <w:rPr>
          <w:rFonts w:hint="default" w:ascii="Times New Roman" w:hAnsi="Times New Roman" w:eastAsia="黑体" w:cs="Times New Roman"/>
          <w:color w:val="auto"/>
          <w:sz w:val="32"/>
          <w:szCs w:val="32"/>
          <w:highlight w:val="none"/>
        </w:rPr>
      </w:pPr>
    </w:p>
    <w:p w14:paraId="697C9053">
      <w:pPr>
        <w:pStyle w:val="23"/>
        <w:rPr>
          <w:rFonts w:hint="default" w:ascii="Times New Roman" w:hAnsi="Times New Roman" w:eastAsia="黑体" w:cs="Times New Roman"/>
          <w:color w:val="auto"/>
          <w:sz w:val="32"/>
          <w:szCs w:val="32"/>
          <w:highlight w:val="none"/>
        </w:rPr>
      </w:pPr>
    </w:p>
    <w:p w14:paraId="5FD0B5F7">
      <w:pPr>
        <w:pStyle w:val="23"/>
        <w:rPr>
          <w:rFonts w:hint="default" w:ascii="Times New Roman" w:hAnsi="Times New Roman" w:eastAsia="黑体" w:cs="Times New Roman"/>
          <w:color w:val="auto"/>
          <w:sz w:val="32"/>
          <w:szCs w:val="32"/>
          <w:highlight w:val="none"/>
        </w:rPr>
      </w:pPr>
    </w:p>
    <w:p w14:paraId="35814DA9">
      <w:pPr>
        <w:pStyle w:val="23"/>
        <w:rPr>
          <w:rFonts w:hint="default" w:ascii="Times New Roman" w:hAnsi="Times New Roman" w:eastAsia="黑体" w:cs="Times New Roman"/>
          <w:color w:val="auto"/>
          <w:sz w:val="32"/>
          <w:szCs w:val="32"/>
          <w:highlight w:val="none"/>
        </w:rPr>
      </w:pPr>
    </w:p>
    <w:p w14:paraId="05073D2C">
      <w:pPr>
        <w:pStyle w:val="23"/>
        <w:rPr>
          <w:rFonts w:hint="default" w:ascii="Times New Roman" w:hAnsi="Times New Roman" w:eastAsia="黑体" w:cs="Times New Roman"/>
          <w:color w:val="auto"/>
          <w:sz w:val="32"/>
          <w:szCs w:val="32"/>
          <w:highlight w:val="none"/>
        </w:rPr>
      </w:pPr>
    </w:p>
    <w:p w14:paraId="5F7369DC">
      <w:pPr>
        <w:pStyle w:val="23"/>
        <w:rPr>
          <w:rFonts w:hint="default" w:ascii="Times New Roman" w:hAnsi="Times New Roman" w:eastAsia="黑体" w:cs="Times New Roman"/>
          <w:color w:val="auto"/>
          <w:sz w:val="32"/>
          <w:szCs w:val="32"/>
          <w:highlight w:val="none"/>
        </w:rPr>
      </w:pPr>
    </w:p>
    <w:p w14:paraId="604D33EF">
      <w:pPr>
        <w:pStyle w:val="23"/>
        <w:rPr>
          <w:rFonts w:hint="default" w:ascii="Times New Roman" w:hAnsi="Times New Roman" w:eastAsia="黑体" w:cs="Times New Roman"/>
          <w:color w:val="auto"/>
          <w:sz w:val="32"/>
          <w:szCs w:val="32"/>
          <w:highlight w:val="none"/>
        </w:rPr>
      </w:pPr>
    </w:p>
    <w:p w14:paraId="7949D943">
      <w:pPr>
        <w:pStyle w:val="23"/>
        <w:rPr>
          <w:rFonts w:hint="default" w:ascii="Times New Roman" w:hAnsi="Times New Roman" w:eastAsia="黑体" w:cs="Times New Roman"/>
          <w:color w:val="auto"/>
          <w:sz w:val="32"/>
          <w:szCs w:val="32"/>
          <w:highlight w:val="none"/>
        </w:rPr>
      </w:pPr>
    </w:p>
    <w:p w14:paraId="1C0CA4D8">
      <w:pPr>
        <w:pStyle w:val="23"/>
        <w:rPr>
          <w:rFonts w:hint="default" w:ascii="Times New Roman" w:hAnsi="Times New Roman" w:eastAsia="黑体" w:cs="Times New Roman"/>
          <w:color w:val="auto"/>
          <w:sz w:val="32"/>
          <w:szCs w:val="32"/>
          <w:highlight w:val="none"/>
        </w:rPr>
      </w:pPr>
    </w:p>
    <w:p w14:paraId="7A615463">
      <w:pPr>
        <w:pStyle w:val="23"/>
        <w:rPr>
          <w:rFonts w:hint="default" w:ascii="Times New Roman" w:hAnsi="Times New Roman" w:eastAsia="黑体" w:cs="Times New Roman"/>
          <w:color w:val="auto"/>
          <w:sz w:val="32"/>
          <w:szCs w:val="32"/>
          <w:highlight w:val="none"/>
        </w:rPr>
      </w:pPr>
    </w:p>
    <w:p w14:paraId="23A6F3FF">
      <w:pPr>
        <w:pStyle w:val="23"/>
        <w:rPr>
          <w:rFonts w:hint="default" w:ascii="Times New Roman" w:hAnsi="Times New Roman" w:eastAsia="黑体" w:cs="Times New Roman"/>
          <w:color w:val="auto"/>
          <w:sz w:val="32"/>
          <w:szCs w:val="32"/>
          <w:highlight w:val="none"/>
        </w:rPr>
      </w:pPr>
    </w:p>
    <w:p w14:paraId="5675266F">
      <w:pPr>
        <w:pStyle w:val="23"/>
        <w:rPr>
          <w:rFonts w:hint="default" w:ascii="Times New Roman" w:hAnsi="Times New Roman" w:eastAsia="黑体" w:cs="Times New Roman"/>
          <w:color w:val="auto"/>
          <w:sz w:val="32"/>
          <w:szCs w:val="32"/>
          <w:highlight w:val="none"/>
        </w:rPr>
      </w:pPr>
    </w:p>
    <w:p w14:paraId="2BA6036C">
      <w:pPr>
        <w:pStyle w:val="23"/>
        <w:rPr>
          <w:rFonts w:hint="default" w:ascii="Times New Roman" w:hAnsi="Times New Roman" w:eastAsia="黑体" w:cs="Times New Roman"/>
          <w:color w:val="auto"/>
          <w:sz w:val="32"/>
          <w:szCs w:val="32"/>
          <w:highlight w:val="none"/>
        </w:rPr>
      </w:pPr>
    </w:p>
    <w:p w14:paraId="481A892D">
      <w:pPr>
        <w:pStyle w:val="23"/>
        <w:rPr>
          <w:rFonts w:hint="default" w:ascii="Times New Roman" w:hAnsi="Times New Roman" w:eastAsia="黑体" w:cs="Times New Roman"/>
          <w:color w:val="auto"/>
          <w:sz w:val="32"/>
          <w:szCs w:val="32"/>
          <w:highlight w:val="none"/>
        </w:rPr>
      </w:pPr>
    </w:p>
    <w:p w14:paraId="0D2220BC">
      <w:pPr>
        <w:keepNext w:val="0"/>
        <w:keepLines w:val="0"/>
        <w:pageBreakBefore w:val="0"/>
        <w:kinsoku/>
        <w:wordWrap/>
        <w:overflowPunct/>
        <w:topLinePunct w:val="0"/>
        <w:autoSpaceDE/>
        <w:autoSpaceDN/>
        <w:bidi w:val="0"/>
        <w:spacing w:line="572" w:lineRule="exact"/>
        <w:jc w:val="left"/>
        <w:textAlignment w:val="auto"/>
        <w:outlineLvl w:val="1"/>
        <w:rPr>
          <w:rFonts w:hint="default" w:ascii="Times New Roman" w:hAnsi="Times New Roman" w:eastAsia="黑体" w:cs="Times New Roman"/>
          <w:color w:val="auto"/>
          <w:sz w:val="32"/>
          <w:szCs w:val="32"/>
          <w:highlight w:val="none"/>
          <w:lang w:val="en-US" w:eastAsia="zh-CN"/>
        </w:rPr>
      </w:pPr>
    </w:p>
    <w:p w14:paraId="64B23774">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outlineLvl w:val="9"/>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遂宁高新区</w:t>
      </w:r>
      <w:r>
        <w:rPr>
          <w:rFonts w:hint="default" w:ascii="Times New Roman" w:hAnsi="Times New Roman" w:eastAsia="方正小标宋简体" w:cs="Times New Roman"/>
          <w:sz w:val="44"/>
          <w:szCs w:val="44"/>
          <w:lang w:val="en-US" w:eastAsia="zh-CN"/>
        </w:rPr>
        <w:t>退役军人服务中心</w:t>
      </w:r>
    </w:p>
    <w:p w14:paraId="4DB0E4C4">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专项预算项目支出绩效自评报告</w:t>
      </w:r>
    </w:p>
    <w:p w14:paraId="21D3D880">
      <w:pPr>
        <w:keepNext w:val="0"/>
        <w:keepLines w:val="0"/>
        <w:pageBreakBefore w:val="0"/>
        <w:widowControl w:val="0"/>
        <w:tabs>
          <w:tab w:val="left" w:pos="3885"/>
        </w:tabs>
        <w:suppressAutoHyphens/>
        <w:kinsoku/>
        <w:wordWrap/>
        <w:overflowPunct/>
        <w:topLinePunct w:val="0"/>
        <w:autoSpaceDE/>
        <w:autoSpaceDN/>
        <w:bidi w:val="0"/>
        <w:adjustRightInd/>
        <w:snapToGrid w:val="0"/>
        <w:spacing w:line="600" w:lineRule="exact"/>
        <w:jc w:val="center"/>
        <w:textAlignment w:val="auto"/>
        <w:outlineLvl w:val="9"/>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w:t>
      </w:r>
      <w:bookmarkStart w:id="107" w:name="OLE_LINK33"/>
      <w:r>
        <w:rPr>
          <w:rFonts w:hint="default" w:ascii="Times New Roman" w:hAnsi="Times New Roman" w:eastAsia="仿宋_GB2312" w:cs="Times New Roman"/>
          <w:sz w:val="32"/>
          <w:lang w:val="en-US" w:eastAsia="zh-CN"/>
        </w:rPr>
        <w:t>重点优抚对象代缴医疗保险、优抚对象医疗补助项目</w:t>
      </w:r>
      <w:bookmarkEnd w:id="107"/>
      <w:r>
        <w:rPr>
          <w:rFonts w:hint="default" w:ascii="Times New Roman" w:hAnsi="Times New Roman" w:eastAsia="仿宋_GB2312" w:cs="Times New Roman"/>
          <w:sz w:val="32"/>
          <w:lang w:val="en-US" w:eastAsia="zh-CN"/>
        </w:rPr>
        <w:t>）</w:t>
      </w:r>
    </w:p>
    <w:p w14:paraId="7B94F574">
      <w:pPr>
        <w:pStyle w:val="38"/>
        <w:spacing w:line="620" w:lineRule="exact"/>
        <w:jc w:val="both"/>
        <w:rPr>
          <w:rFonts w:hint="default" w:ascii="Times New Roman" w:hAnsi="Times New Roman" w:cs="Times New Roman"/>
          <w:color w:val="auto"/>
          <w:kern w:val="2"/>
          <w:sz w:val="32"/>
          <w:szCs w:val="32"/>
        </w:rPr>
      </w:pPr>
    </w:p>
    <w:p w14:paraId="6ED0E38D">
      <w:pPr>
        <w:suppressAutoHyphens/>
        <w:bidi w:val="0"/>
        <w:adjustRightInd w:val="0"/>
        <w:snapToGrid w:val="0"/>
        <w:spacing w:line="590" w:lineRule="exact"/>
        <w:ind w:firstLine="640" w:firstLineChars="200"/>
        <w:rPr>
          <w:rFonts w:hint="default" w:ascii="Times New Roman" w:hAnsi="Times New Roman" w:eastAsia="黑体" w:cs="Times New Roman"/>
          <w:sz w:val="32"/>
          <w:lang w:val="zh-CN"/>
        </w:rPr>
      </w:pPr>
      <w:r>
        <w:rPr>
          <w:rFonts w:hint="default" w:ascii="Times New Roman" w:hAnsi="Times New Roman" w:eastAsia="黑体" w:cs="Times New Roman"/>
          <w:sz w:val="32"/>
        </w:rPr>
        <w:t>一、</w:t>
      </w:r>
      <w:r>
        <w:rPr>
          <w:rFonts w:hint="default" w:ascii="Times New Roman" w:hAnsi="Times New Roman" w:eastAsia="黑体" w:cs="Times New Roman"/>
          <w:sz w:val="32"/>
          <w:lang w:val="zh-CN"/>
        </w:rPr>
        <w:t>项目概况</w:t>
      </w:r>
    </w:p>
    <w:p w14:paraId="66D11150">
      <w:pPr>
        <w:suppressAutoHyphens/>
        <w:bidi w:val="0"/>
        <w:adjustRightInd w:val="0"/>
        <w:snapToGrid w:val="0"/>
        <w:spacing w:line="590" w:lineRule="exact"/>
        <w:ind w:firstLine="643" w:firstLineChars="200"/>
        <w:rPr>
          <w:rFonts w:hint="default" w:ascii="Times New Roman" w:hAnsi="Times New Roman" w:eastAsia="楷体_GB2312" w:cs="Times New Roman"/>
          <w:b/>
          <w:sz w:val="32"/>
          <w:lang w:val="zh-CN"/>
        </w:rPr>
      </w:pPr>
      <w:r>
        <w:rPr>
          <w:rFonts w:hint="default" w:ascii="Times New Roman" w:hAnsi="Times New Roman" w:eastAsia="楷体_GB2312" w:cs="Times New Roman"/>
          <w:b/>
          <w:sz w:val="32"/>
          <w:lang w:val="zh-CN"/>
        </w:rPr>
        <w:t>（一）项目基本情况。</w:t>
      </w:r>
    </w:p>
    <w:p w14:paraId="072BC477">
      <w:pPr>
        <w:keepNext w:val="0"/>
        <w:keepLines w:val="0"/>
        <w:pageBreakBefore w:val="0"/>
        <w:widowControl w:val="0"/>
        <w:suppressAutoHyphens/>
        <w:kinsoku/>
        <w:wordWrap/>
        <w:overflowPunct/>
        <w:topLinePunct w:val="0"/>
        <w:autoSpaceDE/>
        <w:autoSpaceDN/>
        <w:bidi w:val="0"/>
        <w:adjustRightInd/>
        <w:snapToGrid w:val="0"/>
        <w:spacing w:line="600" w:lineRule="exact"/>
        <w:ind w:firstLine="640" w:firstLineChars="200"/>
        <w:textAlignment w:val="auto"/>
        <w:outlineLvl w:val="9"/>
        <w:rPr>
          <w:rFonts w:hint="default" w:ascii="Times New Roman" w:hAnsi="Times New Roman" w:eastAsia="仿宋_GB2312" w:cs="Times New Roman"/>
          <w:kern w:val="0"/>
          <w:sz w:val="32"/>
          <w:szCs w:val="32"/>
          <w:lang w:val="zh-CN" w:eastAsia="zh-CN" w:bidi="ar"/>
        </w:rPr>
      </w:pPr>
      <w:r>
        <w:rPr>
          <w:rFonts w:hint="default" w:ascii="Times New Roman" w:hAnsi="Times New Roman" w:eastAsia="仿宋_GB2312" w:cs="Times New Roman"/>
          <w:kern w:val="0"/>
          <w:sz w:val="32"/>
          <w:szCs w:val="32"/>
          <w:lang w:val="zh-CN" w:eastAsia="zh-CN" w:bidi="ar"/>
        </w:rPr>
        <w:t>1. 说明项目主管部门（单位）在该项目管理中的职能。</w:t>
      </w:r>
    </w:p>
    <w:p w14:paraId="1F24458D">
      <w:pPr>
        <w:keepNext w:val="0"/>
        <w:keepLines w:val="0"/>
        <w:pageBreakBefore w:val="0"/>
        <w:widowControl w:val="0"/>
        <w:suppressAutoHyphens/>
        <w:kinsoku/>
        <w:wordWrap/>
        <w:overflowPunct/>
        <w:topLinePunct w:val="0"/>
        <w:autoSpaceDE/>
        <w:autoSpaceDN/>
        <w:bidi w:val="0"/>
        <w:adjustRightInd/>
        <w:snapToGrid w:val="0"/>
        <w:spacing w:line="600" w:lineRule="exact"/>
        <w:ind w:firstLine="640" w:firstLineChars="200"/>
        <w:textAlignment w:val="auto"/>
        <w:outlineLvl w:val="9"/>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主要用于为七至十级残疾军人、在乡复员军人、带病回乡退伍军人、烈士遗属、因公牺牲军人遗属、病故军人遗属、参战退役人员购买城乡居民医疗保险。</w:t>
      </w:r>
    </w:p>
    <w:p w14:paraId="6268116E">
      <w:pPr>
        <w:keepNext w:val="0"/>
        <w:keepLines w:val="0"/>
        <w:pageBreakBefore w:val="0"/>
        <w:widowControl w:val="0"/>
        <w:suppressAutoHyphens/>
        <w:kinsoku/>
        <w:wordWrap/>
        <w:overflowPunct/>
        <w:topLinePunct w:val="0"/>
        <w:autoSpaceDE/>
        <w:autoSpaceDN/>
        <w:bidi w:val="0"/>
        <w:adjustRightInd/>
        <w:snapToGrid w:val="0"/>
        <w:spacing w:line="600" w:lineRule="exact"/>
        <w:ind w:firstLine="640" w:firstLineChars="200"/>
        <w:textAlignment w:val="auto"/>
        <w:outlineLvl w:val="9"/>
        <w:rPr>
          <w:rFonts w:hint="default" w:ascii="Times New Roman" w:hAnsi="Times New Roman" w:eastAsia="仿宋_GB2312" w:cs="Times New Roman"/>
          <w:kern w:val="0"/>
          <w:sz w:val="32"/>
          <w:szCs w:val="32"/>
          <w:lang w:val="zh-CN" w:eastAsia="zh-CN" w:bidi="ar"/>
        </w:rPr>
      </w:pPr>
      <w:r>
        <w:rPr>
          <w:rFonts w:hint="default" w:ascii="Times New Roman" w:hAnsi="Times New Roman" w:eastAsia="仿宋_GB2312" w:cs="Times New Roman"/>
          <w:kern w:val="0"/>
          <w:sz w:val="32"/>
          <w:szCs w:val="32"/>
          <w:lang w:val="en-US" w:eastAsia="zh-CN" w:bidi="ar"/>
        </w:rPr>
        <w:t>2.</w:t>
      </w:r>
      <w:r>
        <w:rPr>
          <w:rFonts w:hint="default" w:ascii="Times New Roman" w:hAnsi="Times New Roman" w:eastAsia="仿宋_GB2312" w:cs="Times New Roman"/>
          <w:kern w:val="0"/>
          <w:sz w:val="32"/>
          <w:szCs w:val="32"/>
          <w:lang w:val="zh-CN" w:eastAsia="zh-CN" w:bidi="ar"/>
        </w:rPr>
        <w:t>项目立项、资金申报的依据。</w:t>
      </w:r>
    </w:p>
    <w:p w14:paraId="2BF0A6AC">
      <w:pPr>
        <w:keepNext w:val="0"/>
        <w:keepLines w:val="0"/>
        <w:pageBreakBefore w:val="0"/>
        <w:widowControl w:val="0"/>
        <w:suppressAutoHyphens/>
        <w:kinsoku/>
        <w:wordWrap/>
        <w:overflowPunct/>
        <w:topLinePunct w:val="0"/>
        <w:autoSpaceDE/>
        <w:autoSpaceDN/>
        <w:bidi w:val="0"/>
        <w:adjustRightInd/>
        <w:snapToGrid w:val="0"/>
        <w:spacing w:line="600" w:lineRule="exact"/>
        <w:ind w:firstLine="640" w:firstLineChars="200"/>
        <w:textAlignment w:val="auto"/>
        <w:outlineLvl w:val="9"/>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zh-CN" w:eastAsia="zh-CN" w:bidi="ar"/>
        </w:rPr>
        <w:t xml:space="preserve"> </w:t>
      </w:r>
      <w:r>
        <w:rPr>
          <w:rFonts w:hint="default" w:ascii="Times New Roman" w:hAnsi="Times New Roman" w:eastAsia="仿宋_GB2312" w:cs="Times New Roman"/>
          <w:kern w:val="0"/>
          <w:sz w:val="32"/>
          <w:szCs w:val="32"/>
          <w:lang w:val="en-US" w:eastAsia="zh-CN" w:bidi="ar"/>
        </w:rPr>
        <w:t>根据《四川省优抚对象医疗保障实施办法》（川退役军人发【2022】116号）、《关于印发&lt;四川省残疾退役军人医疗保障实施办法&gt;的通知》(川退役军人发[2022]119号）、《关于印发&lt;遂宁市船山区重点优抚对象医疗保障服务实施细则&gt;的通知》（遂船民〔2011〕94号）文件要求执行。</w:t>
      </w:r>
    </w:p>
    <w:p w14:paraId="5A2BC2A4">
      <w:pPr>
        <w:keepNext w:val="0"/>
        <w:keepLines w:val="0"/>
        <w:pageBreakBefore w:val="0"/>
        <w:widowControl w:val="0"/>
        <w:suppressAutoHyphens/>
        <w:kinsoku/>
        <w:wordWrap/>
        <w:overflowPunct/>
        <w:topLinePunct w:val="0"/>
        <w:autoSpaceDE/>
        <w:autoSpaceDN/>
        <w:bidi w:val="0"/>
        <w:adjustRightInd/>
        <w:snapToGrid w:val="0"/>
        <w:spacing w:line="600" w:lineRule="exact"/>
        <w:ind w:firstLine="640" w:firstLineChars="200"/>
        <w:textAlignment w:val="auto"/>
        <w:outlineLvl w:val="9"/>
        <w:rPr>
          <w:rFonts w:hint="default" w:ascii="Times New Roman" w:hAnsi="Times New Roman" w:eastAsia="仿宋_GB2312" w:cs="Times New Roman"/>
          <w:kern w:val="0"/>
          <w:sz w:val="32"/>
          <w:szCs w:val="32"/>
          <w:lang w:val="zh-CN" w:eastAsia="zh-CN" w:bidi="ar"/>
        </w:rPr>
      </w:pPr>
      <w:r>
        <w:rPr>
          <w:rFonts w:hint="default" w:ascii="Times New Roman" w:hAnsi="Times New Roman" w:eastAsia="仿宋_GB2312" w:cs="Times New Roman"/>
          <w:kern w:val="0"/>
          <w:sz w:val="32"/>
          <w:szCs w:val="32"/>
          <w:lang w:val="en-US" w:eastAsia="zh-CN" w:bidi="ar"/>
        </w:rPr>
        <w:t>3.</w:t>
      </w:r>
      <w:r>
        <w:rPr>
          <w:rFonts w:hint="default" w:ascii="Times New Roman" w:hAnsi="Times New Roman" w:eastAsia="仿宋_GB2312" w:cs="Times New Roman"/>
          <w:kern w:val="0"/>
          <w:sz w:val="32"/>
          <w:szCs w:val="32"/>
          <w:lang w:val="zh-CN" w:eastAsia="zh-CN" w:bidi="ar"/>
        </w:rPr>
        <w:t>资金管理办法制定情况，资金支持具体项目的条件、范围与支持方式概况。</w:t>
      </w:r>
    </w:p>
    <w:p w14:paraId="49CA2E9F">
      <w:pPr>
        <w:keepNext w:val="0"/>
        <w:keepLines w:val="0"/>
        <w:pageBreakBefore w:val="0"/>
        <w:widowControl w:val="0"/>
        <w:suppressAutoHyphens/>
        <w:kinsoku/>
        <w:wordWrap/>
        <w:overflowPunct/>
        <w:topLinePunct w:val="0"/>
        <w:autoSpaceDE/>
        <w:autoSpaceDN/>
        <w:bidi w:val="0"/>
        <w:adjustRightInd/>
        <w:snapToGrid w:val="0"/>
        <w:spacing w:line="600" w:lineRule="exact"/>
        <w:ind w:firstLine="640" w:firstLineChars="200"/>
        <w:textAlignment w:val="auto"/>
        <w:outlineLvl w:val="9"/>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严格财政金融局资金管理办法进行资金管理，按照文件要求和人员人数进行资金拨付。</w:t>
      </w:r>
    </w:p>
    <w:p w14:paraId="3E4E2B88">
      <w:pPr>
        <w:keepNext w:val="0"/>
        <w:keepLines w:val="0"/>
        <w:pageBreakBefore w:val="0"/>
        <w:widowControl w:val="0"/>
        <w:suppressAutoHyphens/>
        <w:kinsoku/>
        <w:wordWrap/>
        <w:overflowPunct/>
        <w:topLinePunct w:val="0"/>
        <w:autoSpaceDE/>
        <w:autoSpaceDN/>
        <w:bidi w:val="0"/>
        <w:adjustRightInd/>
        <w:snapToGrid w:val="0"/>
        <w:spacing w:line="600" w:lineRule="exact"/>
        <w:ind w:firstLine="640" w:firstLineChars="200"/>
        <w:textAlignment w:val="auto"/>
        <w:outlineLvl w:val="9"/>
        <w:rPr>
          <w:rFonts w:hint="default" w:ascii="Times New Roman" w:hAnsi="Times New Roman" w:eastAsia="仿宋_GB2312" w:cs="Times New Roman"/>
          <w:kern w:val="0"/>
          <w:sz w:val="32"/>
          <w:szCs w:val="32"/>
          <w:lang w:val="zh-CN" w:eastAsia="zh-CN" w:bidi="ar"/>
        </w:rPr>
      </w:pPr>
      <w:r>
        <w:rPr>
          <w:rFonts w:hint="default" w:ascii="Times New Roman" w:hAnsi="Times New Roman" w:eastAsia="仿宋_GB2312" w:cs="Times New Roman"/>
          <w:kern w:val="0"/>
          <w:sz w:val="32"/>
          <w:szCs w:val="32"/>
          <w:lang w:val="zh-CN" w:eastAsia="zh-CN" w:bidi="ar"/>
        </w:rPr>
        <w:t>4. 资金分配的原则及考虑因素。</w:t>
      </w:r>
    </w:p>
    <w:p w14:paraId="32D7CF6A">
      <w:pPr>
        <w:adjustRightInd w:val="0"/>
        <w:snapToGrid w:val="0"/>
        <w:spacing w:line="590" w:lineRule="exact"/>
        <w:ind w:firstLine="640" w:firstLineChars="200"/>
        <w:rPr>
          <w:rFonts w:hint="default" w:ascii="Times New Roman" w:hAnsi="Times New Roman" w:cs="Times New Roman"/>
          <w:color w:val="FF0000"/>
          <w:lang w:val="zh-CN"/>
        </w:rPr>
      </w:pPr>
      <w:r>
        <w:rPr>
          <w:rFonts w:hint="default" w:ascii="Times New Roman" w:hAnsi="Times New Roman" w:eastAsia="仿宋_GB2312" w:cs="Times New Roman"/>
          <w:sz w:val="32"/>
          <w:szCs w:val="32"/>
          <w:lang w:eastAsia="zh-CN"/>
        </w:rPr>
        <w:t>该项目资金计划据实申报，</w:t>
      </w:r>
      <w:r>
        <w:rPr>
          <w:rFonts w:hint="default" w:ascii="Times New Roman" w:hAnsi="Times New Roman" w:eastAsia="仿宋_GB2312" w:cs="Times New Roman"/>
          <w:sz w:val="32"/>
          <w:szCs w:val="32"/>
          <w:lang w:val="en-US" w:eastAsia="zh-CN"/>
        </w:rPr>
        <w:t>财政金融局按照标准</w:t>
      </w:r>
      <w:r>
        <w:rPr>
          <w:rFonts w:hint="default" w:ascii="Times New Roman" w:hAnsi="Times New Roman" w:eastAsia="仿宋_GB2312" w:cs="Times New Roman"/>
          <w:sz w:val="32"/>
          <w:szCs w:val="32"/>
          <w:lang w:eastAsia="zh-CN"/>
        </w:rPr>
        <w:t>严格</w:t>
      </w:r>
      <w:r>
        <w:rPr>
          <w:rFonts w:hint="default" w:ascii="Times New Roman" w:hAnsi="Times New Roman" w:eastAsia="仿宋_GB2312" w:cs="Times New Roman"/>
          <w:sz w:val="32"/>
          <w:szCs w:val="32"/>
          <w:lang w:val="en-US" w:eastAsia="zh-CN"/>
        </w:rPr>
        <w:t>审核通过。</w:t>
      </w:r>
    </w:p>
    <w:p w14:paraId="4474FD8E">
      <w:pPr>
        <w:suppressAutoHyphens/>
        <w:bidi w:val="0"/>
        <w:adjustRightInd w:val="0"/>
        <w:snapToGrid w:val="0"/>
        <w:spacing w:line="590" w:lineRule="exact"/>
        <w:ind w:firstLine="643" w:firstLineChars="200"/>
        <w:rPr>
          <w:rFonts w:hint="default" w:ascii="Times New Roman" w:hAnsi="Times New Roman" w:eastAsia="楷体_GB2312" w:cs="Times New Roman"/>
          <w:b/>
          <w:sz w:val="32"/>
          <w:lang w:val="zh-CN"/>
        </w:rPr>
      </w:pPr>
      <w:r>
        <w:rPr>
          <w:rFonts w:hint="default" w:ascii="Times New Roman" w:hAnsi="Times New Roman" w:eastAsia="楷体_GB2312" w:cs="Times New Roman"/>
          <w:b/>
          <w:sz w:val="32"/>
          <w:lang w:val="zh-CN"/>
        </w:rPr>
        <w:t>（二）项目绩效目标。</w:t>
      </w:r>
    </w:p>
    <w:p w14:paraId="027EE39A">
      <w:pPr>
        <w:suppressAutoHyphens/>
        <w:bidi w:val="0"/>
        <w:adjustRightInd w:val="0"/>
        <w:snapToGrid w:val="0"/>
        <w:spacing w:line="590" w:lineRule="exact"/>
        <w:ind w:firstLine="640" w:firstLineChars="200"/>
        <w:rPr>
          <w:rFonts w:hint="default" w:ascii="Times New Roman" w:hAnsi="Times New Roman" w:eastAsia="仿宋_GB2312" w:cs="Times New Roman"/>
          <w:color w:val="000000"/>
          <w:sz w:val="32"/>
          <w:lang w:val="zh-CN"/>
        </w:rPr>
      </w:pPr>
      <w:r>
        <w:rPr>
          <w:rFonts w:hint="default" w:ascii="Times New Roman" w:hAnsi="Times New Roman" w:eastAsia="仿宋_GB2312" w:cs="Times New Roman"/>
          <w:color w:val="000000"/>
          <w:sz w:val="32"/>
          <w:lang w:val="zh-CN"/>
        </w:rPr>
        <w:t>1</w:t>
      </w:r>
      <w:r>
        <w:rPr>
          <w:rFonts w:hint="default" w:ascii="Times New Roman" w:hAnsi="Times New Roman" w:eastAsia="仿宋_GB2312" w:cs="Times New Roman"/>
          <w:color w:val="000000"/>
          <w:sz w:val="32"/>
          <w:lang w:val="zh-CN"/>
        </w:rPr>
        <w:t xml:space="preserve">. </w:t>
      </w:r>
      <w:r>
        <w:rPr>
          <w:rFonts w:hint="default" w:ascii="Times New Roman" w:hAnsi="Times New Roman" w:eastAsia="仿宋_GB2312" w:cs="Times New Roman"/>
          <w:color w:val="000000"/>
          <w:sz w:val="32"/>
          <w:lang w:val="zh-CN"/>
        </w:rPr>
        <w:t>项目主要内容。</w:t>
      </w:r>
    </w:p>
    <w:p w14:paraId="3340272D">
      <w:pPr>
        <w:suppressAutoHyphens/>
        <w:bidi w:val="0"/>
        <w:adjustRightInd w:val="0"/>
        <w:snapToGrid w:val="0"/>
        <w:spacing w:line="590" w:lineRule="exact"/>
        <w:ind w:firstLine="640" w:firstLineChars="200"/>
        <w:rPr>
          <w:rFonts w:hint="default" w:ascii="Times New Roman" w:hAnsi="Times New Roman" w:eastAsia="仿宋_GB2312" w:cs="Times New Roman"/>
          <w:color w:val="000000"/>
          <w:sz w:val="32"/>
          <w:lang w:val="en-US" w:eastAsia="zh-CN"/>
        </w:rPr>
      </w:pPr>
      <w:r>
        <w:rPr>
          <w:rFonts w:hint="default" w:ascii="Times New Roman" w:hAnsi="Times New Roman" w:eastAsia="仿宋_GB2312" w:cs="Times New Roman"/>
          <w:color w:val="000000"/>
          <w:sz w:val="32"/>
          <w:lang w:val="en-US" w:eastAsia="zh-CN"/>
        </w:rPr>
        <w:t>通过项目实施，保障优抚对象医疗待遇，切实解决优抚对象医疗困难。</w:t>
      </w:r>
    </w:p>
    <w:p w14:paraId="68BEE254">
      <w:pPr>
        <w:suppressAutoHyphens/>
        <w:bidi w:val="0"/>
        <w:adjustRightInd w:val="0"/>
        <w:snapToGrid w:val="0"/>
        <w:spacing w:line="590" w:lineRule="exact"/>
        <w:ind w:firstLine="640" w:firstLineChars="200"/>
        <w:rPr>
          <w:rFonts w:hint="default" w:ascii="Times New Roman" w:hAnsi="Times New Roman" w:eastAsia="仿宋_GB2312" w:cs="Times New Roman"/>
          <w:color w:val="000000"/>
          <w:sz w:val="32"/>
          <w:lang w:val="zh-CN"/>
        </w:rPr>
      </w:pPr>
      <w:r>
        <w:rPr>
          <w:rFonts w:hint="default" w:ascii="Times New Roman" w:hAnsi="Times New Roman" w:eastAsia="仿宋_GB2312" w:cs="Times New Roman"/>
          <w:color w:val="000000"/>
          <w:sz w:val="32"/>
          <w:lang w:val="en-US" w:eastAsia="zh-CN"/>
        </w:rPr>
        <w:t>2.</w:t>
      </w:r>
      <w:r>
        <w:rPr>
          <w:rFonts w:hint="default" w:ascii="Times New Roman" w:hAnsi="Times New Roman" w:eastAsia="仿宋_GB2312" w:cs="Times New Roman"/>
          <w:color w:val="000000"/>
          <w:sz w:val="32"/>
          <w:lang w:val="zh-CN"/>
        </w:rPr>
        <w:t>项目应实现的具体绩效目标，包括目标的量化、细化情况以及项目实施进度计划等。</w:t>
      </w:r>
    </w:p>
    <w:p w14:paraId="1CAF9176">
      <w:pPr>
        <w:suppressAutoHyphens/>
        <w:bidi w:val="0"/>
        <w:adjustRightInd w:val="0"/>
        <w:snapToGrid w:val="0"/>
        <w:spacing w:line="590" w:lineRule="exact"/>
        <w:ind w:firstLine="640" w:firstLineChars="200"/>
        <w:rPr>
          <w:rFonts w:hint="default" w:ascii="Times New Roman" w:hAnsi="Times New Roman" w:eastAsia="仿宋_GB2312" w:cs="Times New Roman"/>
          <w:color w:val="000000"/>
          <w:sz w:val="32"/>
          <w:lang w:val="zh-CN"/>
        </w:rPr>
      </w:pPr>
      <w:r>
        <w:rPr>
          <w:rFonts w:hint="default" w:ascii="Times New Roman" w:hAnsi="Times New Roman" w:eastAsia="仿宋_GB2312" w:cs="Times New Roman"/>
          <w:color w:val="000000"/>
          <w:sz w:val="32"/>
          <w:lang w:val="en-US" w:eastAsia="zh-CN"/>
        </w:rPr>
        <w:t>项目实施按要求报审后，进行实施。</w:t>
      </w:r>
      <w:r>
        <w:rPr>
          <w:rFonts w:hint="default" w:ascii="Times New Roman" w:hAnsi="Times New Roman" w:eastAsia="仿宋_GB2312" w:cs="Times New Roman"/>
          <w:color w:val="000000"/>
          <w:sz w:val="32"/>
          <w:lang w:val="zh-CN" w:eastAsia="zh-CN"/>
        </w:rPr>
        <w:t>为为辖区内</w:t>
      </w:r>
      <w:r>
        <w:rPr>
          <w:rFonts w:hint="default" w:ascii="Times New Roman" w:hAnsi="Times New Roman" w:eastAsia="仿宋_GB2312" w:cs="Times New Roman"/>
          <w:color w:val="000000"/>
          <w:sz w:val="32"/>
          <w:lang w:val="en-US" w:eastAsia="zh-CN"/>
        </w:rPr>
        <w:t>112</w:t>
      </w:r>
      <w:r>
        <w:rPr>
          <w:rFonts w:hint="default" w:ascii="Times New Roman" w:hAnsi="Times New Roman" w:eastAsia="仿宋_GB2312" w:cs="Times New Roman"/>
          <w:color w:val="000000"/>
          <w:sz w:val="32"/>
          <w:lang w:val="zh-CN" w:eastAsia="zh-CN"/>
        </w:rPr>
        <w:t>余名重点优抚对象购买城乡居民医疗保险；</w:t>
      </w:r>
      <w:r>
        <w:rPr>
          <w:rFonts w:hint="default" w:ascii="Times New Roman" w:hAnsi="Times New Roman" w:eastAsia="仿宋_GB2312" w:cs="Times New Roman"/>
          <w:color w:val="000000"/>
          <w:sz w:val="32"/>
          <w:lang w:val="en-US" w:eastAsia="zh-CN"/>
        </w:rPr>
        <w:t>及时为符合资助参保条件的1级至6级残疾军人实际职工基本医疗保险；为18人次实施优抚对象医疗补助共11.18万元，已按要求和时间节点进行支付。</w:t>
      </w:r>
    </w:p>
    <w:p w14:paraId="75D5D913">
      <w:pPr>
        <w:suppressAutoHyphens/>
        <w:bidi w:val="0"/>
        <w:adjustRightInd w:val="0"/>
        <w:snapToGrid w:val="0"/>
        <w:spacing w:line="590" w:lineRule="exact"/>
        <w:ind w:firstLine="640" w:firstLineChars="200"/>
        <w:rPr>
          <w:rFonts w:hint="default" w:ascii="Times New Roman" w:hAnsi="Times New Roman" w:eastAsia="仿宋_GB2312" w:cs="Times New Roman"/>
          <w:color w:val="000000"/>
          <w:sz w:val="32"/>
          <w:lang w:val="zh-CN"/>
        </w:rPr>
      </w:pPr>
      <w:r>
        <w:rPr>
          <w:rFonts w:hint="default" w:ascii="Times New Roman" w:hAnsi="Times New Roman" w:eastAsia="仿宋_GB2312" w:cs="Times New Roman"/>
          <w:color w:val="000000"/>
          <w:sz w:val="32"/>
          <w:lang w:val="zh-CN"/>
        </w:rPr>
        <w:t>3</w:t>
      </w:r>
      <w:r>
        <w:rPr>
          <w:rFonts w:hint="default" w:ascii="Times New Roman" w:hAnsi="Times New Roman" w:eastAsia="仿宋_GB2312" w:cs="Times New Roman"/>
          <w:color w:val="000000"/>
          <w:sz w:val="32"/>
          <w:lang w:val="zh-CN"/>
        </w:rPr>
        <w:t xml:space="preserve">. </w:t>
      </w:r>
      <w:r>
        <w:rPr>
          <w:rFonts w:hint="default" w:ascii="Times New Roman" w:hAnsi="Times New Roman" w:eastAsia="仿宋_GB2312" w:cs="Times New Roman"/>
          <w:color w:val="000000"/>
          <w:sz w:val="32"/>
          <w:lang w:val="zh-CN"/>
        </w:rPr>
        <w:t>分析评价申报内容是否与实际相符，申报目标是否合理可行。</w:t>
      </w:r>
    </w:p>
    <w:p w14:paraId="3B7A0E58">
      <w:pPr>
        <w:suppressAutoHyphens/>
        <w:bidi w:val="0"/>
        <w:adjustRightInd w:val="0"/>
        <w:snapToGrid w:val="0"/>
        <w:spacing w:line="590" w:lineRule="exact"/>
        <w:ind w:firstLine="640" w:firstLineChars="200"/>
        <w:rPr>
          <w:rFonts w:hint="default" w:ascii="Times New Roman" w:hAnsi="Times New Roman" w:eastAsia="楷体_GB2312" w:cs="Times New Roman"/>
          <w:b/>
          <w:lang w:val="zh-CN"/>
        </w:rPr>
      </w:pPr>
      <w:r>
        <w:rPr>
          <w:rFonts w:hint="default" w:ascii="Times New Roman" w:hAnsi="Times New Roman" w:eastAsia="仿宋_GB2312" w:cs="Times New Roman"/>
          <w:color w:val="000000"/>
          <w:sz w:val="32"/>
          <w:lang w:val="en-US" w:eastAsia="zh-CN"/>
        </w:rPr>
        <w:t>中心</w:t>
      </w:r>
      <w:r>
        <w:rPr>
          <w:rFonts w:hint="default" w:ascii="Times New Roman" w:hAnsi="Times New Roman" w:eastAsia="仿宋_GB2312" w:cs="Times New Roman"/>
          <w:color w:val="000000"/>
          <w:sz w:val="32"/>
          <w:lang w:val="en-US" w:eastAsia="zh-CN"/>
        </w:rPr>
        <w:t>充分考虑了项目的实际情况，确保</w:t>
      </w:r>
      <w:r>
        <w:rPr>
          <w:rFonts w:hint="default" w:ascii="Times New Roman" w:hAnsi="Times New Roman" w:eastAsia="仿宋_GB2312" w:cs="Times New Roman"/>
          <w:color w:val="000000"/>
          <w:sz w:val="32"/>
          <w:lang w:val="en-US" w:eastAsia="zh-CN"/>
        </w:rPr>
        <w:t>申报</w:t>
      </w:r>
      <w:r>
        <w:rPr>
          <w:rFonts w:hint="default" w:ascii="Times New Roman" w:hAnsi="Times New Roman" w:eastAsia="仿宋_GB2312" w:cs="Times New Roman"/>
          <w:color w:val="000000"/>
          <w:sz w:val="32"/>
          <w:lang w:val="en-US" w:eastAsia="zh-CN"/>
        </w:rPr>
        <w:t>目标的合理性和可行性。</w:t>
      </w:r>
      <w:r>
        <w:rPr>
          <w:rFonts w:hint="default" w:ascii="Times New Roman" w:hAnsi="Times New Roman" w:eastAsia="仿宋_GB2312" w:cs="Times New Roman"/>
          <w:color w:val="000000"/>
          <w:sz w:val="32"/>
          <w:lang w:val="en-US" w:eastAsia="zh-CN"/>
        </w:rPr>
        <w:br w:type="textWrapping"/>
      </w:r>
      <w:r>
        <w:rPr>
          <w:rFonts w:hint="default" w:ascii="Times New Roman" w:hAnsi="Times New Roman" w:eastAsia="楷体_GB2312" w:cs="Times New Roman"/>
          <w:b/>
          <w:sz w:val="32"/>
          <w:lang w:val="en-US" w:eastAsia="zh-CN"/>
        </w:rPr>
        <w:t xml:space="preserve">   </w:t>
      </w:r>
      <w:r>
        <w:rPr>
          <w:rFonts w:hint="default" w:ascii="Times New Roman" w:hAnsi="Times New Roman" w:eastAsia="楷体_GB2312" w:cs="Times New Roman"/>
          <w:b/>
          <w:sz w:val="32"/>
          <w:lang w:val="zh-CN"/>
        </w:rPr>
        <w:t>（三）项目自评步骤及方法。</w:t>
      </w:r>
    </w:p>
    <w:p w14:paraId="5FABB32D">
      <w:pPr>
        <w:suppressAutoHyphens/>
        <w:bidi w:val="0"/>
        <w:adjustRightInd w:val="0"/>
        <w:snapToGrid w:val="0"/>
        <w:spacing w:line="590" w:lineRule="exact"/>
        <w:ind w:firstLine="640" w:firstLineChars="200"/>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中心对项目的日常开展进行分析总结，定期对项目进展进行跟踪掌握，确保项目顺利实施。</w:t>
      </w:r>
    </w:p>
    <w:p w14:paraId="49F3A837">
      <w:pPr>
        <w:suppressAutoHyphens/>
        <w:bidi w:val="0"/>
        <w:adjustRightInd w:val="0"/>
        <w:snapToGrid w:val="0"/>
        <w:spacing w:line="590" w:lineRule="exact"/>
        <w:ind w:firstLine="640" w:firstLineChars="200"/>
        <w:rPr>
          <w:rFonts w:hint="default" w:ascii="Times New Roman" w:hAnsi="Times New Roman" w:eastAsia="黑体" w:cs="Times New Roman"/>
          <w:sz w:val="32"/>
        </w:rPr>
      </w:pPr>
      <w:r>
        <w:rPr>
          <w:rFonts w:hint="default" w:ascii="Times New Roman" w:hAnsi="Times New Roman" w:eastAsia="黑体" w:cs="Times New Roman"/>
          <w:sz w:val="32"/>
        </w:rPr>
        <w:t>二、项目资金申报及使用情况</w:t>
      </w:r>
    </w:p>
    <w:p w14:paraId="41260848">
      <w:pPr>
        <w:suppressAutoHyphens/>
        <w:bidi w:val="0"/>
        <w:adjustRightInd w:val="0"/>
        <w:snapToGrid w:val="0"/>
        <w:spacing w:line="590" w:lineRule="exact"/>
        <w:ind w:firstLine="643" w:firstLineChars="200"/>
        <w:rPr>
          <w:rFonts w:hint="default" w:ascii="Times New Roman" w:hAnsi="Times New Roman" w:eastAsia="楷体_GB2312" w:cs="Times New Roman"/>
          <w:b/>
          <w:sz w:val="32"/>
          <w:lang w:val="zh-CN"/>
        </w:rPr>
      </w:pPr>
      <w:r>
        <w:rPr>
          <w:rFonts w:hint="default" w:ascii="Times New Roman" w:hAnsi="Times New Roman" w:eastAsia="楷体_GB2312" w:cs="Times New Roman"/>
          <w:b/>
          <w:sz w:val="32"/>
          <w:lang w:val="zh-CN"/>
        </w:rPr>
        <w:t>（一）项目资金申报及批复情况。</w:t>
      </w:r>
    </w:p>
    <w:p w14:paraId="57899FDF">
      <w:pPr>
        <w:suppressAutoHyphens/>
        <w:bidi w:val="0"/>
        <w:adjustRightInd w:val="0"/>
        <w:snapToGrid w:val="0"/>
        <w:spacing w:line="590" w:lineRule="exact"/>
        <w:ind w:firstLine="640" w:firstLineChars="200"/>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2023年优抚对象医疗补助经费项目区级预算编制14万元，遂高管财预发[2023]1号文件批复14万元。</w:t>
      </w:r>
    </w:p>
    <w:p w14:paraId="6460392F">
      <w:pPr>
        <w:suppressAutoHyphens/>
        <w:bidi w:val="0"/>
        <w:adjustRightInd w:val="0"/>
        <w:snapToGrid w:val="0"/>
        <w:spacing w:line="590" w:lineRule="exact"/>
        <w:ind w:firstLine="643" w:firstLineChars="200"/>
        <w:rPr>
          <w:rFonts w:hint="default" w:ascii="Times New Roman" w:hAnsi="Times New Roman" w:eastAsia="楷体_GB2312" w:cs="Times New Roman"/>
          <w:b/>
          <w:sz w:val="32"/>
          <w:lang w:val="zh-CN"/>
        </w:rPr>
      </w:pPr>
      <w:r>
        <w:rPr>
          <w:rFonts w:hint="default" w:ascii="Times New Roman" w:hAnsi="Times New Roman" w:eastAsia="楷体_GB2312" w:cs="Times New Roman"/>
          <w:b/>
          <w:sz w:val="32"/>
          <w:lang w:val="zh-CN"/>
        </w:rPr>
        <w:t>（二）资金计划、到位及使用情况（可用表格形式反映）。</w:t>
      </w:r>
    </w:p>
    <w:p w14:paraId="2B2F2AD9">
      <w:pPr>
        <w:suppressAutoHyphens/>
        <w:bidi w:val="0"/>
        <w:adjustRightInd w:val="0"/>
        <w:snapToGrid w:val="0"/>
        <w:spacing w:line="590" w:lineRule="exact"/>
        <w:ind w:firstLine="643" w:firstLineChars="200"/>
        <w:rPr>
          <w:rFonts w:hint="default" w:ascii="Times New Roman" w:hAnsi="Times New Roman" w:eastAsia="仿宋_GB2312" w:cs="Times New Roman"/>
          <w:b/>
          <w:sz w:val="32"/>
          <w:lang w:val="zh-CN"/>
        </w:rPr>
      </w:pPr>
      <w:r>
        <w:rPr>
          <w:rFonts w:hint="default" w:ascii="Times New Roman" w:hAnsi="Times New Roman" w:eastAsia="仿宋_GB2312" w:cs="Times New Roman"/>
          <w:b/>
          <w:sz w:val="32"/>
          <w:lang w:val="zh-CN"/>
        </w:rPr>
        <w:t>1</w:t>
      </w:r>
      <w:r>
        <w:rPr>
          <w:rFonts w:hint="default" w:ascii="Times New Roman" w:hAnsi="Times New Roman" w:eastAsia="仿宋_GB2312" w:cs="Times New Roman"/>
          <w:b/>
          <w:sz w:val="32"/>
          <w:lang w:val="zh-CN"/>
        </w:rPr>
        <w:t xml:space="preserve">. </w:t>
      </w:r>
      <w:r>
        <w:rPr>
          <w:rFonts w:hint="default" w:ascii="Times New Roman" w:hAnsi="Times New Roman" w:eastAsia="仿宋_GB2312" w:cs="Times New Roman"/>
          <w:b/>
          <w:sz w:val="32"/>
          <w:lang w:val="zh-CN"/>
        </w:rPr>
        <w:t>资金计划。</w:t>
      </w:r>
    </w:p>
    <w:p w14:paraId="39208206">
      <w:pPr>
        <w:pStyle w:val="9"/>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color w:val="auto"/>
          <w:kern w:val="2"/>
          <w:sz w:val="32"/>
          <w:szCs w:val="24"/>
          <w:lang w:val="zh-CN" w:eastAsia="zh-CN" w:bidi="ar-SA"/>
        </w:rPr>
        <w:t>2023年为为辖区内</w:t>
      </w:r>
      <w:r>
        <w:rPr>
          <w:rFonts w:hint="default" w:ascii="Times New Roman" w:hAnsi="Times New Roman" w:eastAsia="仿宋_GB2312" w:cs="Times New Roman"/>
          <w:color w:val="auto"/>
          <w:kern w:val="2"/>
          <w:sz w:val="32"/>
          <w:szCs w:val="24"/>
          <w:lang w:val="en-US" w:eastAsia="zh-CN" w:bidi="ar-SA"/>
        </w:rPr>
        <w:t>112</w:t>
      </w:r>
      <w:r>
        <w:rPr>
          <w:rFonts w:hint="default" w:ascii="Times New Roman" w:hAnsi="Times New Roman" w:eastAsia="仿宋_GB2312" w:cs="Times New Roman"/>
          <w:color w:val="auto"/>
          <w:kern w:val="2"/>
          <w:sz w:val="32"/>
          <w:szCs w:val="24"/>
          <w:lang w:val="zh-CN" w:eastAsia="zh-CN" w:bidi="ar-SA"/>
        </w:rPr>
        <w:t>余名重点优抚对象购买城乡居民医疗保险；1-6级伤残军人大额及住院医疗保险和基本医疗保险；</w:t>
      </w:r>
      <w:r>
        <w:rPr>
          <w:rFonts w:hint="default" w:ascii="Times New Roman" w:hAnsi="Times New Roman" w:eastAsia="仿宋_GB2312" w:cs="Times New Roman"/>
          <w:color w:val="auto"/>
          <w:kern w:val="2"/>
          <w:sz w:val="32"/>
          <w:szCs w:val="24"/>
          <w:lang w:val="en-US" w:eastAsia="zh-CN" w:bidi="ar-SA"/>
        </w:rPr>
        <w:t>重点优抚对象医疗补助等。</w:t>
      </w:r>
    </w:p>
    <w:p w14:paraId="4095815A">
      <w:pPr>
        <w:suppressAutoHyphens/>
        <w:bidi w:val="0"/>
        <w:adjustRightInd w:val="0"/>
        <w:snapToGrid w:val="0"/>
        <w:spacing w:line="590" w:lineRule="exact"/>
        <w:ind w:firstLine="643" w:firstLineChars="200"/>
        <w:rPr>
          <w:rFonts w:hint="default" w:ascii="Times New Roman" w:hAnsi="Times New Roman" w:eastAsia="仿宋_GB2312" w:cs="Times New Roman"/>
          <w:b/>
          <w:sz w:val="32"/>
          <w:lang w:val="zh-CN"/>
        </w:rPr>
      </w:pPr>
      <w:r>
        <w:rPr>
          <w:rFonts w:hint="default" w:ascii="Times New Roman" w:hAnsi="Times New Roman" w:eastAsia="仿宋_GB2312" w:cs="Times New Roman"/>
          <w:b/>
          <w:sz w:val="32"/>
          <w:lang w:val="en-US" w:eastAsia="zh-CN"/>
        </w:rPr>
        <w:t>2.</w:t>
      </w:r>
      <w:r>
        <w:rPr>
          <w:rFonts w:hint="default" w:ascii="Times New Roman" w:hAnsi="Times New Roman" w:eastAsia="仿宋_GB2312" w:cs="Times New Roman"/>
          <w:b/>
          <w:sz w:val="32"/>
          <w:lang w:val="zh-CN"/>
        </w:rPr>
        <w:t>资金到位。</w:t>
      </w:r>
    </w:p>
    <w:p w14:paraId="7733D967">
      <w:pPr>
        <w:pStyle w:val="9"/>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color w:val="auto"/>
          <w:kern w:val="2"/>
          <w:sz w:val="32"/>
          <w:szCs w:val="24"/>
          <w:lang w:val="en-US" w:eastAsia="zh-CN" w:bidi="ar-SA"/>
        </w:rPr>
        <w:t>2023年区级预算资金14万元，资金到位14万元。</w:t>
      </w:r>
    </w:p>
    <w:p w14:paraId="5EF02F21">
      <w:pPr>
        <w:suppressAutoHyphens/>
        <w:bidi w:val="0"/>
        <w:adjustRightInd w:val="0"/>
        <w:snapToGrid w:val="0"/>
        <w:spacing w:line="590" w:lineRule="exact"/>
        <w:ind w:firstLine="643" w:firstLineChars="200"/>
        <w:rPr>
          <w:rFonts w:hint="default" w:ascii="Times New Roman" w:hAnsi="Times New Roman" w:eastAsia="仿宋_GB2312" w:cs="Times New Roman"/>
          <w:b/>
          <w:sz w:val="32"/>
          <w:lang w:val="zh-CN" w:eastAsia="zh-CN"/>
        </w:rPr>
      </w:pPr>
      <w:r>
        <w:rPr>
          <w:rFonts w:hint="default" w:ascii="Times New Roman" w:hAnsi="Times New Roman" w:eastAsia="仿宋_GB2312" w:cs="Times New Roman"/>
          <w:b/>
          <w:sz w:val="32"/>
          <w:lang w:val="zh-CN" w:eastAsia="zh-CN"/>
        </w:rPr>
        <w:t>3. 资金使用。</w:t>
      </w:r>
    </w:p>
    <w:p w14:paraId="1FFE9AA1">
      <w:pPr>
        <w:pStyle w:val="9"/>
        <w:rPr>
          <w:rFonts w:hint="default" w:ascii="Times New Roman" w:hAnsi="Times New Roman" w:eastAsia="仿宋_GB2312" w:cs="Times New Roman"/>
          <w:color w:val="auto"/>
          <w:kern w:val="2"/>
          <w:sz w:val="32"/>
          <w:szCs w:val="24"/>
          <w:lang w:val="zh-CN" w:eastAsia="zh-CN" w:bidi="ar-SA"/>
        </w:rPr>
      </w:pPr>
      <w:r>
        <w:rPr>
          <w:rFonts w:hint="default" w:ascii="Times New Roman" w:hAnsi="Times New Roman" w:eastAsia="仿宋_GB2312" w:cs="Times New Roman"/>
          <w:color w:val="auto"/>
          <w:kern w:val="2"/>
          <w:sz w:val="32"/>
          <w:szCs w:val="24"/>
          <w:lang w:val="en-US" w:eastAsia="zh-CN" w:bidi="ar-SA"/>
        </w:rPr>
        <w:t>2023年</w:t>
      </w:r>
      <w:r>
        <w:rPr>
          <w:rFonts w:hint="default" w:ascii="Times New Roman" w:hAnsi="Times New Roman" w:eastAsia="仿宋_GB2312" w:cs="Times New Roman"/>
          <w:color w:val="auto"/>
          <w:kern w:val="2"/>
          <w:sz w:val="32"/>
          <w:szCs w:val="24"/>
          <w:lang w:val="zh-CN" w:eastAsia="zh-CN" w:bidi="ar-SA"/>
        </w:rPr>
        <w:t>为辖区内</w:t>
      </w:r>
      <w:r>
        <w:rPr>
          <w:rFonts w:hint="default" w:ascii="Times New Roman" w:hAnsi="Times New Roman" w:eastAsia="仿宋_GB2312" w:cs="Times New Roman"/>
          <w:color w:val="auto"/>
          <w:kern w:val="2"/>
          <w:sz w:val="32"/>
          <w:szCs w:val="24"/>
          <w:lang w:val="en-US" w:eastAsia="zh-CN" w:bidi="ar-SA"/>
        </w:rPr>
        <w:t>112</w:t>
      </w:r>
      <w:r>
        <w:rPr>
          <w:rFonts w:hint="default" w:ascii="Times New Roman" w:hAnsi="Times New Roman" w:eastAsia="仿宋_GB2312" w:cs="Times New Roman"/>
          <w:color w:val="auto"/>
          <w:kern w:val="2"/>
          <w:sz w:val="32"/>
          <w:szCs w:val="24"/>
          <w:lang w:val="zh-CN" w:eastAsia="zh-CN" w:bidi="ar-SA"/>
        </w:rPr>
        <w:t>余名重点优抚对象购买城乡居民医疗保险；</w:t>
      </w:r>
      <w:r>
        <w:rPr>
          <w:rFonts w:hint="default" w:ascii="Times New Roman" w:hAnsi="Times New Roman" w:eastAsia="仿宋_GB2312" w:cs="Times New Roman"/>
          <w:color w:val="auto"/>
          <w:kern w:val="2"/>
          <w:sz w:val="32"/>
          <w:szCs w:val="24"/>
          <w:lang w:val="en-US" w:eastAsia="zh-CN" w:bidi="ar-SA"/>
        </w:rPr>
        <w:t>及时为1级至6级残疾军人购买职工基本医疗保险；为18人次实施优抚对象医疗补助共11.18万元。</w:t>
      </w:r>
    </w:p>
    <w:p w14:paraId="7AD3705F">
      <w:pPr>
        <w:suppressAutoHyphens/>
        <w:bidi w:val="0"/>
        <w:adjustRightInd w:val="0"/>
        <w:snapToGrid w:val="0"/>
        <w:spacing w:line="590" w:lineRule="exact"/>
        <w:ind w:firstLine="643" w:firstLineChars="200"/>
        <w:rPr>
          <w:rFonts w:hint="default" w:ascii="Times New Roman" w:hAnsi="Times New Roman" w:eastAsia="楷体_GB2312" w:cs="Times New Roman"/>
          <w:b/>
          <w:sz w:val="32"/>
          <w:lang w:val="zh-CN"/>
        </w:rPr>
      </w:pPr>
      <w:r>
        <w:rPr>
          <w:rFonts w:hint="default" w:ascii="Times New Roman" w:hAnsi="Times New Roman" w:eastAsia="楷体_GB2312" w:cs="Times New Roman"/>
          <w:b/>
          <w:sz w:val="32"/>
          <w:lang w:val="zh-CN"/>
        </w:rPr>
        <w:t>（三）项目财务管理情况。</w:t>
      </w:r>
    </w:p>
    <w:p w14:paraId="7BFEC64A">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600" w:lineRule="exact"/>
        <w:ind w:firstLine="640" w:firstLineChars="200"/>
        <w:jc w:val="left"/>
        <w:textAlignment w:val="auto"/>
        <w:outlineLvl w:val="9"/>
        <w:rPr>
          <w:rFonts w:hint="default" w:ascii="Times New Roman" w:hAnsi="Times New Roman" w:eastAsia="仿宋_GB2312" w:cs="Times New Roman"/>
          <w:color w:val="auto"/>
          <w:kern w:val="2"/>
          <w:sz w:val="32"/>
          <w:szCs w:val="24"/>
          <w:lang w:val="zh-CN" w:eastAsia="zh-CN" w:bidi="ar-SA"/>
        </w:rPr>
      </w:pPr>
      <w:r>
        <w:rPr>
          <w:rFonts w:hint="default" w:ascii="Times New Roman" w:hAnsi="Times New Roman" w:eastAsia="仿宋_GB2312" w:cs="Times New Roman"/>
          <w:color w:val="auto"/>
          <w:kern w:val="2"/>
          <w:sz w:val="32"/>
          <w:szCs w:val="24"/>
          <w:lang w:val="en-US" w:eastAsia="zh-CN" w:bidi="ar-SA"/>
        </w:rPr>
        <w:t>该项目资金支出严格按照财务资金管理制度的要求进行管理和执行，资金管理、费用支付流程均符合相关制度规定，不存在截留、滞留、挤占、挪用、套取、虚报、冒领等问题，财务处理及时，会计核算规范。</w:t>
      </w:r>
    </w:p>
    <w:p w14:paraId="62DF1C3C">
      <w:pPr>
        <w:suppressAutoHyphens/>
        <w:bidi w:val="0"/>
        <w:adjustRightInd w:val="0"/>
        <w:snapToGrid w:val="0"/>
        <w:spacing w:line="590" w:lineRule="exact"/>
        <w:ind w:firstLine="640" w:firstLineChars="200"/>
        <w:rPr>
          <w:rFonts w:hint="default" w:ascii="Times New Roman" w:hAnsi="Times New Roman" w:eastAsia="黑体" w:cs="Times New Roman"/>
          <w:sz w:val="32"/>
        </w:rPr>
      </w:pPr>
      <w:r>
        <w:rPr>
          <w:rFonts w:hint="default" w:ascii="Times New Roman" w:hAnsi="Times New Roman" w:eastAsia="黑体" w:cs="Times New Roman"/>
          <w:sz w:val="32"/>
        </w:rPr>
        <w:t>三、项目实施及管理情况</w:t>
      </w:r>
    </w:p>
    <w:p w14:paraId="37073BAA">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600" w:lineRule="exact"/>
        <w:ind w:firstLine="640" w:firstLineChars="200"/>
        <w:jc w:val="left"/>
        <w:textAlignment w:val="auto"/>
        <w:outlineLvl w:val="9"/>
        <w:rPr>
          <w:rFonts w:hint="default" w:ascii="Times New Roman" w:hAnsi="Times New Roman" w:eastAsia="仿宋_GB2312" w:cs="Times New Roman"/>
          <w:color w:val="auto"/>
          <w:kern w:val="2"/>
          <w:sz w:val="32"/>
          <w:szCs w:val="24"/>
          <w:lang w:val="zh-CN" w:eastAsia="zh-CN" w:bidi="ar-SA"/>
        </w:rPr>
      </w:pPr>
      <w:r>
        <w:rPr>
          <w:rFonts w:hint="default" w:ascii="Times New Roman" w:hAnsi="Times New Roman" w:eastAsia="仿宋_GB2312" w:cs="Times New Roman"/>
          <w:color w:val="auto"/>
          <w:kern w:val="2"/>
          <w:sz w:val="32"/>
          <w:szCs w:val="24"/>
          <w:lang w:val="zh-CN" w:eastAsia="zh-CN" w:bidi="ar-SA"/>
        </w:rPr>
        <w:t>结合项目组织实施管理办法，重点围绕以下内容进行分析评价，并对自评中发现的问题分析说明。</w:t>
      </w:r>
    </w:p>
    <w:p w14:paraId="11F1AC56">
      <w:pPr>
        <w:suppressAutoHyphens/>
        <w:bidi w:val="0"/>
        <w:adjustRightInd w:val="0"/>
        <w:snapToGrid w:val="0"/>
        <w:spacing w:line="590" w:lineRule="exact"/>
        <w:ind w:firstLine="643" w:firstLineChars="200"/>
        <w:rPr>
          <w:rFonts w:hint="default" w:ascii="Times New Roman" w:hAnsi="Times New Roman" w:eastAsia="楷体_GB2312" w:cs="Times New Roman"/>
          <w:b/>
          <w:sz w:val="32"/>
          <w:lang w:val="zh-CN"/>
        </w:rPr>
      </w:pPr>
      <w:r>
        <w:rPr>
          <w:rFonts w:hint="default" w:ascii="Times New Roman" w:hAnsi="Times New Roman" w:eastAsia="楷体_GB2312" w:cs="Times New Roman"/>
          <w:b/>
          <w:sz w:val="32"/>
          <w:lang w:val="zh-CN"/>
        </w:rPr>
        <w:t>（</w:t>
      </w:r>
      <w:r>
        <w:rPr>
          <w:rFonts w:hint="default" w:ascii="Times New Roman" w:hAnsi="Times New Roman" w:eastAsia="楷体_GB2312" w:cs="Times New Roman"/>
          <w:b/>
          <w:sz w:val="32"/>
          <w:lang w:val="en-US" w:eastAsia="zh-CN"/>
        </w:rPr>
        <w:t>一</w:t>
      </w:r>
      <w:r>
        <w:rPr>
          <w:rFonts w:hint="default" w:ascii="Times New Roman" w:hAnsi="Times New Roman" w:eastAsia="楷体_GB2312" w:cs="Times New Roman"/>
          <w:b/>
          <w:sz w:val="32"/>
          <w:lang w:val="zh-CN"/>
        </w:rPr>
        <w:t>）</w:t>
      </w:r>
      <w:r>
        <w:rPr>
          <w:rFonts w:hint="default" w:ascii="Times New Roman" w:hAnsi="Times New Roman" w:eastAsia="楷体_GB2312" w:cs="Times New Roman"/>
          <w:b/>
          <w:sz w:val="32"/>
          <w:lang w:val="zh-CN"/>
        </w:rPr>
        <w:t>项目组织架构及实施流程。</w:t>
      </w:r>
    </w:p>
    <w:p w14:paraId="0638C533">
      <w:pPr>
        <w:pStyle w:val="18"/>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60" w:lineRule="exact"/>
        <w:ind w:left="0" w:firstLine="640" w:firstLineChars="200"/>
        <w:jc w:val="both"/>
        <w:textAlignment w:val="baseline"/>
        <w:rPr>
          <w:rFonts w:hint="default" w:ascii="Times New Roman" w:hAnsi="Times New Roman" w:cs="Times New Roman"/>
          <w:lang w:val="zh-CN"/>
        </w:rPr>
      </w:pPr>
      <w:r>
        <w:rPr>
          <w:rFonts w:hint="default" w:ascii="Times New Roman" w:hAnsi="Times New Roman" w:eastAsia="仿宋_GB2312" w:cs="Times New Roman"/>
          <w:color w:val="auto"/>
          <w:kern w:val="2"/>
          <w:sz w:val="32"/>
          <w:szCs w:val="24"/>
          <w:lang w:val="zh-CN" w:eastAsia="zh-CN" w:bidi="ar-SA"/>
        </w:rPr>
        <w:t>按照业务人员经办、</w:t>
      </w:r>
      <w:r>
        <w:rPr>
          <w:rFonts w:hint="default" w:ascii="Times New Roman" w:hAnsi="Times New Roman" w:eastAsia="仿宋_GB2312" w:cs="Times New Roman"/>
          <w:color w:val="auto"/>
          <w:kern w:val="2"/>
          <w:sz w:val="32"/>
          <w:szCs w:val="24"/>
          <w:lang w:val="en-US" w:eastAsia="zh-CN" w:bidi="ar-SA"/>
        </w:rPr>
        <w:t>财务人员</w:t>
      </w:r>
      <w:r>
        <w:rPr>
          <w:rFonts w:hint="default" w:ascii="Times New Roman" w:hAnsi="Times New Roman" w:eastAsia="仿宋_GB2312" w:cs="Times New Roman"/>
          <w:color w:val="auto"/>
          <w:kern w:val="2"/>
          <w:sz w:val="32"/>
          <w:szCs w:val="24"/>
          <w:lang w:val="zh-CN" w:eastAsia="zh-CN" w:bidi="ar-SA"/>
        </w:rPr>
        <w:t>初审、中心主任审核、管委会分管领导审批的流程组织实施，按</w:t>
      </w:r>
      <w:r>
        <w:rPr>
          <w:rFonts w:hint="default" w:ascii="Times New Roman" w:hAnsi="Times New Roman" w:eastAsia="仿宋_GB2312" w:cs="Times New Roman"/>
          <w:color w:val="auto"/>
          <w:kern w:val="2"/>
          <w:sz w:val="32"/>
          <w:szCs w:val="24"/>
          <w:lang w:val="en-US" w:eastAsia="zh-CN" w:bidi="ar-SA"/>
        </w:rPr>
        <w:t>实际</w:t>
      </w:r>
      <w:r>
        <w:rPr>
          <w:rFonts w:hint="default" w:ascii="Times New Roman" w:hAnsi="Times New Roman" w:eastAsia="仿宋_GB2312" w:cs="Times New Roman"/>
          <w:color w:val="auto"/>
          <w:kern w:val="2"/>
          <w:sz w:val="32"/>
          <w:szCs w:val="24"/>
          <w:lang w:val="zh-CN" w:eastAsia="zh-CN" w:bidi="ar-SA"/>
        </w:rPr>
        <w:t>完成支付工作。</w:t>
      </w:r>
    </w:p>
    <w:p w14:paraId="00194E56">
      <w:pPr>
        <w:suppressAutoHyphens/>
        <w:bidi w:val="0"/>
        <w:adjustRightInd w:val="0"/>
        <w:snapToGrid w:val="0"/>
        <w:spacing w:line="590" w:lineRule="exact"/>
        <w:ind w:firstLine="643" w:firstLineChars="200"/>
        <w:rPr>
          <w:rFonts w:hint="default" w:ascii="Times New Roman" w:hAnsi="Times New Roman" w:eastAsia="楷体_GB2312" w:cs="Times New Roman"/>
          <w:b/>
          <w:sz w:val="32"/>
          <w:lang w:val="zh-CN" w:eastAsia="zh-CN"/>
        </w:rPr>
      </w:pPr>
      <w:r>
        <w:rPr>
          <w:rFonts w:hint="default" w:ascii="Times New Roman" w:hAnsi="Times New Roman" w:eastAsia="楷体_GB2312" w:cs="Times New Roman"/>
          <w:b/>
          <w:sz w:val="32"/>
          <w:lang w:val="zh-CN" w:eastAsia="zh-CN"/>
        </w:rPr>
        <w:t>（二）项目管理情况。</w:t>
      </w:r>
    </w:p>
    <w:p w14:paraId="32DAB4A8">
      <w:pPr>
        <w:pStyle w:val="18"/>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60" w:lineRule="exact"/>
        <w:ind w:left="0" w:firstLine="640" w:firstLineChars="200"/>
        <w:jc w:val="both"/>
        <w:textAlignment w:val="baseline"/>
        <w:rPr>
          <w:rFonts w:hint="default" w:ascii="Times New Roman" w:hAnsi="Times New Roman" w:eastAsia="仿宋_GB2312" w:cs="Times New Roman"/>
          <w:color w:val="auto"/>
          <w:kern w:val="2"/>
          <w:sz w:val="32"/>
          <w:szCs w:val="24"/>
          <w:lang w:val="zh-CN" w:eastAsia="zh-CN" w:bidi="ar-SA"/>
        </w:rPr>
      </w:pPr>
      <w:r>
        <w:rPr>
          <w:rFonts w:hint="default" w:ascii="Times New Roman" w:hAnsi="Times New Roman" w:eastAsia="仿宋_GB2312" w:cs="Times New Roman"/>
          <w:sz w:val="32"/>
          <w:szCs w:val="32"/>
        </w:rPr>
        <w:t>该项目严格按照单位内控制度审批流程的要求组织资金申报，资金项目拨付通过事权、财权手续严格执行财务管</w:t>
      </w:r>
      <w:r>
        <w:rPr>
          <w:rFonts w:hint="default" w:ascii="Times New Roman" w:hAnsi="Times New Roman" w:eastAsia="仿宋_GB2312" w:cs="Times New Roman"/>
          <w:color w:val="auto"/>
          <w:kern w:val="2"/>
          <w:sz w:val="32"/>
          <w:szCs w:val="24"/>
          <w:lang w:val="zh-CN" w:eastAsia="zh-CN" w:bidi="ar-SA"/>
        </w:rPr>
        <w:t>理制度，资金拨付及时到位，会计核算严格按照行政单位会计制度要求进行做账。</w:t>
      </w:r>
    </w:p>
    <w:p w14:paraId="3A56DEE4">
      <w:pPr>
        <w:suppressAutoHyphens/>
        <w:bidi w:val="0"/>
        <w:adjustRightInd w:val="0"/>
        <w:snapToGrid w:val="0"/>
        <w:spacing w:line="590" w:lineRule="exact"/>
        <w:ind w:firstLine="643" w:firstLineChars="200"/>
        <w:rPr>
          <w:rFonts w:hint="default" w:ascii="Times New Roman" w:hAnsi="Times New Roman" w:eastAsia="楷体_GB2312" w:cs="Times New Roman"/>
          <w:b/>
          <w:sz w:val="32"/>
          <w:lang w:val="zh-CN" w:eastAsia="zh-CN"/>
        </w:rPr>
      </w:pPr>
      <w:r>
        <w:rPr>
          <w:rFonts w:hint="default" w:ascii="Times New Roman" w:hAnsi="Times New Roman" w:eastAsia="楷体_GB2312" w:cs="Times New Roman"/>
          <w:b/>
          <w:sz w:val="32"/>
          <w:lang w:val="zh-CN" w:eastAsia="zh-CN"/>
        </w:rPr>
        <w:t>（</w:t>
      </w:r>
      <w:r>
        <w:rPr>
          <w:rFonts w:hint="default" w:ascii="Times New Roman" w:hAnsi="Times New Roman" w:eastAsia="楷体_GB2312" w:cs="Times New Roman"/>
          <w:b/>
          <w:sz w:val="32"/>
          <w:lang w:val="en-US" w:eastAsia="zh-CN"/>
        </w:rPr>
        <w:t>三</w:t>
      </w:r>
      <w:r>
        <w:rPr>
          <w:rFonts w:hint="default" w:ascii="Times New Roman" w:hAnsi="Times New Roman" w:eastAsia="楷体_GB2312" w:cs="Times New Roman"/>
          <w:b/>
          <w:sz w:val="32"/>
          <w:lang w:val="zh-CN" w:eastAsia="zh-CN"/>
        </w:rPr>
        <w:t>）项目监管情况。</w:t>
      </w:r>
    </w:p>
    <w:p w14:paraId="5BEF9A0A">
      <w:pPr>
        <w:pStyle w:val="9"/>
        <w:numPr>
          <w:ilvl w:val="0"/>
          <w:numId w:val="0"/>
        </w:numPr>
        <w:ind w:firstLine="640" w:firstLineChars="200"/>
        <w:rPr>
          <w:rFonts w:hint="default" w:ascii="Times New Roman" w:hAnsi="Times New Roman" w:eastAsia="仿宋_GB2312" w:cs="Times New Roman"/>
          <w:color w:val="auto"/>
          <w:kern w:val="0"/>
          <w:sz w:val="32"/>
          <w:szCs w:val="32"/>
          <w:lang w:val="zh-CN" w:eastAsia="zh-CN" w:bidi="ar"/>
        </w:rPr>
      </w:pPr>
      <w:r>
        <w:rPr>
          <w:rFonts w:hint="default" w:ascii="Times New Roman" w:hAnsi="Times New Roman" w:eastAsia="仿宋_GB2312" w:cs="Times New Roman"/>
          <w:color w:val="auto"/>
          <w:kern w:val="0"/>
          <w:sz w:val="32"/>
          <w:szCs w:val="32"/>
          <w:lang w:val="en-US" w:eastAsia="zh-CN" w:bidi="ar"/>
        </w:rPr>
        <w:t>退役军人服务中心</w:t>
      </w:r>
      <w:r>
        <w:rPr>
          <w:rFonts w:hint="default" w:ascii="Times New Roman" w:hAnsi="Times New Roman" w:eastAsia="仿宋_GB2312" w:cs="Times New Roman"/>
          <w:color w:val="auto"/>
          <w:kern w:val="0"/>
          <w:sz w:val="32"/>
          <w:szCs w:val="32"/>
          <w:lang w:val="en-US" w:eastAsia="zh-CN" w:bidi="ar"/>
        </w:rPr>
        <w:t>秉承合法、合规、实效、集约的资金使用原则，按照财务管理制度及财政法律法规申请各项资金，按照资金使用流程管控使用，未出现违规违纪现象。</w:t>
      </w:r>
    </w:p>
    <w:p w14:paraId="62F62F4E">
      <w:pPr>
        <w:suppressAutoHyphens/>
        <w:bidi w:val="0"/>
        <w:adjustRightInd w:val="0"/>
        <w:snapToGrid w:val="0"/>
        <w:spacing w:line="590" w:lineRule="exact"/>
        <w:ind w:firstLine="640" w:firstLineChars="200"/>
        <w:rPr>
          <w:rFonts w:hint="default" w:ascii="Times New Roman" w:hAnsi="Times New Roman" w:eastAsia="黑体" w:cs="Times New Roman"/>
          <w:sz w:val="32"/>
          <w:lang w:val="zh-CN"/>
        </w:rPr>
      </w:pPr>
      <w:r>
        <w:rPr>
          <w:rFonts w:hint="default" w:ascii="Times New Roman" w:hAnsi="Times New Roman" w:eastAsia="黑体" w:cs="Times New Roman"/>
          <w:sz w:val="32"/>
        </w:rPr>
        <w:t>四、项目绩效情况</w:t>
      </w:r>
      <w:r>
        <w:rPr>
          <w:rFonts w:hint="default" w:ascii="Times New Roman" w:hAnsi="Times New Roman" w:eastAsia="黑体" w:cs="Times New Roman"/>
          <w:sz w:val="32"/>
          <w:lang w:val="zh-CN"/>
        </w:rPr>
        <w:tab/>
      </w:r>
    </w:p>
    <w:p w14:paraId="4029C775">
      <w:pPr>
        <w:suppressAutoHyphens/>
        <w:bidi w:val="0"/>
        <w:adjustRightInd w:val="0"/>
        <w:snapToGrid w:val="0"/>
        <w:spacing w:line="590" w:lineRule="exact"/>
        <w:ind w:firstLine="643" w:firstLineChars="200"/>
        <w:rPr>
          <w:rFonts w:hint="default" w:ascii="Times New Roman" w:hAnsi="Times New Roman" w:eastAsia="楷体_GB2312" w:cs="Times New Roman"/>
          <w:b/>
          <w:sz w:val="32"/>
          <w:lang w:val="zh-CN" w:eastAsia="zh-CN"/>
        </w:rPr>
      </w:pPr>
      <w:r>
        <w:rPr>
          <w:rFonts w:hint="default" w:ascii="Times New Roman" w:hAnsi="Times New Roman" w:eastAsia="楷体_GB2312" w:cs="Times New Roman"/>
          <w:b/>
          <w:sz w:val="32"/>
          <w:lang w:val="zh-CN" w:eastAsia="zh-CN"/>
        </w:rPr>
        <w:t>（一）项目完成情况。</w:t>
      </w:r>
    </w:p>
    <w:p w14:paraId="39ABA5E0">
      <w:pPr>
        <w:pStyle w:val="9"/>
        <w:numPr>
          <w:ilvl w:val="0"/>
          <w:numId w:val="0"/>
        </w:numPr>
        <w:ind w:firstLine="640" w:firstLineChars="200"/>
        <w:rPr>
          <w:rFonts w:hint="default" w:ascii="Times New Roman" w:hAnsi="Times New Roman" w:eastAsia="仿宋_GB2312" w:cs="Times New Roman"/>
          <w:color w:val="auto"/>
          <w:kern w:val="0"/>
          <w:sz w:val="32"/>
          <w:szCs w:val="32"/>
          <w:lang w:val="zh-CN" w:eastAsia="zh-CN" w:bidi="ar"/>
        </w:rPr>
      </w:pPr>
      <w:r>
        <w:rPr>
          <w:rFonts w:hint="default" w:ascii="Times New Roman" w:hAnsi="Times New Roman" w:eastAsia="仿宋_GB2312" w:cs="Times New Roman"/>
          <w:color w:val="auto"/>
          <w:kern w:val="0"/>
          <w:sz w:val="32"/>
          <w:szCs w:val="32"/>
          <w:lang w:val="en-US" w:eastAsia="zh-CN" w:bidi="ar"/>
        </w:rPr>
        <w:t>项目实施按要求报审后，进行实施。2023年</w:t>
      </w:r>
      <w:r>
        <w:rPr>
          <w:rFonts w:hint="default" w:ascii="Times New Roman" w:hAnsi="Times New Roman" w:eastAsia="仿宋_GB2312" w:cs="Times New Roman"/>
          <w:color w:val="auto"/>
          <w:kern w:val="0"/>
          <w:sz w:val="32"/>
          <w:szCs w:val="32"/>
          <w:lang w:val="zh-CN" w:eastAsia="zh-CN" w:bidi="ar"/>
        </w:rPr>
        <w:t>为辖区内</w:t>
      </w:r>
      <w:r>
        <w:rPr>
          <w:rFonts w:hint="default" w:ascii="Times New Roman" w:hAnsi="Times New Roman" w:eastAsia="仿宋_GB2312" w:cs="Times New Roman"/>
          <w:color w:val="auto"/>
          <w:kern w:val="0"/>
          <w:sz w:val="32"/>
          <w:szCs w:val="32"/>
          <w:lang w:val="en-US" w:eastAsia="zh-CN" w:bidi="ar"/>
        </w:rPr>
        <w:t>112</w:t>
      </w:r>
      <w:r>
        <w:rPr>
          <w:rFonts w:hint="default" w:ascii="Times New Roman" w:hAnsi="Times New Roman" w:eastAsia="仿宋_GB2312" w:cs="Times New Roman"/>
          <w:color w:val="auto"/>
          <w:kern w:val="0"/>
          <w:sz w:val="32"/>
          <w:szCs w:val="32"/>
          <w:lang w:val="zh-CN" w:eastAsia="zh-CN" w:bidi="ar"/>
        </w:rPr>
        <w:t>余名重点优抚对象购买城乡居民医疗保险；</w:t>
      </w:r>
      <w:r>
        <w:rPr>
          <w:rFonts w:hint="default" w:ascii="Times New Roman" w:hAnsi="Times New Roman" w:eastAsia="仿宋_GB2312" w:cs="Times New Roman"/>
          <w:color w:val="auto"/>
          <w:kern w:val="0"/>
          <w:sz w:val="32"/>
          <w:szCs w:val="32"/>
          <w:lang w:val="en-US" w:eastAsia="zh-CN" w:bidi="ar"/>
        </w:rPr>
        <w:t>及时为1级至6级残疾军人购买职工基本医疗保险；为18人次实施优抚对象医疗补助共11.18万元</w:t>
      </w:r>
      <w:r>
        <w:rPr>
          <w:rFonts w:hint="default"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已按时按质进行发放。</w:t>
      </w:r>
    </w:p>
    <w:p w14:paraId="1DC61ADF">
      <w:pPr>
        <w:suppressAutoHyphens/>
        <w:bidi w:val="0"/>
        <w:adjustRightInd w:val="0"/>
        <w:snapToGrid w:val="0"/>
        <w:spacing w:line="590" w:lineRule="exact"/>
        <w:ind w:firstLine="643" w:firstLineChars="200"/>
        <w:rPr>
          <w:rFonts w:hint="default" w:ascii="Times New Roman" w:hAnsi="Times New Roman" w:eastAsia="楷体_GB2312" w:cs="Times New Roman"/>
          <w:b/>
          <w:sz w:val="32"/>
          <w:lang w:val="zh-CN" w:eastAsia="zh-CN"/>
        </w:rPr>
      </w:pPr>
      <w:r>
        <w:rPr>
          <w:rFonts w:hint="default" w:ascii="Times New Roman" w:hAnsi="Times New Roman" w:eastAsia="楷体_GB2312" w:cs="Times New Roman"/>
          <w:b/>
          <w:sz w:val="32"/>
          <w:lang w:val="zh-CN" w:eastAsia="zh-CN"/>
        </w:rPr>
        <w:t>（二）项目效益情况。</w:t>
      </w:r>
    </w:p>
    <w:p w14:paraId="3CD4301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kern w:val="0"/>
          <w:sz w:val="32"/>
          <w:szCs w:val="32"/>
          <w:lang w:val="en-US" w:eastAsia="zh-CN" w:bidi="ar"/>
        </w:rPr>
        <w:t>通过发放优抚对象抚恤补助资金，使优抚对象等人员的基本生活得到有效保障。</w:t>
      </w:r>
    </w:p>
    <w:p w14:paraId="48D343D0">
      <w:pPr>
        <w:suppressAutoHyphens/>
        <w:bidi w:val="0"/>
        <w:adjustRightInd w:val="0"/>
        <w:snapToGrid w:val="0"/>
        <w:spacing w:line="590" w:lineRule="exact"/>
        <w:ind w:firstLine="640" w:firstLineChars="200"/>
        <w:rPr>
          <w:rFonts w:hint="default" w:ascii="Times New Roman" w:hAnsi="Times New Roman" w:eastAsia="黑体" w:cs="Times New Roman"/>
          <w:sz w:val="32"/>
        </w:rPr>
      </w:pPr>
      <w:r>
        <w:rPr>
          <w:rFonts w:hint="default" w:ascii="Times New Roman" w:hAnsi="Times New Roman" w:eastAsia="黑体" w:cs="Times New Roman"/>
          <w:sz w:val="32"/>
        </w:rPr>
        <w:t>五、评价结论及建议</w:t>
      </w:r>
    </w:p>
    <w:p w14:paraId="1A2F351B">
      <w:pPr>
        <w:suppressAutoHyphens/>
        <w:bidi w:val="0"/>
        <w:adjustRightInd w:val="0"/>
        <w:snapToGrid w:val="0"/>
        <w:spacing w:line="590" w:lineRule="exact"/>
        <w:ind w:firstLine="643" w:firstLineChars="200"/>
        <w:rPr>
          <w:rFonts w:hint="default" w:ascii="Times New Roman" w:hAnsi="Times New Roman" w:eastAsia="楷体_GB2312" w:cs="Times New Roman"/>
          <w:b/>
          <w:sz w:val="32"/>
          <w:lang w:val="zh-CN" w:eastAsia="zh-CN"/>
        </w:rPr>
      </w:pPr>
      <w:r>
        <w:rPr>
          <w:rFonts w:hint="default" w:ascii="Times New Roman" w:hAnsi="Times New Roman" w:eastAsia="楷体_GB2312" w:cs="Times New Roman"/>
          <w:b/>
          <w:sz w:val="32"/>
          <w:lang w:val="zh-CN" w:eastAsia="zh-CN"/>
        </w:rPr>
        <w:t>（一）评价结论。</w:t>
      </w:r>
    </w:p>
    <w:p w14:paraId="2B09B52E">
      <w:pPr>
        <w:pStyle w:val="9"/>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该项目资金支出严格按照财务资金管理制度的要求进行管理和执行，资金管理、费用支付流程均符合相关制度规定，专款专用，未出现截留、滞留、挤占、挪用、套取、虚报、冒领等问题。开展较好。</w:t>
      </w:r>
    </w:p>
    <w:p w14:paraId="6DAA40DC">
      <w:pPr>
        <w:suppressAutoHyphens/>
        <w:bidi w:val="0"/>
        <w:adjustRightInd w:val="0"/>
        <w:snapToGrid w:val="0"/>
        <w:spacing w:line="590" w:lineRule="exact"/>
        <w:ind w:firstLine="643" w:firstLineChars="200"/>
        <w:rPr>
          <w:rFonts w:hint="default" w:ascii="Times New Roman" w:hAnsi="Times New Roman" w:eastAsia="楷体_GB2312" w:cs="Times New Roman"/>
          <w:b/>
          <w:sz w:val="32"/>
          <w:lang w:val="zh-CN" w:eastAsia="zh-CN"/>
        </w:rPr>
      </w:pPr>
      <w:r>
        <w:rPr>
          <w:rFonts w:hint="default" w:ascii="Times New Roman" w:hAnsi="Times New Roman" w:eastAsia="楷体_GB2312" w:cs="Times New Roman"/>
          <w:b/>
          <w:sz w:val="32"/>
          <w:lang w:val="zh-CN" w:eastAsia="zh-CN"/>
        </w:rPr>
        <w:t>（二）存在的问题。</w:t>
      </w:r>
    </w:p>
    <w:p w14:paraId="3C96C8CC">
      <w:pPr>
        <w:pStyle w:val="9"/>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暂无</w:t>
      </w:r>
    </w:p>
    <w:p w14:paraId="532CF71D">
      <w:pPr>
        <w:suppressAutoHyphens/>
        <w:bidi w:val="0"/>
        <w:adjustRightInd w:val="0"/>
        <w:snapToGrid w:val="0"/>
        <w:spacing w:line="590" w:lineRule="exact"/>
        <w:ind w:firstLine="643" w:firstLineChars="200"/>
        <w:rPr>
          <w:rFonts w:hint="default" w:ascii="Times New Roman" w:hAnsi="Times New Roman" w:eastAsia="楷体_GB2312" w:cs="Times New Roman"/>
          <w:b/>
          <w:sz w:val="32"/>
          <w:lang w:val="zh-CN" w:eastAsia="zh-CN"/>
        </w:rPr>
      </w:pPr>
      <w:r>
        <w:rPr>
          <w:rFonts w:hint="default" w:ascii="Times New Roman" w:hAnsi="Times New Roman" w:eastAsia="楷体_GB2312" w:cs="Times New Roman"/>
          <w:b/>
          <w:sz w:val="32"/>
          <w:lang w:val="zh-CN" w:eastAsia="zh-CN"/>
        </w:rPr>
        <w:t>（三）相关建议。</w:t>
      </w:r>
    </w:p>
    <w:p w14:paraId="71D91309">
      <w:pPr>
        <w:pStyle w:val="9"/>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继续加强项目实施统筹，确保高效率完成目标任务。</w:t>
      </w:r>
    </w:p>
    <w:p w14:paraId="57A011E1">
      <w:pPr>
        <w:pStyle w:val="9"/>
        <w:rPr>
          <w:rFonts w:hint="default" w:ascii="Times New Roman" w:hAnsi="Times New Roman" w:eastAsia="仿宋_GB2312" w:cs="Times New Roman"/>
          <w:color w:val="auto"/>
          <w:kern w:val="0"/>
          <w:sz w:val="32"/>
          <w:szCs w:val="32"/>
          <w:lang w:val="zh-CN" w:eastAsia="zh-CN" w:bidi="ar"/>
        </w:rPr>
      </w:pPr>
    </w:p>
    <w:p w14:paraId="7728378D">
      <w:pPr>
        <w:pStyle w:val="9"/>
        <w:rPr>
          <w:rFonts w:hint="default" w:ascii="Times New Roman" w:hAnsi="Times New Roman" w:eastAsia="仿宋_GB2312" w:cs="Times New Roman"/>
          <w:color w:val="auto"/>
          <w:kern w:val="0"/>
          <w:sz w:val="32"/>
          <w:szCs w:val="32"/>
          <w:lang w:val="zh-CN" w:eastAsia="zh-CN" w:bidi="ar"/>
        </w:rPr>
      </w:pPr>
    </w:p>
    <w:p w14:paraId="4831A258">
      <w:pPr>
        <w:pStyle w:val="9"/>
        <w:rPr>
          <w:rFonts w:hint="default" w:ascii="Times New Roman" w:hAnsi="Times New Roman" w:eastAsia="仿宋_GB2312" w:cs="Times New Roman"/>
          <w:color w:val="auto"/>
          <w:kern w:val="0"/>
          <w:sz w:val="32"/>
          <w:szCs w:val="32"/>
          <w:lang w:val="zh-CN" w:eastAsia="zh-CN" w:bidi="ar"/>
        </w:rPr>
      </w:pPr>
    </w:p>
    <w:p w14:paraId="76E8632E">
      <w:pPr>
        <w:pStyle w:val="9"/>
        <w:rPr>
          <w:rFonts w:hint="default" w:ascii="Times New Roman" w:hAnsi="Times New Roman" w:eastAsia="仿宋_GB2312" w:cs="Times New Roman"/>
          <w:color w:val="auto"/>
          <w:kern w:val="0"/>
          <w:sz w:val="32"/>
          <w:szCs w:val="32"/>
          <w:lang w:val="zh-CN" w:eastAsia="zh-CN" w:bidi="ar"/>
        </w:rPr>
      </w:pPr>
    </w:p>
    <w:p w14:paraId="29E980AE">
      <w:pPr>
        <w:pStyle w:val="9"/>
        <w:rPr>
          <w:rFonts w:hint="default" w:ascii="Times New Roman" w:hAnsi="Times New Roman" w:eastAsia="仿宋_GB2312" w:cs="Times New Roman"/>
          <w:color w:val="auto"/>
          <w:kern w:val="0"/>
          <w:sz w:val="32"/>
          <w:szCs w:val="32"/>
          <w:lang w:val="zh-CN" w:eastAsia="zh-CN" w:bidi="ar"/>
        </w:rPr>
      </w:pPr>
    </w:p>
    <w:p w14:paraId="1DB91D22">
      <w:pPr>
        <w:pStyle w:val="9"/>
        <w:rPr>
          <w:rFonts w:hint="default" w:ascii="Times New Roman" w:hAnsi="Times New Roman" w:eastAsia="仿宋_GB2312" w:cs="Times New Roman"/>
          <w:color w:val="auto"/>
          <w:kern w:val="0"/>
          <w:sz w:val="32"/>
          <w:szCs w:val="32"/>
          <w:lang w:val="zh-CN" w:eastAsia="zh-CN" w:bidi="ar"/>
        </w:rPr>
      </w:pPr>
    </w:p>
    <w:p w14:paraId="34DD4B8B">
      <w:pPr>
        <w:pStyle w:val="9"/>
        <w:rPr>
          <w:rFonts w:hint="default" w:ascii="Times New Roman" w:hAnsi="Times New Roman" w:eastAsia="仿宋_GB2312" w:cs="Times New Roman"/>
          <w:color w:val="auto"/>
          <w:kern w:val="0"/>
          <w:sz w:val="32"/>
          <w:szCs w:val="32"/>
          <w:lang w:val="zh-CN" w:eastAsia="zh-CN" w:bidi="ar"/>
        </w:rPr>
      </w:pPr>
    </w:p>
    <w:p w14:paraId="498D03F9">
      <w:pPr>
        <w:keepNext w:val="0"/>
        <w:keepLines w:val="0"/>
        <w:pageBreakBefore w:val="0"/>
        <w:kinsoku/>
        <w:wordWrap/>
        <w:overflowPunct/>
        <w:topLinePunct w:val="0"/>
        <w:autoSpaceDE/>
        <w:autoSpaceDN/>
        <w:bidi w:val="0"/>
        <w:spacing w:line="572" w:lineRule="exact"/>
        <w:jc w:val="left"/>
        <w:textAlignment w:val="auto"/>
        <w:outlineLvl w:val="1"/>
        <w:rPr>
          <w:rFonts w:hint="default" w:ascii="Times New Roman" w:hAnsi="Times New Roman" w:eastAsia="黑体" w:cs="Times New Roman"/>
          <w:color w:val="auto"/>
          <w:sz w:val="32"/>
          <w:szCs w:val="32"/>
          <w:highlight w:val="none"/>
          <w:lang w:val="en-US" w:eastAsia="zh-CN"/>
        </w:rPr>
      </w:pPr>
    </w:p>
    <w:p w14:paraId="581B912E">
      <w:pPr>
        <w:keepNext w:val="0"/>
        <w:keepLines w:val="0"/>
        <w:pageBreakBefore w:val="0"/>
        <w:widowControl w:val="0"/>
        <w:suppressAutoHyphens/>
        <w:kinsoku/>
        <w:wordWrap/>
        <w:overflowPunct/>
        <w:topLinePunct w:val="0"/>
        <w:autoSpaceDE/>
        <w:autoSpaceDN/>
        <w:bidi w:val="0"/>
        <w:adjustRightInd/>
        <w:snapToGrid w:val="0"/>
        <w:spacing w:line="600" w:lineRule="exact"/>
        <w:jc w:val="center"/>
        <w:textAlignment w:val="auto"/>
        <w:outlineLvl w:val="9"/>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遂宁高新区</w:t>
      </w:r>
      <w:r>
        <w:rPr>
          <w:rFonts w:hint="default" w:ascii="Times New Roman" w:hAnsi="Times New Roman" w:eastAsia="方正小标宋简体" w:cs="Times New Roman"/>
          <w:sz w:val="44"/>
          <w:szCs w:val="44"/>
          <w:lang w:val="en-US" w:eastAsia="zh-CN"/>
        </w:rPr>
        <w:t>退役军人服务中心</w:t>
      </w:r>
    </w:p>
    <w:p w14:paraId="6C8D362E">
      <w:pPr>
        <w:keepNext w:val="0"/>
        <w:keepLines w:val="0"/>
        <w:pageBreakBefore w:val="0"/>
        <w:widowControl w:val="0"/>
        <w:suppressAutoHyphens/>
        <w:kinsoku/>
        <w:wordWrap/>
        <w:overflowPunct/>
        <w:topLinePunct w:val="0"/>
        <w:autoSpaceDE/>
        <w:autoSpaceDN/>
        <w:bidi w:val="0"/>
        <w:adjustRightInd/>
        <w:snapToGrid w:val="0"/>
        <w:spacing w:line="600" w:lineRule="exact"/>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专项预算项目支出绩效自评报告</w:t>
      </w:r>
    </w:p>
    <w:p w14:paraId="402B6D0A">
      <w:pPr>
        <w:keepNext w:val="0"/>
        <w:keepLines w:val="0"/>
        <w:pageBreakBefore w:val="0"/>
        <w:widowControl w:val="0"/>
        <w:tabs>
          <w:tab w:val="left" w:pos="3885"/>
        </w:tabs>
        <w:suppressAutoHyphens/>
        <w:kinsoku/>
        <w:wordWrap/>
        <w:overflowPunct/>
        <w:topLinePunct w:val="0"/>
        <w:autoSpaceDE/>
        <w:autoSpaceDN/>
        <w:bidi w:val="0"/>
        <w:adjustRightInd/>
        <w:snapToGrid w:val="0"/>
        <w:spacing w:line="600" w:lineRule="exact"/>
        <w:jc w:val="center"/>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w:t>
      </w:r>
      <w:r>
        <w:rPr>
          <w:rFonts w:hint="default" w:ascii="Times New Roman" w:hAnsi="Times New Roman" w:eastAsia="仿宋_GB2312" w:cs="Times New Roman"/>
          <w:sz w:val="32"/>
          <w:lang w:val="en-US" w:eastAsia="zh-CN"/>
        </w:rPr>
        <w:t>烈士褒扬及军人慰问</w:t>
      </w:r>
      <w:r>
        <w:rPr>
          <w:rFonts w:hint="default" w:ascii="Times New Roman" w:hAnsi="Times New Roman" w:eastAsia="仿宋_GB2312" w:cs="Times New Roman"/>
          <w:sz w:val="32"/>
        </w:rPr>
        <w:t>项目）</w:t>
      </w:r>
    </w:p>
    <w:p w14:paraId="78782B36">
      <w:pPr>
        <w:widowControl w:val="0"/>
        <w:spacing w:line="620" w:lineRule="exact"/>
        <w:jc w:val="both"/>
        <w:rPr>
          <w:rFonts w:hint="default" w:ascii="Times New Roman" w:hAnsi="Times New Roman" w:eastAsia="宋体" w:cs="Times New Roman"/>
          <w:color w:val="auto"/>
          <w:kern w:val="2"/>
          <w:sz w:val="32"/>
          <w:szCs w:val="32"/>
          <w:lang w:val="zh-CN" w:eastAsia="zh-CN" w:bidi="ar-SA"/>
        </w:rPr>
      </w:pPr>
    </w:p>
    <w:p w14:paraId="3B902336">
      <w:pPr>
        <w:suppressAutoHyphens/>
        <w:bidi w:val="0"/>
        <w:adjustRightInd w:val="0"/>
        <w:snapToGrid w:val="0"/>
        <w:spacing w:line="590" w:lineRule="exact"/>
        <w:ind w:firstLine="640" w:firstLineChars="200"/>
        <w:rPr>
          <w:rFonts w:hint="default" w:ascii="Times New Roman" w:hAnsi="Times New Roman" w:eastAsia="黑体" w:cs="Times New Roman"/>
          <w:sz w:val="32"/>
          <w:lang w:val="zh-CN"/>
        </w:rPr>
      </w:pPr>
      <w:r>
        <w:rPr>
          <w:rFonts w:hint="default" w:ascii="Times New Roman" w:hAnsi="Times New Roman" w:eastAsia="黑体" w:cs="Times New Roman"/>
          <w:sz w:val="32"/>
        </w:rPr>
        <w:t>一、</w:t>
      </w:r>
      <w:r>
        <w:rPr>
          <w:rFonts w:hint="default" w:ascii="Times New Roman" w:hAnsi="Times New Roman" w:eastAsia="黑体" w:cs="Times New Roman"/>
          <w:sz w:val="32"/>
          <w:lang w:val="zh-CN"/>
        </w:rPr>
        <w:t>项目概况</w:t>
      </w:r>
    </w:p>
    <w:p w14:paraId="1638CC2C">
      <w:pPr>
        <w:suppressAutoHyphens/>
        <w:bidi w:val="0"/>
        <w:adjustRightInd w:val="0"/>
        <w:snapToGrid w:val="0"/>
        <w:spacing w:line="590" w:lineRule="exact"/>
        <w:ind w:firstLine="643" w:firstLineChars="200"/>
        <w:rPr>
          <w:rFonts w:hint="default" w:ascii="Times New Roman" w:hAnsi="Times New Roman" w:eastAsia="楷体_GB2312" w:cs="Times New Roman"/>
          <w:b/>
          <w:sz w:val="32"/>
          <w:lang w:val="zh-CN"/>
        </w:rPr>
      </w:pPr>
      <w:r>
        <w:rPr>
          <w:rFonts w:hint="default" w:ascii="Times New Roman" w:hAnsi="Times New Roman" w:eastAsia="楷体_GB2312" w:cs="Times New Roman"/>
          <w:b/>
          <w:sz w:val="32"/>
          <w:lang w:val="zh-CN"/>
        </w:rPr>
        <w:t>（一）项目基本情况</w:t>
      </w:r>
    </w:p>
    <w:p w14:paraId="5C7A7B5E">
      <w:pPr>
        <w:suppressAutoHyphens/>
        <w:bidi w:val="0"/>
        <w:adjustRightInd w:val="0"/>
        <w:snapToGrid w:val="0"/>
        <w:spacing w:line="590" w:lineRule="exact"/>
        <w:ind w:firstLine="640" w:firstLineChars="200"/>
        <w:rPr>
          <w:rFonts w:hint="default" w:ascii="Times New Roman" w:hAnsi="Times New Roman" w:eastAsia="仿宋_GB2312" w:cs="Times New Roman"/>
          <w:color w:val="FF0000"/>
          <w:sz w:val="32"/>
          <w:lang w:val="zh-CN"/>
        </w:rPr>
      </w:pPr>
      <w:r>
        <w:rPr>
          <w:rFonts w:hint="default" w:ascii="Times New Roman" w:hAnsi="Times New Roman" w:eastAsia="仿宋_GB2312" w:cs="Times New Roman"/>
          <w:sz w:val="32"/>
          <w:lang w:val="zh-CN"/>
        </w:rPr>
        <w:t>1</w:t>
      </w:r>
      <w:r>
        <w:rPr>
          <w:rFonts w:hint="default" w:ascii="Times New Roman" w:hAnsi="Times New Roman" w:eastAsia="仿宋_GB2312" w:cs="Times New Roman"/>
          <w:color w:val="000000"/>
          <w:sz w:val="32"/>
          <w:lang w:val="zh-CN"/>
        </w:rPr>
        <w:t xml:space="preserve">. </w:t>
      </w:r>
      <w:r>
        <w:rPr>
          <w:rFonts w:hint="default" w:ascii="Times New Roman" w:hAnsi="Times New Roman" w:eastAsia="仿宋_GB2312" w:cs="Times New Roman"/>
          <w:color w:val="000000"/>
          <w:sz w:val="32"/>
          <w:lang w:val="zh-CN"/>
        </w:rPr>
        <w:t>说明项目主管部门（单位）在该项目管理中的职能。</w:t>
      </w:r>
    </w:p>
    <w:p w14:paraId="70F9C0C1">
      <w:pPr>
        <w:keepNext w:val="0"/>
        <w:keepLines w:val="0"/>
        <w:pageBreakBefore w:val="0"/>
        <w:widowControl w:val="0"/>
        <w:numPr>
          <w:ilvl w:val="0"/>
          <w:numId w:val="0"/>
        </w:numPr>
        <w:tabs>
          <w:tab w:val="left" w:pos="3885"/>
        </w:tabs>
        <w:suppressAutoHyphens/>
        <w:kinsoku/>
        <w:wordWrap/>
        <w:overflowPunct/>
        <w:topLinePunct w:val="0"/>
        <w:autoSpaceDE/>
        <w:autoSpaceDN/>
        <w:bidi w:val="0"/>
        <w:adjustRightInd/>
        <w:snapToGrid w:val="0"/>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21"/>
          <w:lang w:eastAsia="zh-CN"/>
        </w:rPr>
      </w:pPr>
      <w:r>
        <w:rPr>
          <w:rFonts w:hint="default" w:ascii="Times New Roman" w:hAnsi="Times New Roman" w:eastAsia="仿宋_GB2312" w:cs="Times New Roman"/>
          <w:color w:val="000000"/>
          <w:kern w:val="0"/>
          <w:sz w:val="32"/>
          <w:szCs w:val="32"/>
          <w:u w:val="none"/>
          <w:lang w:eastAsia="zh-CN"/>
        </w:rPr>
        <w:t>以习近平新时代中国特色社会主义思想和习近平强军思想为指导，</w:t>
      </w:r>
      <w:r>
        <w:rPr>
          <w:rFonts w:hint="default" w:ascii="Times New Roman" w:hAnsi="Times New Roman" w:eastAsia="仿宋_GB2312" w:cs="Times New Roman"/>
          <w:color w:val="000000"/>
          <w:kern w:val="0"/>
          <w:sz w:val="32"/>
          <w:szCs w:val="32"/>
          <w:u w:val="none"/>
          <w:lang w:val="en-US" w:eastAsia="zh-CN"/>
        </w:rPr>
        <w:t>深入学习贯彻</w:t>
      </w:r>
      <w:r>
        <w:rPr>
          <w:rFonts w:hint="default" w:ascii="Times New Roman" w:hAnsi="Times New Roman" w:eastAsia="仿宋_GB2312" w:cs="Times New Roman"/>
          <w:color w:val="000000"/>
          <w:kern w:val="0"/>
          <w:sz w:val="32"/>
          <w:szCs w:val="32"/>
          <w:u w:val="none"/>
          <w:lang w:val="en-US" w:eastAsia="zh-CN"/>
        </w:rPr>
        <w:t>习近平强军思想，坚决落实党中央国务院、中央军委、省委省政府和市委市政府关于双拥工作的决策部署，扎实做好拥军优属、拥政爱民工作，不断巩固和发展坚如磐石的军政军民关系，促进我</w:t>
      </w:r>
      <w:r>
        <w:rPr>
          <w:rFonts w:hint="default" w:ascii="Times New Roman" w:hAnsi="Times New Roman" w:eastAsia="仿宋_GB2312" w:cs="Times New Roman"/>
          <w:color w:val="000000"/>
          <w:kern w:val="0"/>
          <w:sz w:val="32"/>
          <w:szCs w:val="32"/>
          <w:u w:val="none"/>
          <w:lang w:val="en-US" w:eastAsia="zh-CN"/>
        </w:rPr>
        <w:t>市</w:t>
      </w:r>
      <w:r>
        <w:rPr>
          <w:rFonts w:hint="default" w:ascii="Times New Roman" w:hAnsi="Times New Roman" w:eastAsia="仿宋_GB2312" w:cs="Times New Roman"/>
          <w:color w:val="000000"/>
          <w:kern w:val="0"/>
          <w:sz w:val="32"/>
          <w:szCs w:val="32"/>
          <w:u w:val="none"/>
          <w:lang w:val="en-US" w:eastAsia="zh-CN"/>
        </w:rPr>
        <w:t>经济</w:t>
      </w:r>
      <w:r>
        <w:rPr>
          <w:rFonts w:hint="default" w:ascii="Times New Roman" w:hAnsi="Times New Roman" w:eastAsia="仿宋_GB2312" w:cs="Times New Roman"/>
          <w:color w:val="000000"/>
          <w:kern w:val="0"/>
          <w:sz w:val="32"/>
          <w:szCs w:val="32"/>
          <w:u w:val="none"/>
          <w:lang w:val="en-US" w:eastAsia="zh-CN"/>
        </w:rPr>
        <w:t>社会</w:t>
      </w:r>
      <w:r>
        <w:rPr>
          <w:rFonts w:hint="default" w:ascii="Times New Roman" w:hAnsi="Times New Roman" w:eastAsia="仿宋_GB2312" w:cs="Times New Roman"/>
          <w:color w:val="000000"/>
          <w:kern w:val="0"/>
          <w:sz w:val="32"/>
          <w:szCs w:val="32"/>
          <w:u w:val="none"/>
          <w:lang w:val="en-US" w:eastAsia="zh-CN"/>
        </w:rPr>
        <w:t>发展。</w:t>
      </w:r>
    </w:p>
    <w:p w14:paraId="7FB4DAD1">
      <w:pPr>
        <w:numPr>
          <w:ilvl w:val="0"/>
          <w:numId w:val="0"/>
        </w:numPr>
        <w:suppressAutoHyphens/>
        <w:bidi w:val="0"/>
        <w:adjustRightInd w:val="0"/>
        <w:snapToGrid w:val="0"/>
        <w:spacing w:line="590" w:lineRule="exact"/>
        <w:ind w:firstLine="640" w:firstLineChars="200"/>
        <w:rPr>
          <w:rFonts w:hint="default" w:ascii="Times New Roman" w:hAnsi="Times New Roman" w:eastAsia="仿宋_GB2312" w:cs="Times New Roman"/>
          <w:color w:val="000000"/>
          <w:sz w:val="32"/>
          <w:lang w:val="zh-CN"/>
        </w:rPr>
      </w:pPr>
      <w:r>
        <w:rPr>
          <w:rFonts w:hint="default" w:ascii="Times New Roman" w:hAnsi="Times New Roman" w:eastAsia="仿宋_GB2312" w:cs="Times New Roman"/>
          <w:color w:val="000000"/>
          <w:sz w:val="32"/>
          <w:lang w:val="en-US" w:eastAsia="zh-CN"/>
        </w:rPr>
        <w:t>2.</w:t>
      </w:r>
      <w:r>
        <w:rPr>
          <w:rFonts w:hint="default" w:ascii="Times New Roman" w:hAnsi="Times New Roman" w:eastAsia="仿宋_GB2312" w:cs="Times New Roman"/>
          <w:color w:val="000000"/>
          <w:sz w:val="32"/>
          <w:lang w:val="zh-CN"/>
        </w:rPr>
        <w:t>项目立项、资金申报的依据。</w:t>
      </w:r>
    </w:p>
    <w:p w14:paraId="53B4297B">
      <w:pPr>
        <w:keepNext w:val="0"/>
        <w:keepLines w:val="0"/>
        <w:pageBreakBefore w:val="0"/>
        <w:widowControl w:val="0"/>
        <w:suppressAutoHyphens/>
        <w:kinsoku/>
        <w:wordWrap/>
        <w:overflowPunct/>
        <w:topLinePunct w:val="0"/>
        <w:autoSpaceDE/>
        <w:autoSpaceDN/>
        <w:bidi w:val="0"/>
        <w:adjustRightInd/>
        <w:snapToGrid w:val="0"/>
        <w:spacing w:line="600" w:lineRule="exact"/>
        <w:ind w:firstLine="640" w:firstLineChars="200"/>
        <w:textAlignment w:val="auto"/>
        <w:outlineLvl w:val="9"/>
        <w:rPr>
          <w:rFonts w:hint="default" w:ascii="Times New Roman" w:hAnsi="Times New Roman" w:eastAsia="楷体_GB2312" w:cs="Times New Roman"/>
          <w:spacing w:val="8"/>
          <w:sz w:val="32"/>
          <w:szCs w:val="32"/>
          <w:lang w:eastAsia="zh-CN"/>
        </w:rPr>
      </w:pPr>
      <w:r>
        <w:rPr>
          <w:rFonts w:hint="default" w:ascii="Times New Roman" w:hAnsi="Times New Roman" w:eastAsia="仿宋_GB2312" w:cs="Times New Roman"/>
          <w:sz w:val="32"/>
          <w:lang w:val="zh-CN"/>
        </w:rPr>
        <w:t xml:space="preserve"> </w:t>
      </w:r>
      <w:r>
        <w:rPr>
          <w:rFonts w:hint="default" w:ascii="Times New Roman" w:hAnsi="Times New Roman" w:eastAsia="仿宋_GB2312" w:cs="Times New Roman"/>
          <w:b w:val="0"/>
          <w:bCs w:val="0"/>
          <w:sz w:val="32"/>
          <w:szCs w:val="21"/>
          <w:lang w:val="en-US" w:eastAsia="zh-CN"/>
        </w:rPr>
        <w:t>根据</w:t>
      </w:r>
      <w:r>
        <w:rPr>
          <w:rFonts w:hint="default" w:ascii="Times New Roman" w:hAnsi="Times New Roman" w:eastAsia="仿宋_GB2312" w:cs="Times New Roman"/>
          <w:sz w:val="32"/>
          <w:szCs w:val="21"/>
          <w:lang w:eastAsia="zh-CN"/>
        </w:rPr>
        <w:t>遂宁市拥军优属拥政爱民工作领导小组办公室《关于202</w:t>
      </w:r>
      <w:r>
        <w:rPr>
          <w:rFonts w:hint="default" w:ascii="Times New Roman" w:hAnsi="Times New Roman" w:eastAsia="仿宋_GB2312" w:cs="Times New Roman"/>
          <w:sz w:val="32"/>
          <w:szCs w:val="21"/>
          <w:lang w:val="en-US" w:eastAsia="zh-CN"/>
        </w:rPr>
        <w:t>2</w:t>
      </w:r>
      <w:r>
        <w:rPr>
          <w:rFonts w:hint="default" w:ascii="Times New Roman" w:hAnsi="Times New Roman" w:eastAsia="仿宋_GB2312" w:cs="Times New Roman"/>
          <w:sz w:val="32"/>
          <w:szCs w:val="21"/>
          <w:lang w:eastAsia="zh-CN"/>
        </w:rPr>
        <w:t>年“八一”期间走访慰问退役军人</w:t>
      </w:r>
      <w:r>
        <w:rPr>
          <w:rFonts w:hint="default" w:ascii="Times New Roman" w:hAnsi="Times New Roman" w:eastAsia="仿宋_GB2312" w:cs="Times New Roman"/>
          <w:sz w:val="32"/>
          <w:szCs w:val="21"/>
          <w:lang w:val="en-US" w:eastAsia="zh-CN"/>
        </w:rPr>
        <w:t>、</w:t>
      </w:r>
      <w:r>
        <w:rPr>
          <w:rFonts w:hint="default" w:ascii="Times New Roman" w:hAnsi="Times New Roman" w:eastAsia="仿宋_GB2312" w:cs="Times New Roman"/>
          <w:sz w:val="32"/>
          <w:szCs w:val="21"/>
          <w:lang w:eastAsia="zh-CN"/>
        </w:rPr>
        <w:t>优抚对象</w:t>
      </w:r>
      <w:r>
        <w:rPr>
          <w:rFonts w:hint="default" w:ascii="Times New Roman" w:hAnsi="Times New Roman" w:eastAsia="仿宋_GB2312" w:cs="Times New Roman"/>
          <w:sz w:val="32"/>
          <w:szCs w:val="21"/>
          <w:lang w:val="en-US" w:eastAsia="zh-CN"/>
        </w:rPr>
        <w:t>和部队官兵</w:t>
      </w:r>
      <w:r>
        <w:rPr>
          <w:rFonts w:hint="default" w:ascii="Times New Roman" w:hAnsi="Times New Roman" w:eastAsia="仿宋_GB2312" w:cs="Times New Roman"/>
          <w:sz w:val="32"/>
          <w:szCs w:val="21"/>
          <w:lang w:eastAsia="zh-CN"/>
        </w:rPr>
        <w:t>的通知》（遂拥办〔202</w:t>
      </w:r>
      <w:r>
        <w:rPr>
          <w:rFonts w:hint="default" w:ascii="Times New Roman" w:hAnsi="Times New Roman" w:eastAsia="仿宋_GB2312" w:cs="Times New Roman"/>
          <w:sz w:val="32"/>
          <w:szCs w:val="21"/>
          <w:lang w:val="en-US" w:eastAsia="zh-CN"/>
        </w:rPr>
        <w:t>2</w:t>
      </w:r>
      <w:r>
        <w:rPr>
          <w:rFonts w:hint="default" w:ascii="Times New Roman" w:hAnsi="Times New Roman" w:eastAsia="仿宋_GB2312" w:cs="Times New Roman"/>
          <w:sz w:val="32"/>
          <w:szCs w:val="21"/>
          <w:lang w:eastAsia="zh-CN"/>
        </w:rPr>
        <w:t>〕</w:t>
      </w:r>
      <w:r>
        <w:rPr>
          <w:rFonts w:hint="default" w:ascii="Times New Roman" w:hAnsi="Times New Roman" w:eastAsia="仿宋_GB2312" w:cs="Times New Roman"/>
          <w:sz w:val="32"/>
          <w:szCs w:val="21"/>
          <w:lang w:val="en-US" w:eastAsia="zh-CN"/>
        </w:rPr>
        <w:t>8</w:t>
      </w:r>
      <w:r>
        <w:rPr>
          <w:rFonts w:hint="default" w:ascii="Times New Roman" w:hAnsi="Times New Roman" w:eastAsia="仿宋_GB2312" w:cs="Times New Roman"/>
          <w:sz w:val="32"/>
          <w:szCs w:val="21"/>
          <w:lang w:eastAsia="zh-CN"/>
        </w:rPr>
        <w:t>号）</w:t>
      </w:r>
      <w:r>
        <w:rPr>
          <w:rFonts w:hint="default" w:ascii="Times New Roman" w:hAnsi="Times New Roman" w:eastAsia="仿宋_GB2312" w:cs="Times New Roman"/>
          <w:sz w:val="32"/>
          <w:szCs w:val="21"/>
          <w:lang w:val="en-US" w:eastAsia="zh-CN"/>
        </w:rPr>
        <w:t>文件要求及遂宁高新区202</w:t>
      </w:r>
      <w:r>
        <w:rPr>
          <w:rFonts w:hint="default" w:ascii="Times New Roman" w:hAnsi="Times New Roman" w:eastAsia="仿宋_GB2312" w:cs="Times New Roman"/>
          <w:sz w:val="32"/>
          <w:szCs w:val="21"/>
          <w:lang w:val="en-US" w:eastAsia="zh-CN"/>
        </w:rPr>
        <w:t>2</w:t>
      </w:r>
      <w:r>
        <w:rPr>
          <w:rFonts w:hint="default" w:ascii="Times New Roman" w:hAnsi="Times New Roman" w:eastAsia="仿宋_GB2312" w:cs="Times New Roman"/>
          <w:sz w:val="32"/>
          <w:szCs w:val="21"/>
          <w:lang w:val="en-US" w:eastAsia="zh-CN"/>
        </w:rPr>
        <w:t>年“八一”</w:t>
      </w:r>
      <w:r>
        <w:rPr>
          <w:rFonts w:hint="default" w:ascii="Times New Roman" w:hAnsi="Times New Roman" w:eastAsia="仿宋_GB2312" w:cs="Times New Roman"/>
          <w:sz w:val="32"/>
          <w:szCs w:val="21"/>
          <w:lang w:val="en-US" w:eastAsia="zh-CN"/>
        </w:rPr>
        <w:t>期间走访慰问</w:t>
      </w:r>
      <w:r>
        <w:rPr>
          <w:rFonts w:hint="default" w:ascii="Times New Roman" w:hAnsi="Times New Roman" w:eastAsia="仿宋_GB2312" w:cs="Times New Roman"/>
          <w:sz w:val="32"/>
          <w:szCs w:val="21"/>
          <w:lang w:val="en-US" w:eastAsia="zh-CN"/>
        </w:rPr>
        <w:t>活动方案</w:t>
      </w:r>
      <w:r>
        <w:rPr>
          <w:rFonts w:hint="default" w:ascii="Times New Roman" w:hAnsi="Times New Roman" w:eastAsia="仿宋_GB2312" w:cs="Times New Roman"/>
          <w:sz w:val="32"/>
          <w:szCs w:val="21"/>
          <w:lang w:val="en-US" w:eastAsia="zh-CN"/>
        </w:rPr>
        <w:t>要求执行</w:t>
      </w:r>
      <w:r>
        <w:rPr>
          <w:rFonts w:hint="default" w:ascii="Times New Roman" w:hAnsi="Times New Roman" w:eastAsia="仿宋_GB2312" w:cs="Times New Roman"/>
          <w:b w:val="0"/>
          <w:bCs w:val="0"/>
          <w:sz w:val="32"/>
          <w:szCs w:val="21"/>
          <w:lang w:val="en-US" w:eastAsia="zh-CN"/>
        </w:rPr>
        <w:t>。</w:t>
      </w:r>
    </w:p>
    <w:p w14:paraId="51C13A42">
      <w:pPr>
        <w:numPr>
          <w:ilvl w:val="0"/>
          <w:numId w:val="0"/>
        </w:numPr>
        <w:suppressAutoHyphens/>
        <w:bidi w:val="0"/>
        <w:adjustRightInd w:val="0"/>
        <w:snapToGrid w:val="0"/>
        <w:spacing w:line="590" w:lineRule="exact"/>
        <w:ind w:firstLine="640" w:firstLineChars="200"/>
        <w:rPr>
          <w:rFonts w:hint="default" w:ascii="Times New Roman" w:hAnsi="Times New Roman" w:eastAsia="仿宋_GB2312" w:cs="Times New Roman"/>
          <w:color w:val="000000"/>
          <w:sz w:val="32"/>
          <w:lang w:val="zh-CN"/>
        </w:rPr>
      </w:pPr>
      <w:r>
        <w:rPr>
          <w:rFonts w:hint="default" w:ascii="Times New Roman" w:hAnsi="Times New Roman" w:eastAsia="仿宋_GB2312" w:cs="Times New Roman"/>
          <w:color w:val="000000"/>
          <w:sz w:val="32"/>
          <w:lang w:val="en-US" w:eastAsia="zh-CN"/>
        </w:rPr>
        <w:t>3.</w:t>
      </w:r>
      <w:r>
        <w:rPr>
          <w:rFonts w:hint="default" w:ascii="Times New Roman" w:hAnsi="Times New Roman" w:eastAsia="仿宋_GB2312" w:cs="Times New Roman"/>
          <w:color w:val="000000"/>
          <w:sz w:val="32"/>
          <w:lang w:val="zh-CN"/>
        </w:rPr>
        <w:t>资金管理办法制定情况，资金支持具体项目的条件、范围与支持方式概况。</w:t>
      </w:r>
    </w:p>
    <w:p w14:paraId="55FE2ADA">
      <w:pPr>
        <w:numPr>
          <w:ilvl w:val="0"/>
          <w:numId w:val="0"/>
        </w:numPr>
        <w:suppressAutoHyphens/>
        <w:bidi w:val="0"/>
        <w:adjustRightInd w:val="0"/>
        <w:snapToGrid w:val="0"/>
        <w:spacing w:line="590" w:lineRule="exact"/>
        <w:ind w:firstLine="640" w:firstLineChars="200"/>
        <w:rPr>
          <w:rFonts w:hint="default" w:ascii="Times New Roman" w:hAnsi="Times New Roman" w:eastAsia="仿宋_GB2312" w:cs="Times New Roman"/>
          <w:color w:val="FF0000"/>
          <w:sz w:val="32"/>
          <w:lang w:val="en-US" w:eastAsia="zh-CN"/>
        </w:rPr>
      </w:pPr>
      <w:r>
        <w:rPr>
          <w:rFonts w:hint="default" w:ascii="Times New Roman" w:hAnsi="Times New Roman" w:eastAsia="仿宋_GB2312" w:cs="Times New Roman"/>
          <w:color w:val="000000"/>
          <w:sz w:val="32"/>
          <w:lang w:val="en-US" w:eastAsia="zh-CN"/>
        </w:rPr>
        <w:t>严格财政金融局资金管理办法进行资金管理，按照文件要求和人员人数进行资金拨付。</w:t>
      </w:r>
    </w:p>
    <w:p w14:paraId="161547E7">
      <w:pPr>
        <w:suppressAutoHyphens/>
        <w:bidi w:val="0"/>
        <w:adjustRightInd w:val="0"/>
        <w:snapToGrid w:val="0"/>
        <w:spacing w:line="590" w:lineRule="exact"/>
        <w:ind w:firstLine="640" w:firstLineChars="200"/>
        <w:rPr>
          <w:rFonts w:hint="default" w:ascii="Times New Roman" w:hAnsi="Times New Roman" w:eastAsia="仿宋_GB2312" w:cs="Times New Roman"/>
          <w:color w:val="000000"/>
          <w:sz w:val="32"/>
          <w:lang w:val="zh-CN"/>
        </w:rPr>
      </w:pPr>
      <w:r>
        <w:rPr>
          <w:rFonts w:hint="default" w:ascii="Times New Roman" w:hAnsi="Times New Roman" w:eastAsia="仿宋_GB2312" w:cs="Times New Roman"/>
          <w:color w:val="000000"/>
          <w:sz w:val="32"/>
          <w:lang w:val="zh-CN"/>
        </w:rPr>
        <w:t>4</w:t>
      </w:r>
      <w:r>
        <w:rPr>
          <w:rFonts w:hint="default" w:ascii="Times New Roman" w:hAnsi="Times New Roman" w:eastAsia="仿宋_GB2312" w:cs="Times New Roman"/>
          <w:color w:val="000000"/>
          <w:sz w:val="32"/>
          <w:lang w:val="zh-CN"/>
        </w:rPr>
        <w:t xml:space="preserve">. </w:t>
      </w:r>
      <w:r>
        <w:rPr>
          <w:rFonts w:hint="default" w:ascii="Times New Roman" w:hAnsi="Times New Roman" w:eastAsia="仿宋_GB2312" w:cs="Times New Roman"/>
          <w:color w:val="000000"/>
          <w:sz w:val="32"/>
          <w:lang w:val="zh-CN"/>
        </w:rPr>
        <w:t>资金分配的原则及考虑因素。</w:t>
      </w:r>
    </w:p>
    <w:p w14:paraId="1C942955">
      <w:pPr>
        <w:suppressAutoHyphens/>
        <w:bidi w:val="0"/>
        <w:adjustRightInd w:val="0"/>
        <w:snapToGrid w:val="0"/>
        <w:spacing w:line="590" w:lineRule="exact"/>
        <w:ind w:firstLine="640" w:firstLineChars="200"/>
        <w:rPr>
          <w:rFonts w:hint="default" w:ascii="Times New Roman" w:hAnsi="Times New Roman" w:eastAsia="仿宋_GB2312" w:cs="Times New Roman"/>
          <w:color w:val="FF0000"/>
          <w:sz w:val="32"/>
          <w:lang w:val="zh-CN"/>
        </w:rPr>
      </w:pPr>
      <w:r>
        <w:rPr>
          <w:rFonts w:hint="default" w:ascii="Times New Roman" w:hAnsi="Times New Roman" w:eastAsia="仿宋_GB2312" w:cs="Times New Roman"/>
          <w:sz w:val="32"/>
          <w:szCs w:val="32"/>
          <w:lang w:eastAsia="zh-CN"/>
        </w:rPr>
        <w:t>该项目资金计划据实申报，</w:t>
      </w:r>
      <w:r>
        <w:rPr>
          <w:rFonts w:hint="default" w:ascii="Times New Roman" w:hAnsi="Times New Roman" w:eastAsia="仿宋_GB2312" w:cs="Times New Roman"/>
          <w:sz w:val="32"/>
          <w:szCs w:val="32"/>
          <w:lang w:val="en-US" w:eastAsia="zh-CN"/>
        </w:rPr>
        <w:t>财政金融局按照标准</w:t>
      </w:r>
      <w:r>
        <w:rPr>
          <w:rFonts w:hint="default" w:ascii="Times New Roman" w:hAnsi="Times New Roman" w:eastAsia="仿宋_GB2312" w:cs="Times New Roman"/>
          <w:sz w:val="32"/>
          <w:szCs w:val="32"/>
          <w:lang w:eastAsia="zh-CN"/>
        </w:rPr>
        <w:t>严格</w:t>
      </w:r>
      <w:r>
        <w:rPr>
          <w:rFonts w:hint="default" w:ascii="Times New Roman" w:hAnsi="Times New Roman" w:eastAsia="仿宋_GB2312" w:cs="Times New Roman"/>
          <w:sz w:val="32"/>
          <w:szCs w:val="32"/>
          <w:lang w:val="en-US" w:eastAsia="zh-CN"/>
        </w:rPr>
        <w:t>审核通过。</w:t>
      </w:r>
    </w:p>
    <w:p w14:paraId="2F6D5CFB">
      <w:pPr>
        <w:suppressAutoHyphens/>
        <w:bidi w:val="0"/>
        <w:adjustRightInd w:val="0"/>
        <w:snapToGrid w:val="0"/>
        <w:spacing w:line="590" w:lineRule="exact"/>
        <w:ind w:firstLine="643" w:firstLineChars="200"/>
        <w:rPr>
          <w:rFonts w:hint="default" w:ascii="Times New Roman" w:hAnsi="Times New Roman" w:eastAsia="楷体_GB2312" w:cs="Times New Roman"/>
          <w:b/>
          <w:sz w:val="32"/>
          <w:lang w:val="zh-CN"/>
        </w:rPr>
      </w:pPr>
      <w:r>
        <w:rPr>
          <w:rFonts w:hint="default" w:ascii="Times New Roman" w:hAnsi="Times New Roman" w:eastAsia="楷体_GB2312" w:cs="Times New Roman"/>
          <w:b/>
          <w:sz w:val="32"/>
          <w:lang w:val="zh-CN"/>
        </w:rPr>
        <w:t>（二）项目绩效目标</w:t>
      </w:r>
    </w:p>
    <w:p w14:paraId="49DC70B5">
      <w:pPr>
        <w:suppressAutoHyphens/>
        <w:bidi w:val="0"/>
        <w:adjustRightInd w:val="0"/>
        <w:snapToGrid w:val="0"/>
        <w:spacing w:line="590" w:lineRule="exact"/>
        <w:ind w:firstLine="640" w:firstLineChars="200"/>
        <w:rPr>
          <w:rFonts w:hint="default" w:ascii="Times New Roman" w:hAnsi="Times New Roman" w:eastAsia="仿宋_GB2312" w:cs="Times New Roman"/>
          <w:color w:val="000000"/>
          <w:sz w:val="32"/>
          <w:lang w:val="zh-CN"/>
        </w:rPr>
      </w:pPr>
      <w:r>
        <w:rPr>
          <w:rFonts w:hint="default" w:ascii="Times New Roman" w:hAnsi="Times New Roman" w:eastAsia="仿宋_GB2312" w:cs="Times New Roman"/>
          <w:color w:val="000000"/>
          <w:sz w:val="32"/>
          <w:lang w:val="zh-CN"/>
        </w:rPr>
        <w:t>1</w:t>
      </w:r>
      <w:r>
        <w:rPr>
          <w:rFonts w:hint="default" w:ascii="Times New Roman" w:hAnsi="Times New Roman" w:eastAsia="仿宋_GB2312" w:cs="Times New Roman"/>
          <w:color w:val="000000"/>
          <w:sz w:val="32"/>
          <w:lang w:val="zh-CN"/>
        </w:rPr>
        <w:t xml:space="preserve">. </w:t>
      </w:r>
      <w:r>
        <w:rPr>
          <w:rFonts w:hint="default" w:ascii="Times New Roman" w:hAnsi="Times New Roman" w:eastAsia="仿宋_GB2312" w:cs="Times New Roman"/>
          <w:color w:val="000000"/>
          <w:sz w:val="32"/>
          <w:lang w:val="zh-CN"/>
        </w:rPr>
        <w:t>项目主要内容。</w:t>
      </w:r>
    </w:p>
    <w:p w14:paraId="760392BF">
      <w:pPr>
        <w:keepNext w:val="0"/>
        <w:keepLines w:val="0"/>
        <w:pageBreakBefore w:val="0"/>
        <w:widowControl w:val="0"/>
        <w:numPr>
          <w:ilvl w:val="0"/>
          <w:numId w:val="0"/>
        </w:numPr>
        <w:suppressAutoHyphens/>
        <w:kinsoku/>
        <w:wordWrap/>
        <w:overflowPunct/>
        <w:topLinePunct w:val="0"/>
        <w:autoSpaceDE/>
        <w:autoSpaceDN/>
        <w:bidi w:val="0"/>
        <w:adjustRightInd/>
        <w:snapToGrid w:val="0"/>
        <w:spacing w:line="600" w:lineRule="exact"/>
        <w:ind w:firstLine="640" w:firstLineChars="200"/>
        <w:textAlignment w:val="auto"/>
        <w:outlineLvl w:val="9"/>
        <w:rPr>
          <w:rFonts w:hint="default" w:ascii="Times New Roman" w:hAnsi="Times New Roman" w:eastAsia="仿宋_GB2312" w:cs="Times New Roman"/>
          <w:b w:val="0"/>
          <w:bCs w:val="0"/>
          <w:sz w:val="32"/>
          <w:szCs w:val="21"/>
          <w:lang w:val="en-US" w:eastAsia="zh-CN"/>
        </w:rPr>
      </w:pPr>
      <w:r>
        <w:rPr>
          <w:rFonts w:hint="default" w:ascii="Times New Roman" w:hAnsi="Times New Roman" w:eastAsia="仿宋_GB2312" w:cs="Times New Roman"/>
          <w:b w:val="0"/>
          <w:bCs w:val="0"/>
          <w:sz w:val="32"/>
          <w:szCs w:val="21"/>
          <w:lang w:val="en-US" w:eastAsia="zh-CN"/>
        </w:rPr>
        <w:t>通过项目实施，</w:t>
      </w:r>
      <w:r>
        <w:rPr>
          <w:rFonts w:hint="default" w:ascii="Times New Roman" w:hAnsi="Times New Roman" w:eastAsia="仿宋_GB2312" w:cs="Times New Roman"/>
          <w:color w:val="000000"/>
          <w:kern w:val="0"/>
          <w:sz w:val="32"/>
          <w:szCs w:val="32"/>
        </w:rPr>
        <w:t>体现了党和国家对现役军人、退役军人及其他优抚对象的关心、关爱，形成了良好的社会</w:t>
      </w:r>
      <w:r>
        <w:rPr>
          <w:rFonts w:hint="default" w:ascii="Times New Roman" w:hAnsi="Times New Roman" w:eastAsia="仿宋_GB2312" w:cs="Times New Roman"/>
          <w:color w:val="000000"/>
          <w:kern w:val="0"/>
          <w:sz w:val="32"/>
          <w:szCs w:val="32"/>
          <w:lang w:eastAsia="zh-CN"/>
        </w:rPr>
        <w:t>拥军</w:t>
      </w:r>
      <w:r>
        <w:rPr>
          <w:rFonts w:hint="default" w:ascii="Times New Roman" w:hAnsi="Times New Roman" w:eastAsia="仿宋_GB2312" w:cs="Times New Roman"/>
          <w:color w:val="000000"/>
          <w:kern w:val="0"/>
          <w:sz w:val="32"/>
          <w:szCs w:val="32"/>
        </w:rPr>
        <w:t>氛围。</w:t>
      </w:r>
    </w:p>
    <w:p w14:paraId="2B3C57CA">
      <w:pPr>
        <w:numPr>
          <w:ilvl w:val="0"/>
          <w:numId w:val="0"/>
        </w:numPr>
        <w:suppressAutoHyphens/>
        <w:bidi w:val="0"/>
        <w:adjustRightInd w:val="0"/>
        <w:snapToGrid w:val="0"/>
        <w:spacing w:line="590" w:lineRule="exact"/>
        <w:ind w:firstLine="640" w:firstLineChars="200"/>
        <w:rPr>
          <w:rFonts w:hint="default" w:ascii="Times New Roman" w:hAnsi="Times New Roman" w:eastAsia="仿宋_GB2312" w:cs="Times New Roman"/>
          <w:color w:val="000000"/>
          <w:sz w:val="32"/>
          <w:lang w:val="zh-CN"/>
        </w:rPr>
      </w:pPr>
      <w:r>
        <w:rPr>
          <w:rFonts w:hint="default" w:ascii="Times New Roman" w:hAnsi="Times New Roman" w:eastAsia="仿宋_GB2312" w:cs="Times New Roman"/>
          <w:color w:val="000000"/>
          <w:sz w:val="32"/>
          <w:lang w:val="en-US" w:eastAsia="zh-CN"/>
        </w:rPr>
        <w:t>2.</w:t>
      </w:r>
      <w:r>
        <w:rPr>
          <w:rFonts w:hint="default" w:ascii="Times New Roman" w:hAnsi="Times New Roman" w:eastAsia="仿宋_GB2312" w:cs="Times New Roman"/>
          <w:color w:val="000000"/>
          <w:sz w:val="32"/>
          <w:lang w:val="zh-CN"/>
        </w:rPr>
        <w:t>项目应实现的具体绩效目标，包括目标的量化、细化情况以及项目实施进度计划等。</w:t>
      </w:r>
    </w:p>
    <w:p w14:paraId="24C878BE">
      <w:pPr>
        <w:widowControl w:val="0"/>
        <w:spacing w:line="560" w:lineRule="exact"/>
        <w:ind w:firstLine="640" w:firstLineChars="200"/>
        <w:jc w:val="both"/>
        <w:rPr>
          <w:rFonts w:hint="default" w:ascii="Times New Roman" w:hAnsi="Times New Roman" w:eastAsia="仿宋_GB2312" w:cs="Times New Roman"/>
          <w:b w:val="0"/>
          <w:bCs w:val="0"/>
          <w:snapToGrid w:val="0"/>
          <w:color w:val="000000"/>
          <w:spacing w:val="0"/>
          <w:kern w:val="0"/>
          <w:position w:val="0"/>
          <w:sz w:val="32"/>
          <w:szCs w:val="32"/>
          <w:lang w:val="en-US" w:eastAsia="zh-CN" w:bidi="ar-SA"/>
        </w:rPr>
      </w:pPr>
      <w:r>
        <w:rPr>
          <w:rFonts w:hint="default" w:ascii="Times New Roman" w:hAnsi="Times New Roman" w:eastAsia="仿宋_GB2312" w:cs="Times New Roman"/>
          <w:b w:val="0"/>
          <w:bCs w:val="0"/>
          <w:snapToGrid w:val="0"/>
          <w:color w:val="000000"/>
          <w:spacing w:val="0"/>
          <w:kern w:val="0"/>
          <w:position w:val="0"/>
          <w:sz w:val="32"/>
          <w:szCs w:val="32"/>
          <w:lang w:val="en-US" w:eastAsia="zh-CN" w:bidi="ar-SA"/>
        </w:rPr>
        <w:t>项目实施按要求报审后，进行实施</w:t>
      </w:r>
      <w:r>
        <w:rPr>
          <w:rFonts w:hint="default" w:ascii="Times New Roman" w:hAnsi="Times New Roman" w:eastAsia="仿宋_GB2312" w:cs="Times New Roman"/>
          <w:b w:val="0"/>
          <w:bCs w:val="0"/>
          <w:snapToGrid w:val="0"/>
          <w:color w:val="000000"/>
          <w:spacing w:val="0"/>
          <w:kern w:val="0"/>
          <w:position w:val="0"/>
          <w:sz w:val="32"/>
          <w:szCs w:val="32"/>
          <w:lang w:val="en-US" w:eastAsia="zh-CN" w:bidi="ar-SA"/>
        </w:rPr>
        <w:t>。</w:t>
      </w:r>
      <w:r>
        <w:rPr>
          <w:rFonts w:hint="default" w:ascii="Times New Roman" w:hAnsi="Times New Roman" w:eastAsia="仿宋_GB2312" w:cs="Times New Roman"/>
          <w:b w:val="0"/>
          <w:bCs w:val="0"/>
          <w:snapToGrid w:val="0"/>
          <w:color w:val="000000"/>
          <w:spacing w:val="0"/>
          <w:kern w:val="0"/>
          <w:position w:val="0"/>
          <w:sz w:val="32"/>
          <w:szCs w:val="32"/>
          <w:lang w:val="en-US" w:eastAsia="zh-CN" w:bidi="ar-SA"/>
        </w:rPr>
        <w:t>拨付保升镇9.99万元</w:t>
      </w:r>
      <w:r>
        <w:rPr>
          <w:rFonts w:hint="default" w:ascii="Times New Roman" w:hAnsi="Times New Roman" w:eastAsia="仿宋_GB2312" w:cs="Times New Roman"/>
          <w:b w:val="0"/>
          <w:bCs w:val="0"/>
          <w:snapToGrid w:val="0"/>
          <w:color w:val="000000"/>
          <w:spacing w:val="0"/>
          <w:kern w:val="0"/>
          <w:position w:val="0"/>
          <w:sz w:val="32"/>
          <w:szCs w:val="32"/>
          <w:lang w:val="en-US" w:eastAsia="zh-CN" w:bidi="ar-SA"/>
        </w:rPr>
        <w:t>，</w:t>
      </w:r>
      <w:r>
        <w:rPr>
          <w:rFonts w:hint="default" w:ascii="Times New Roman" w:hAnsi="Times New Roman" w:eastAsia="仿宋_GB2312" w:cs="Times New Roman"/>
          <w:b w:val="0"/>
          <w:bCs w:val="0"/>
          <w:snapToGrid w:val="0"/>
          <w:color w:val="000000"/>
          <w:spacing w:val="0"/>
          <w:kern w:val="0"/>
          <w:position w:val="0"/>
          <w:sz w:val="32"/>
          <w:szCs w:val="32"/>
          <w:lang w:val="en-US" w:eastAsia="zh-CN" w:bidi="ar-SA"/>
        </w:rPr>
        <w:t>西宁街道6.71万元，慰问船山武装部1万元，和慰问抗美援朝老战士及座谈费用等，共18.57</w:t>
      </w:r>
      <w:r>
        <w:rPr>
          <w:rFonts w:hint="default" w:ascii="Times New Roman" w:hAnsi="Times New Roman" w:eastAsia="仿宋_GB2312" w:cs="Times New Roman"/>
          <w:b w:val="0"/>
          <w:bCs w:val="0"/>
          <w:snapToGrid w:val="0"/>
          <w:color w:val="000000"/>
          <w:spacing w:val="0"/>
          <w:kern w:val="0"/>
          <w:position w:val="0"/>
          <w:sz w:val="32"/>
          <w:szCs w:val="32"/>
          <w:lang w:val="en-US" w:eastAsia="zh-CN" w:bidi="ar-SA"/>
        </w:rPr>
        <w:t>万元，</w:t>
      </w:r>
      <w:r>
        <w:rPr>
          <w:rFonts w:hint="default" w:ascii="Times New Roman" w:hAnsi="Times New Roman" w:eastAsia="仿宋_GB2312" w:cs="Times New Roman"/>
          <w:b w:val="0"/>
          <w:bCs w:val="0"/>
          <w:snapToGrid w:val="0"/>
          <w:color w:val="000000"/>
          <w:spacing w:val="0"/>
          <w:kern w:val="0"/>
          <w:position w:val="0"/>
          <w:sz w:val="32"/>
          <w:szCs w:val="32"/>
          <w:lang w:val="en-US" w:eastAsia="zh-CN" w:bidi="ar-SA"/>
        </w:rPr>
        <w:t>都已</w:t>
      </w:r>
      <w:r>
        <w:rPr>
          <w:rFonts w:hint="default" w:ascii="Times New Roman" w:hAnsi="Times New Roman" w:eastAsia="仿宋_GB2312" w:cs="Times New Roman"/>
          <w:b w:val="0"/>
          <w:bCs w:val="0"/>
          <w:snapToGrid w:val="0"/>
          <w:color w:val="000000"/>
          <w:spacing w:val="0"/>
          <w:kern w:val="0"/>
          <w:position w:val="0"/>
          <w:sz w:val="32"/>
          <w:szCs w:val="32"/>
          <w:lang w:val="en-US" w:eastAsia="zh-CN" w:bidi="ar-SA"/>
        </w:rPr>
        <w:t>按实际金额</w:t>
      </w:r>
      <w:r>
        <w:rPr>
          <w:rFonts w:hint="default" w:ascii="Times New Roman" w:hAnsi="Times New Roman" w:eastAsia="仿宋_GB2312" w:cs="Times New Roman"/>
          <w:b w:val="0"/>
          <w:bCs w:val="0"/>
          <w:snapToGrid w:val="0"/>
          <w:color w:val="000000"/>
          <w:spacing w:val="0"/>
          <w:kern w:val="0"/>
          <w:position w:val="0"/>
          <w:sz w:val="32"/>
          <w:szCs w:val="32"/>
          <w:lang w:val="en-US" w:eastAsia="zh-CN" w:bidi="ar-SA"/>
        </w:rPr>
        <w:t>进行</w:t>
      </w:r>
      <w:r>
        <w:rPr>
          <w:rFonts w:hint="default" w:ascii="Times New Roman" w:hAnsi="Times New Roman" w:eastAsia="仿宋_GB2312" w:cs="Times New Roman"/>
          <w:b w:val="0"/>
          <w:bCs w:val="0"/>
          <w:snapToGrid w:val="0"/>
          <w:color w:val="000000"/>
          <w:spacing w:val="0"/>
          <w:kern w:val="0"/>
          <w:position w:val="0"/>
          <w:sz w:val="32"/>
          <w:szCs w:val="32"/>
          <w:lang w:val="en-US" w:eastAsia="zh-CN" w:bidi="ar-SA"/>
        </w:rPr>
        <w:t>支付。</w:t>
      </w:r>
    </w:p>
    <w:p w14:paraId="04FFCEBB">
      <w:pPr>
        <w:suppressAutoHyphens/>
        <w:bidi w:val="0"/>
        <w:adjustRightInd w:val="0"/>
        <w:snapToGrid w:val="0"/>
        <w:spacing w:line="590" w:lineRule="exact"/>
        <w:ind w:firstLine="640" w:firstLineChars="200"/>
        <w:rPr>
          <w:rFonts w:hint="default" w:ascii="Times New Roman" w:hAnsi="Times New Roman" w:eastAsia="仿宋_GB2312" w:cs="Times New Roman"/>
          <w:color w:val="000000"/>
          <w:spacing w:val="-5"/>
          <w:sz w:val="32"/>
          <w:lang w:val="zh-CN"/>
        </w:rPr>
      </w:pPr>
      <w:r>
        <w:rPr>
          <w:rFonts w:hint="default" w:ascii="Times New Roman" w:hAnsi="Times New Roman" w:eastAsia="仿宋_GB2312" w:cs="Times New Roman"/>
          <w:sz w:val="32"/>
          <w:lang w:val="zh-CN"/>
        </w:rPr>
        <w:t>3</w:t>
      </w:r>
      <w:r>
        <w:rPr>
          <w:rFonts w:hint="default" w:ascii="Times New Roman" w:hAnsi="Times New Roman" w:eastAsia="仿宋_GB2312" w:cs="Times New Roman"/>
          <w:sz w:val="32"/>
          <w:lang w:val="zh-CN"/>
        </w:rPr>
        <w:t xml:space="preserve">. </w:t>
      </w:r>
      <w:r>
        <w:rPr>
          <w:rFonts w:hint="default" w:ascii="Times New Roman" w:hAnsi="Times New Roman" w:eastAsia="仿宋_GB2312" w:cs="Times New Roman"/>
          <w:color w:val="000000"/>
          <w:spacing w:val="-5"/>
          <w:sz w:val="32"/>
          <w:lang w:val="zh-CN"/>
        </w:rPr>
        <w:t>分析评价申报内容是否与实际相符，申报目标是否合理可行。</w:t>
      </w:r>
    </w:p>
    <w:p w14:paraId="74C68ECB">
      <w:pPr>
        <w:suppressAutoHyphens/>
        <w:bidi w:val="0"/>
        <w:adjustRightInd w:val="0"/>
        <w:snapToGrid w:val="0"/>
        <w:spacing w:line="590" w:lineRule="exact"/>
        <w:ind w:firstLine="640" w:firstLineChars="200"/>
        <w:rPr>
          <w:rFonts w:hint="default" w:ascii="Times New Roman" w:hAnsi="Times New Roman" w:eastAsia="楷体_GB2312" w:cs="Times New Roman"/>
          <w:b/>
          <w:sz w:val="32"/>
          <w:lang w:val="zh-CN"/>
        </w:rPr>
      </w:pPr>
      <w:r>
        <w:rPr>
          <w:rFonts w:hint="default" w:ascii="Times New Roman" w:hAnsi="Times New Roman" w:eastAsia="仿宋_GB2312" w:cs="Times New Roman"/>
          <w:b w:val="0"/>
          <w:bCs w:val="0"/>
          <w:snapToGrid w:val="0"/>
          <w:color w:val="000000"/>
          <w:spacing w:val="0"/>
          <w:kern w:val="0"/>
          <w:position w:val="0"/>
          <w:sz w:val="32"/>
          <w:szCs w:val="32"/>
          <w:lang w:val="en-US" w:eastAsia="zh-CN"/>
        </w:rPr>
        <w:t>中心</w:t>
      </w:r>
      <w:r>
        <w:rPr>
          <w:rFonts w:hint="default" w:ascii="Times New Roman" w:hAnsi="Times New Roman" w:eastAsia="仿宋_GB2312" w:cs="Times New Roman"/>
          <w:b w:val="0"/>
          <w:bCs w:val="0"/>
          <w:snapToGrid w:val="0"/>
          <w:color w:val="000000"/>
          <w:spacing w:val="0"/>
          <w:kern w:val="0"/>
          <w:position w:val="0"/>
          <w:sz w:val="32"/>
          <w:szCs w:val="32"/>
          <w:lang w:val="en-US" w:eastAsia="zh-CN"/>
        </w:rPr>
        <w:t>充分考虑了项目的实际情况，确保</w:t>
      </w:r>
      <w:r>
        <w:rPr>
          <w:rFonts w:hint="default" w:ascii="Times New Roman" w:hAnsi="Times New Roman" w:eastAsia="仿宋_GB2312" w:cs="Times New Roman"/>
          <w:b w:val="0"/>
          <w:bCs w:val="0"/>
          <w:snapToGrid w:val="0"/>
          <w:color w:val="000000"/>
          <w:spacing w:val="0"/>
          <w:kern w:val="0"/>
          <w:position w:val="0"/>
          <w:sz w:val="32"/>
          <w:szCs w:val="32"/>
          <w:lang w:val="en-US" w:eastAsia="zh-CN"/>
        </w:rPr>
        <w:t>申报</w:t>
      </w:r>
      <w:r>
        <w:rPr>
          <w:rFonts w:hint="default" w:ascii="Times New Roman" w:hAnsi="Times New Roman" w:eastAsia="仿宋_GB2312" w:cs="Times New Roman"/>
          <w:b w:val="0"/>
          <w:bCs w:val="0"/>
          <w:snapToGrid w:val="0"/>
          <w:color w:val="000000"/>
          <w:spacing w:val="0"/>
          <w:kern w:val="0"/>
          <w:position w:val="0"/>
          <w:sz w:val="32"/>
          <w:szCs w:val="32"/>
          <w:lang w:val="en-US" w:eastAsia="zh-CN"/>
        </w:rPr>
        <w:t>目标的合理性和可行性。</w:t>
      </w:r>
      <w:r>
        <w:rPr>
          <w:rFonts w:hint="default" w:ascii="Times New Roman" w:hAnsi="Times New Roman" w:eastAsia="仿宋" w:cs="Times New Roman"/>
          <w:snapToGrid w:val="0"/>
          <w:color w:val="000000"/>
          <w:spacing w:val="0"/>
          <w:kern w:val="0"/>
          <w:position w:val="0"/>
          <w:sz w:val="32"/>
          <w:szCs w:val="32"/>
          <w:lang w:val="en-US" w:eastAsia="zh-CN"/>
        </w:rPr>
        <w:br w:type="textWrapping"/>
      </w:r>
      <w:r>
        <w:rPr>
          <w:rFonts w:hint="default" w:ascii="Times New Roman" w:hAnsi="Times New Roman" w:eastAsia="仿宋" w:cs="Times New Roman"/>
          <w:snapToGrid w:val="0"/>
          <w:color w:val="000000"/>
          <w:spacing w:val="0"/>
          <w:kern w:val="0"/>
          <w:position w:val="0"/>
          <w:sz w:val="32"/>
          <w:szCs w:val="32"/>
          <w:lang w:val="en-US" w:eastAsia="zh-CN"/>
        </w:rPr>
        <w:t xml:space="preserve">   </w:t>
      </w:r>
      <w:r>
        <w:rPr>
          <w:rFonts w:hint="default" w:ascii="Times New Roman" w:hAnsi="Times New Roman" w:eastAsia="楷体_GB2312" w:cs="Times New Roman"/>
          <w:b/>
          <w:sz w:val="32"/>
          <w:lang w:val="zh-CN"/>
        </w:rPr>
        <w:t>（三）项目自评步骤及方法</w:t>
      </w:r>
    </w:p>
    <w:p w14:paraId="6095E5CC">
      <w:pPr>
        <w:suppressAutoHyphens/>
        <w:bidi w:val="0"/>
        <w:adjustRightInd w:val="0"/>
        <w:snapToGrid w:val="0"/>
        <w:spacing w:line="590" w:lineRule="exact"/>
        <w:ind w:firstLine="640" w:firstLineChars="200"/>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中心对项目的日常开展进行分析总结，定期对项目进展进行跟踪掌握，确保项目顺利实施。</w:t>
      </w:r>
    </w:p>
    <w:p w14:paraId="32197953">
      <w:pPr>
        <w:suppressAutoHyphens/>
        <w:bidi w:val="0"/>
        <w:adjustRightInd w:val="0"/>
        <w:snapToGrid w:val="0"/>
        <w:spacing w:line="590" w:lineRule="exact"/>
        <w:ind w:firstLine="640" w:firstLineChars="200"/>
        <w:rPr>
          <w:rFonts w:hint="default" w:ascii="Times New Roman" w:hAnsi="Times New Roman" w:eastAsia="黑体" w:cs="Times New Roman"/>
          <w:sz w:val="32"/>
        </w:rPr>
      </w:pPr>
      <w:r>
        <w:rPr>
          <w:rFonts w:hint="default" w:ascii="Times New Roman" w:hAnsi="Times New Roman" w:eastAsia="黑体" w:cs="Times New Roman"/>
          <w:sz w:val="32"/>
        </w:rPr>
        <w:t>二、项目资金申报及使用情况</w:t>
      </w:r>
    </w:p>
    <w:p w14:paraId="6B5887A4">
      <w:pPr>
        <w:suppressAutoHyphens/>
        <w:bidi w:val="0"/>
        <w:adjustRightInd w:val="0"/>
        <w:snapToGrid w:val="0"/>
        <w:spacing w:line="590" w:lineRule="exact"/>
        <w:ind w:firstLine="643" w:firstLineChars="200"/>
        <w:rPr>
          <w:rFonts w:hint="default" w:ascii="Times New Roman" w:hAnsi="Times New Roman" w:eastAsia="楷体_GB2312" w:cs="Times New Roman"/>
          <w:b/>
          <w:sz w:val="32"/>
          <w:lang w:val="zh-CN"/>
        </w:rPr>
      </w:pPr>
      <w:r>
        <w:rPr>
          <w:rFonts w:hint="default" w:ascii="Times New Roman" w:hAnsi="Times New Roman" w:eastAsia="楷体_GB2312" w:cs="Times New Roman"/>
          <w:b/>
          <w:sz w:val="32"/>
          <w:lang w:val="zh-CN"/>
        </w:rPr>
        <w:t>（一）项目资金申报及批复情况</w:t>
      </w:r>
    </w:p>
    <w:p w14:paraId="3FCA84B5">
      <w:pPr>
        <w:suppressAutoHyphens/>
        <w:bidi w:val="0"/>
        <w:adjustRightInd w:val="0"/>
        <w:snapToGrid w:val="0"/>
        <w:spacing w:line="590" w:lineRule="exact"/>
        <w:ind w:firstLine="640" w:firstLineChars="200"/>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2023年</w:t>
      </w:r>
      <w:r>
        <w:rPr>
          <w:rFonts w:hint="default" w:ascii="Times New Roman" w:hAnsi="Times New Roman" w:eastAsia="仿宋_GB2312" w:cs="Times New Roman"/>
          <w:sz w:val="32"/>
          <w:lang w:val="en-US" w:eastAsia="zh-CN"/>
        </w:rPr>
        <w:t>烈士褒扬及军人慰问</w:t>
      </w:r>
      <w:r>
        <w:rPr>
          <w:rFonts w:hint="default" w:ascii="Times New Roman" w:hAnsi="Times New Roman" w:eastAsia="仿宋_GB2312" w:cs="Times New Roman"/>
          <w:sz w:val="32"/>
        </w:rPr>
        <w:t>项目</w:t>
      </w:r>
      <w:r>
        <w:rPr>
          <w:rFonts w:hint="default" w:ascii="Times New Roman" w:hAnsi="Times New Roman" w:eastAsia="仿宋_GB2312" w:cs="Times New Roman"/>
          <w:sz w:val="32"/>
          <w:lang w:val="en-US" w:eastAsia="zh-CN"/>
        </w:rPr>
        <w:t>区级预算编制22万元，遂高管财预发[2023]1号文件批复22万元。</w:t>
      </w:r>
    </w:p>
    <w:p w14:paraId="36CB51BF">
      <w:pPr>
        <w:suppressAutoHyphens/>
        <w:bidi w:val="0"/>
        <w:adjustRightInd w:val="0"/>
        <w:snapToGrid w:val="0"/>
        <w:spacing w:line="590" w:lineRule="exact"/>
        <w:ind w:firstLine="643" w:firstLineChars="200"/>
        <w:rPr>
          <w:rFonts w:hint="default" w:ascii="Times New Roman" w:hAnsi="Times New Roman" w:eastAsia="仿宋_GB2312" w:cs="Times New Roman"/>
          <w:sz w:val="32"/>
          <w:lang w:val="zh-CN"/>
        </w:rPr>
      </w:pPr>
      <w:r>
        <w:rPr>
          <w:rFonts w:hint="default" w:ascii="Times New Roman" w:hAnsi="Times New Roman" w:eastAsia="楷体_GB2312" w:cs="Times New Roman"/>
          <w:b/>
          <w:sz w:val="32"/>
          <w:lang w:val="zh-CN"/>
        </w:rPr>
        <w:t>（二）资金计划、到位及使用情况（可用表格形式反映）</w:t>
      </w:r>
    </w:p>
    <w:p w14:paraId="6A97D6BC">
      <w:pPr>
        <w:suppressAutoHyphens/>
        <w:bidi w:val="0"/>
        <w:adjustRightInd w:val="0"/>
        <w:snapToGrid w:val="0"/>
        <w:spacing w:line="590" w:lineRule="exact"/>
        <w:ind w:firstLine="643" w:firstLineChars="200"/>
        <w:rPr>
          <w:rFonts w:hint="default" w:ascii="Times New Roman" w:hAnsi="Times New Roman" w:eastAsia="仿宋_GB2312" w:cs="Times New Roman"/>
          <w:color w:val="FF0000"/>
          <w:sz w:val="32"/>
          <w:lang w:val="zh-CN"/>
        </w:rPr>
      </w:pPr>
      <w:r>
        <w:rPr>
          <w:rFonts w:hint="default" w:ascii="Times New Roman" w:hAnsi="Times New Roman" w:eastAsia="仿宋_GB2312" w:cs="Times New Roman"/>
          <w:b/>
          <w:sz w:val="32"/>
          <w:lang w:val="zh-CN"/>
        </w:rPr>
        <w:t>1</w:t>
      </w:r>
      <w:r>
        <w:rPr>
          <w:rFonts w:hint="default" w:ascii="Times New Roman" w:hAnsi="Times New Roman" w:eastAsia="仿宋_GB2312" w:cs="Times New Roman"/>
          <w:b/>
          <w:sz w:val="32"/>
          <w:lang w:val="zh-CN"/>
        </w:rPr>
        <w:t xml:space="preserve">. </w:t>
      </w:r>
      <w:r>
        <w:rPr>
          <w:rFonts w:hint="default" w:ascii="Times New Roman" w:hAnsi="Times New Roman" w:eastAsia="仿宋_GB2312" w:cs="Times New Roman"/>
          <w:b/>
          <w:sz w:val="32"/>
          <w:lang w:val="zh-CN"/>
        </w:rPr>
        <w:t>资金计划</w:t>
      </w:r>
    </w:p>
    <w:p w14:paraId="1809B91A">
      <w:pPr>
        <w:numPr>
          <w:ilvl w:val="0"/>
          <w:numId w:val="0"/>
        </w:numPr>
        <w:suppressAutoHyphens/>
        <w:bidi w:val="0"/>
        <w:adjustRightInd w:val="0"/>
        <w:snapToGrid w:val="0"/>
        <w:spacing w:line="590" w:lineRule="exact"/>
        <w:ind w:firstLine="640" w:firstLineChars="200"/>
        <w:rPr>
          <w:rFonts w:hint="default" w:ascii="Times New Roman" w:hAnsi="Times New Roman" w:eastAsia="仿宋_GB2312" w:cs="Times New Roman"/>
          <w:color w:val="FF0000"/>
          <w:kern w:val="2"/>
          <w:sz w:val="32"/>
          <w:szCs w:val="24"/>
          <w:lang w:val="zh-CN" w:eastAsia="zh-CN" w:bidi="ar-SA"/>
        </w:rPr>
      </w:pPr>
      <w:r>
        <w:rPr>
          <w:rFonts w:hint="default" w:ascii="Times New Roman" w:hAnsi="Times New Roman" w:eastAsia="仿宋_GB2312" w:cs="Times New Roman"/>
          <w:kern w:val="2"/>
          <w:sz w:val="32"/>
          <w:szCs w:val="24"/>
          <w:lang w:val="zh-CN" w:eastAsia="zh-CN" w:bidi="ar-SA"/>
        </w:rPr>
        <w:t>以1100人预算，其中八一慰问18万，重点群体（人员）慰问约0.5万元，共计</w:t>
      </w:r>
      <w:r>
        <w:rPr>
          <w:rFonts w:hint="default" w:ascii="Times New Roman" w:hAnsi="Times New Roman" w:eastAsia="仿宋_GB2312" w:cs="Times New Roman"/>
          <w:kern w:val="2"/>
          <w:sz w:val="32"/>
          <w:szCs w:val="24"/>
          <w:lang w:val="en-US" w:eastAsia="zh-CN" w:bidi="ar-SA"/>
        </w:rPr>
        <w:t>22</w:t>
      </w:r>
      <w:r>
        <w:rPr>
          <w:rFonts w:hint="default" w:ascii="Times New Roman" w:hAnsi="Times New Roman" w:eastAsia="仿宋_GB2312" w:cs="Times New Roman"/>
          <w:kern w:val="2"/>
          <w:sz w:val="32"/>
          <w:szCs w:val="24"/>
          <w:lang w:val="zh-CN" w:eastAsia="zh-CN" w:bidi="ar-SA"/>
        </w:rPr>
        <w:t>万元。</w:t>
      </w:r>
    </w:p>
    <w:p w14:paraId="35FEF97E">
      <w:pPr>
        <w:numPr>
          <w:ilvl w:val="0"/>
          <w:numId w:val="0"/>
        </w:numPr>
        <w:suppressAutoHyphens/>
        <w:bidi w:val="0"/>
        <w:adjustRightInd w:val="0"/>
        <w:snapToGrid w:val="0"/>
        <w:spacing w:line="590" w:lineRule="exact"/>
        <w:ind w:firstLine="643" w:firstLineChars="200"/>
        <w:rPr>
          <w:rFonts w:hint="default" w:ascii="Times New Roman" w:hAnsi="Times New Roman" w:eastAsia="仿宋_GB2312" w:cs="Times New Roman"/>
          <w:color w:val="FF0000"/>
          <w:sz w:val="32"/>
          <w:lang w:val="zh-CN"/>
        </w:rPr>
      </w:pPr>
      <w:r>
        <w:rPr>
          <w:rFonts w:hint="default" w:ascii="Times New Roman" w:hAnsi="Times New Roman" w:eastAsia="仿宋_GB2312" w:cs="Times New Roman"/>
          <w:b/>
          <w:sz w:val="32"/>
          <w:lang w:val="en-US" w:eastAsia="zh-CN"/>
        </w:rPr>
        <w:t>2.</w:t>
      </w:r>
      <w:r>
        <w:rPr>
          <w:rFonts w:hint="default" w:ascii="Times New Roman" w:hAnsi="Times New Roman" w:eastAsia="仿宋_GB2312" w:cs="Times New Roman"/>
          <w:b/>
          <w:sz w:val="32"/>
          <w:lang w:val="zh-CN"/>
        </w:rPr>
        <w:t>资金到位</w:t>
      </w:r>
    </w:p>
    <w:p w14:paraId="2F1B7F42">
      <w:pPr>
        <w:keepNext w:val="0"/>
        <w:keepLines w:val="0"/>
        <w:pageBreakBefore w:val="0"/>
        <w:widowControl/>
        <w:suppressAutoHyphen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sz w:val="32"/>
          <w:szCs w:val="32"/>
          <w:lang w:val="en-US" w:eastAsia="zh-CN"/>
        </w:rPr>
        <w:t>2023年区级预算资金22万元</w:t>
      </w:r>
    </w:p>
    <w:p w14:paraId="75CDCC3B">
      <w:pPr>
        <w:suppressAutoHyphens/>
        <w:bidi w:val="0"/>
        <w:adjustRightInd w:val="0"/>
        <w:snapToGrid w:val="0"/>
        <w:spacing w:line="590" w:lineRule="exact"/>
        <w:ind w:firstLine="643" w:firstLineChars="200"/>
        <w:rPr>
          <w:rFonts w:hint="default" w:ascii="Times New Roman" w:hAnsi="Times New Roman" w:eastAsia="仿宋_GB2312" w:cs="Times New Roman"/>
          <w:color w:val="FF0000"/>
          <w:sz w:val="32"/>
          <w:lang w:val="zh-CN"/>
        </w:rPr>
      </w:pPr>
      <w:r>
        <w:rPr>
          <w:rFonts w:hint="default" w:ascii="Times New Roman" w:hAnsi="Times New Roman" w:eastAsia="仿宋_GB2312" w:cs="Times New Roman"/>
          <w:b/>
          <w:sz w:val="32"/>
          <w:lang w:val="zh-CN"/>
        </w:rPr>
        <w:t>3</w:t>
      </w:r>
      <w:r>
        <w:rPr>
          <w:rFonts w:hint="default" w:ascii="Times New Roman" w:hAnsi="Times New Roman" w:eastAsia="仿宋_GB2312" w:cs="Times New Roman"/>
          <w:b/>
          <w:sz w:val="32"/>
          <w:lang w:val="zh-CN"/>
        </w:rPr>
        <w:t xml:space="preserve">. </w:t>
      </w:r>
      <w:r>
        <w:rPr>
          <w:rFonts w:hint="default" w:ascii="Times New Roman" w:hAnsi="Times New Roman" w:eastAsia="仿宋_GB2312" w:cs="Times New Roman"/>
          <w:b/>
          <w:sz w:val="32"/>
          <w:lang w:val="zh-CN"/>
        </w:rPr>
        <w:t>资金使用</w:t>
      </w:r>
    </w:p>
    <w:p w14:paraId="42F866CC">
      <w:pPr>
        <w:keepNext w:val="0"/>
        <w:keepLines w:val="0"/>
        <w:pageBreakBefore w:val="0"/>
        <w:widowControl/>
        <w:suppressAutoHyphen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lang w:val="zh-CN"/>
        </w:rPr>
      </w:pPr>
      <w:r>
        <w:rPr>
          <w:rFonts w:hint="default" w:ascii="Times New Roman" w:hAnsi="Times New Roman" w:eastAsia="仿宋_GB2312" w:cs="Times New Roman"/>
          <w:snapToGrid w:val="0"/>
          <w:color w:val="000000"/>
          <w:kern w:val="0"/>
          <w:sz w:val="32"/>
          <w:szCs w:val="32"/>
          <w:lang w:val="en-US" w:eastAsia="zh-CN" w:bidi="ar-SA"/>
        </w:rPr>
        <w:t>2023年</w:t>
      </w:r>
      <w:r>
        <w:rPr>
          <w:rFonts w:hint="default" w:ascii="Times New Roman" w:hAnsi="Times New Roman" w:eastAsia="仿宋_GB2312" w:cs="Times New Roman"/>
          <w:sz w:val="32"/>
          <w:lang w:val="en-US" w:eastAsia="zh-CN"/>
        </w:rPr>
        <w:t>烈士褒扬及军人慰问</w:t>
      </w:r>
      <w:r>
        <w:rPr>
          <w:rFonts w:hint="default" w:ascii="Times New Roman" w:hAnsi="Times New Roman" w:eastAsia="仿宋_GB2312" w:cs="Times New Roman"/>
          <w:sz w:val="32"/>
        </w:rPr>
        <w:t>项目</w:t>
      </w:r>
      <w:r>
        <w:rPr>
          <w:rFonts w:hint="default" w:ascii="Times New Roman" w:hAnsi="Times New Roman" w:eastAsia="仿宋_GB2312" w:cs="Times New Roman"/>
          <w:snapToGrid w:val="0"/>
          <w:color w:val="000000"/>
          <w:kern w:val="0"/>
          <w:sz w:val="32"/>
          <w:szCs w:val="32"/>
          <w:lang w:val="en-US" w:eastAsia="zh-CN" w:bidi="ar-SA"/>
        </w:rPr>
        <w:t>实际执行18.57万元</w:t>
      </w:r>
      <w:r>
        <w:rPr>
          <w:rFonts w:hint="default" w:ascii="Times New Roman" w:hAnsi="Times New Roman" w:eastAsia="仿宋_GB2312" w:cs="Times New Roman"/>
          <w:sz w:val="32"/>
          <w:szCs w:val="32"/>
          <w:highlight w:val="none"/>
          <w:lang w:val="en-US" w:eastAsia="zh-CN"/>
        </w:rPr>
        <w:t>。</w:t>
      </w:r>
    </w:p>
    <w:p w14:paraId="47F5A259">
      <w:pPr>
        <w:suppressAutoHyphens/>
        <w:bidi w:val="0"/>
        <w:adjustRightInd w:val="0"/>
        <w:snapToGrid w:val="0"/>
        <w:spacing w:line="590" w:lineRule="exact"/>
        <w:ind w:firstLine="643" w:firstLineChars="200"/>
        <w:rPr>
          <w:rFonts w:hint="default" w:ascii="Times New Roman" w:hAnsi="Times New Roman" w:eastAsia="楷体_GB2312" w:cs="Times New Roman"/>
          <w:b/>
          <w:sz w:val="32"/>
          <w:lang w:val="zh-CN"/>
        </w:rPr>
      </w:pPr>
      <w:r>
        <w:rPr>
          <w:rFonts w:hint="default" w:ascii="Times New Roman" w:hAnsi="Times New Roman" w:eastAsia="楷体_GB2312" w:cs="Times New Roman"/>
          <w:b/>
          <w:sz w:val="32"/>
          <w:lang w:val="zh-CN"/>
        </w:rPr>
        <w:t>（三）项目财务管理情况</w:t>
      </w:r>
    </w:p>
    <w:p w14:paraId="7D83663A">
      <w:pPr>
        <w:keepNext w:val="0"/>
        <w:keepLines w:val="0"/>
        <w:pageBreakBefore w:val="0"/>
        <w:widowControl w:val="0"/>
        <w:numPr>
          <w:ilvl w:val="0"/>
          <w:numId w:val="0"/>
        </w:numPr>
        <w:tabs>
          <w:tab w:val="left" w:pos="3885"/>
        </w:tabs>
        <w:suppressAutoHyphens/>
        <w:kinsoku/>
        <w:wordWrap/>
        <w:overflowPunct/>
        <w:topLinePunct w:val="0"/>
        <w:autoSpaceDE/>
        <w:autoSpaceDN/>
        <w:bidi w:val="0"/>
        <w:adjustRightInd/>
        <w:snapToGrid w:val="0"/>
        <w:spacing w:line="600" w:lineRule="exact"/>
        <w:ind w:firstLine="640" w:firstLineChars="200"/>
        <w:jc w:val="left"/>
        <w:textAlignment w:val="auto"/>
        <w:outlineLvl w:val="9"/>
        <w:rPr>
          <w:rFonts w:hint="default" w:ascii="Times New Roman" w:hAnsi="Times New Roman" w:eastAsia="仿宋_GB2312" w:cs="Times New Roman"/>
          <w:sz w:val="32"/>
          <w:lang w:val="zh-CN"/>
        </w:rPr>
      </w:pPr>
      <w:r>
        <w:rPr>
          <w:rFonts w:hint="default" w:ascii="Times New Roman" w:hAnsi="Times New Roman" w:eastAsia="仿宋_GB2312" w:cs="Times New Roman"/>
          <w:b w:val="0"/>
          <w:bCs w:val="0"/>
          <w:sz w:val="32"/>
          <w:szCs w:val="21"/>
          <w:lang w:val="en-US" w:eastAsia="zh-CN"/>
        </w:rPr>
        <w:t>该项目资金支出严格按照财务资金管理制度的要求进行管理和执行，资金管理、费用支付流程均符合相关制度规定，不存在截留、滞留、挤占、挪用、套取、虚报、冒领等问题，财务处理及时，会计核算规范。</w:t>
      </w:r>
    </w:p>
    <w:p w14:paraId="21DC9C0B">
      <w:pPr>
        <w:suppressAutoHyphens/>
        <w:bidi w:val="0"/>
        <w:adjustRightInd w:val="0"/>
        <w:snapToGrid w:val="0"/>
        <w:spacing w:line="590" w:lineRule="exact"/>
        <w:ind w:firstLine="640" w:firstLineChars="200"/>
        <w:rPr>
          <w:rFonts w:hint="default" w:ascii="Times New Roman" w:hAnsi="Times New Roman" w:eastAsia="黑体" w:cs="Times New Roman"/>
          <w:sz w:val="32"/>
        </w:rPr>
      </w:pPr>
      <w:r>
        <w:rPr>
          <w:rFonts w:hint="default" w:ascii="Times New Roman" w:hAnsi="Times New Roman" w:eastAsia="黑体" w:cs="Times New Roman"/>
          <w:sz w:val="32"/>
        </w:rPr>
        <w:t>三、项目实施及管理情况</w:t>
      </w:r>
    </w:p>
    <w:p w14:paraId="7CC0C2FE">
      <w:pPr>
        <w:suppressAutoHyphens/>
        <w:bidi w:val="0"/>
        <w:adjustRightInd w:val="0"/>
        <w:snapToGrid w:val="0"/>
        <w:spacing w:line="590" w:lineRule="exact"/>
        <w:ind w:firstLine="640" w:firstLineChars="200"/>
        <w:rPr>
          <w:rFonts w:hint="default" w:ascii="Times New Roman" w:hAnsi="Times New Roman" w:eastAsia="仿宋_GB2312" w:cs="Times New Roman"/>
          <w:sz w:val="32"/>
          <w:lang w:val="zh-CN"/>
        </w:rPr>
      </w:pPr>
      <w:r>
        <w:rPr>
          <w:rFonts w:hint="default" w:ascii="Times New Roman" w:hAnsi="Times New Roman" w:eastAsia="仿宋_GB2312" w:cs="Times New Roman"/>
          <w:sz w:val="32"/>
          <w:lang w:val="zh-CN"/>
        </w:rPr>
        <w:t>结合项目组织实施管理办法，重点围绕以下内容进行分析评价，并对自评中发现的问题分析说明。</w:t>
      </w:r>
    </w:p>
    <w:p w14:paraId="115459E2">
      <w:pPr>
        <w:numPr>
          <w:ilvl w:val="0"/>
          <w:numId w:val="4"/>
        </w:numPr>
        <w:suppressAutoHyphens/>
        <w:bidi w:val="0"/>
        <w:adjustRightInd w:val="0"/>
        <w:snapToGrid w:val="0"/>
        <w:spacing w:line="590" w:lineRule="exact"/>
        <w:ind w:firstLine="643" w:firstLineChars="200"/>
        <w:rPr>
          <w:rFonts w:hint="default" w:ascii="Times New Roman" w:hAnsi="Times New Roman" w:eastAsia="楷体_GB2312" w:cs="Times New Roman"/>
          <w:b/>
          <w:sz w:val="32"/>
          <w:lang w:val="zh-CN"/>
        </w:rPr>
      </w:pPr>
      <w:r>
        <w:rPr>
          <w:rFonts w:hint="default" w:ascii="Times New Roman" w:hAnsi="Times New Roman" w:eastAsia="楷体_GB2312" w:cs="Times New Roman"/>
          <w:b/>
          <w:sz w:val="32"/>
          <w:lang w:val="zh-CN"/>
        </w:rPr>
        <w:t>项目组织架构及实施流程</w:t>
      </w:r>
    </w:p>
    <w:p w14:paraId="6433940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both"/>
        <w:textAlignment w:val="baseline"/>
        <w:rPr>
          <w:rFonts w:hint="default" w:ascii="Times New Roman" w:hAnsi="Times New Roman" w:eastAsia="仿宋_GB2312" w:cs="Times New Roman"/>
          <w:kern w:val="0"/>
          <w:sz w:val="24"/>
          <w:szCs w:val="24"/>
          <w:lang w:val="zh-CN" w:eastAsia="zh-CN" w:bidi="ar"/>
        </w:rPr>
      </w:pPr>
      <w:r>
        <w:rPr>
          <w:rFonts w:hint="default" w:ascii="Times New Roman" w:hAnsi="Times New Roman" w:eastAsia="仿宋_GB2312" w:cs="Times New Roman"/>
          <w:kern w:val="0"/>
          <w:sz w:val="32"/>
          <w:szCs w:val="32"/>
          <w:lang w:val="en-US" w:eastAsia="zh-CN" w:bidi="ar"/>
        </w:rPr>
        <w:t>按照业务人员经办、财务人员初审、中心主任审核、管委会分管领导审批的流程组织实施，按时完成支付工作。</w:t>
      </w:r>
    </w:p>
    <w:p w14:paraId="6ABD3C16">
      <w:pPr>
        <w:suppressAutoHyphens/>
        <w:bidi w:val="0"/>
        <w:adjustRightInd w:val="0"/>
        <w:snapToGrid w:val="0"/>
        <w:spacing w:line="590" w:lineRule="exact"/>
        <w:ind w:firstLine="643" w:firstLineChars="200"/>
        <w:rPr>
          <w:rFonts w:hint="default" w:ascii="Times New Roman" w:hAnsi="Times New Roman" w:eastAsia="仿宋_GB2312" w:cs="Times New Roman"/>
          <w:color w:val="FF0000"/>
          <w:sz w:val="32"/>
          <w:lang w:val="zh-CN"/>
        </w:rPr>
      </w:pPr>
      <w:r>
        <w:rPr>
          <w:rFonts w:hint="default" w:ascii="Times New Roman" w:hAnsi="Times New Roman" w:eastAsia="楷体_GB2312" w:cs="Times New Roman"/>
          <w:b/>
          <w:sz w:val="32"/>
          <w:lang w:val="zh-CN"/>
        </w:rPr>
        <w:t>（二）项目管理情况</w:t>
      </w:r>
    </w:p>
    <w:p w14:paraId="535E2FF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both"/>
        <w:textAlignment w:val="baseline"/>
        <w:rPr>
          <w:rFonts w:hint="default" w:ascii="Times New Roman" w:hAnsi="Times New Roman" w:eastAsia="仿宋_GB2312" w:cs="Times New Roman"/>
          <w:kern w:val="0"/>
          <w:sz w:val="24"/>
          <w:szCs w:val="24"/>
          <w:lang w:val="zh-CN" w:eastAsia="zh-CN" w:bidi="ar"/>
        </w:rPr>
      </w:pPr>
      <w:r>
        <w:rPr>
          <w:rFonts w:hint="default" w:ascii="Times New Roman" w:hAnsi="Times New Roman" w:eastAsia="仿宋_GB2312" w:cs="Times New Roman"/>
          <w:kern w:val="0"/>
          <w:sz w:val="32"/>
          <w:szCs w:val="32"/>
          <w:lang w:val="en-US" w:eastAsia="zh-CN" w:bidi="ar"/>
        </w:rPr>
        <w:t>该项目严格按照单位内控制度审批流程的要求组织资金申报，资金项目拨付通过事权、财权手续严格执行财务管理制度，资金拨付及时到位，会计核算严格按照行政单位会计制度要求进行做账。</w:t>
      </w:r>
    </w:p>
    <w:p w14:paraId="24908741">
      <w:pPr>
        <w:numPr>
          <w:ilvl w:val="0"/>
          <w:numId w:val="0"/>
        </w:numPr>
        <w:suppressAutoHyphens/>
        <w:bidi w:val="0"/>
        <w:adjustRightInd w:val="0"/>
        <w:snapToGrid w:val="0"/>
        <w:spacing w:line="590" w:lineRule="exact"/>
        <w:ind w:firstLine="643" w:firstLineChars="200"/>
        <w:rPr>
          <w:rFonts w:hint="default" w:ascii="Times New Roman" w:hAnsi="Times New Roman" w:eastAsia="仿宋_GB2312" w:cs="Times New Roman"/>
          <w:color w:val="FF0000"/>
          <w:sz w:val="32"/>
          <w:lang w:val="zh-CN"/>
        </w:rPr>
      </w:pPr>
      <w:r>
        <w:rPr>
          <w:rFonts w:hint="default" w:ascii="Times New Roman" w:hAnsi="Times New Roman" w:eastAsia="楷体_GB2312" w:cs="Times New Roman"/>
          <w:b/>
          <w:sz w:val="32"/>
          <w:lang w:val="zh-CN"/>
        </w:rPr>
        <w:t>（</w:t>
      </w:r>
      <w:r>
        <w:rPr>
          <w:rFonts w:hint="default" w:ascii="Times New Roman" w:hAnsi="Times New Roman" w:eastAsia="楷体_GB2312" w:cs="Times New Roman"/>
          <w:b/>
          <w:sz w:val="32"/>
          <w:lang w:val="en-US" w:eastAsia="zh-CN"/>
        </w:rPr>
        <w:t>三</w:t>
      </w:r>
      <w:r>
        <w:rPr>
          <w:rFonts w:hint="default" w:ascii="Times New Roman" w:hAnsi="Times New Roman" w:eastAsia="楷体_GB2312" w:cs="Times New Roman"/>
          <w:b/>
          <w:sz w:val="32"/>
          <w:lang w:val="zh-CN"/>
        </w:rPr>
        <w:t>）</w:t>
      </w:r>
      <w:r>
        <w:rPr>
          <w:rFonts w:hint="default" w:ascii="Times New Roman" w:hAnsi="Times New Roman" w:eastAsia="楷体_GB2312" w:cs="Times New Roman"/>
          <w:b/>
          <w:sz w:val="32"/>
          <w:lang w:val="zh-CN"/>
        </w:rPr>
        <w:t>项目监管情况</w:t>
      </w:r>
    </w:p>
    <w:p w14:paraId="4753BD5F">
      <w:pPr>
        <w:widowControl w:val="0"/>
        <w:numPr>
          <w:ilvl w:val="0"/>
          <w:numId w:val="0"/>
        </w:numPr>
        <w:ind w:firstLine="640" w:firstLineChars="200"/>
        <w:jc w:val="both"/>
        <w:rPr>
          <w:rFonts w:hint="default" w:ascii="Times New Roman" w:hAnsi="Times New Roman" w:eastAsia="仿宋_GB2312" w:cs="Times New Roman"/>
          <w:kern w:val="2"/>
          <w:sz w:val="32"/>
          <w:szCs w:val="24"/>
          <w:lang w:val="zh-CN" w:eastAsia="zh-CN" w:bidi="ar-SA"/>
        </w:rPr>
      </w:pPr>
      <w:r>
        <w:rPr>
          <w:rFonts w:hint="default" w:ascii="Times New Roman" w:hAnsi="Times New Roman" w:eastAsia="仿宋_GB2312" w:cs="Times New Roman"/>
          <w:kern w:val="2"/>
          <w:sz w:val="32"/>
          <w:szCs w:val="24"/>
          <w:lang w:val="en-US" w:eastAsia="zh-CN" w:bidi="ar-SA"/>
        </w:rPr>
        <w:t>退役军人服务中心</w:t>
      </w:r>
      <w:r>
        <w:rPr>
          <w:rFonts w:hint="default" w:ascii="Times New Roman" w:hAnsi="Times New Roman" w:eastAsia="仿宋_GB2312" w:cs="Times New Roman"/>
          <w:color w:val="000000"/>
          <w:kern w:val="2"/>
          <w:sz w:val="32"/>
          <w:szCs w:val="32"/>
          <w:lang w:val="en-US" w:eastAsia="zh-CN" w:bidi="ar-SA"/>
        </w:rPr>
        <w:t>秉承合法、合规、实效、集约的资金使用原则，按照财务管理制度及财政法律法规申请各项资金，按照资金使用流程管控使用，未出现违规违纪现象。</w:t>
      </w:r>
    </w:p>
    <w:p w14:paraId="175BF079">
      <w:pPr>
        <w:suppressAutoHyphens/>
        <w:bidi w:val="0"/>
        <w:adjustRightInd w:val="0"/>
        <w:snapToGrid w:val="0"/>
        <w:spacing w:line="590" w:lineRule="exact"/>
        <w:ind w:firstLine="640" w:firstLineChars="200"/>
        <w:rPr>
          <w:rFonts w:hint="default" w:ascii="Times New Roman" w:hAnsi="Times New Roman" w:eastAsia="仿宋_GB2312" w:cs="Times New Roman"/>
          <w:sz w:val="32"/>
          <w:lang w:val="zh-CN"/>
        </w:rPr>
      </w:pPr>
      <w:r>
        <w:rPr>
          <w:rFonts w:hint="default" w:ascii="Times New Roman" w:hAnsi="Times New Roman" w:eastAsia="黑体" w:cs="Times New Roman"/>
          <w:sz w:val="32"/>
        </w:rPr>
        <w:t>四、项目绩效情况</w:t>
      </w:r>
      <w:r>
        <w:rPr>
          <w:rFonts w:hint="default" w:ascii="Times New Roman" w:hAnsi="Times New Roman" w:eastAsia="仿宋_GB2312" w:cs="Times New Roman"/>
          <w:sz w:val="32"/>
          <w:lang w:val="zh-CN"/>
        </w:rPr>
        <w:tab/>
      </w:r>
    </w:p>
    <w:p w14:paraId="6A8FFDE1">
      <w:pPr>
        <w:suppressAutoHyphens/>
        <w:bidi w:val="0"/>
        <w:adjustRightInd w:val="0"/>
        <w:snapToGrid w:val="0"/>
        <w:spacing w:line="590" w:lineRule="exact"/>
        <w:ind w:firstLine="643" w:firstLineChars="200"/>
        <w:rPr>
          <w:rFonts w:hint="default" w:ascii="Times New Roman" w:hAnsi="Times New Roman" w:eastAsia="楷体_GB2312" w:cs="Times New Roman"/>
          <w:b/>
          <w:sz w:val="32"/>
          <w:lang w:val="zh-CN"/>
        </w:rPr>
      </w:pPr>
      <w:r>
        <w:rPr>
          <w:rFonts w:hint="default" w:ascii="Times New Roman" w:hAnsi="Times New Roman" w:eastAsia="楷体_GB2312" w:cs="Times New Roman"/>
          <w:b/>
          <w:sz w:val="32"/>
          <w:lang w:val="zh-CN"/>
        </w:rPr>
        <w:t>（一）项目完成情况</w:t>
      </w:r>
    </w:p>
    <w:p w14:paraId="5AE1F514">
      <w:pPr>
        <w:keepNext w:val="0"/>
        <w:keepLines w:val="0"/>
        <w:pageBreakBefore w:val="0"/>
        <w:widowControl w:val="0"/>
        <w:numPr>
          <w:ilvl w:val="0"/>
          <w:numId w:val="0"/>
        </w:numPr>
        <w:tabs>
          <w:tab w:val="left" w:pos="3885"/>
        </w:tabs>
        <w:suppressAutoHyphens/>
        <w:kinsoku/>
        <w:wordWrap/>
        <w:overflowPunct/>
        <w:topLinePunct w:val="0"/>
        <w:autoSpaceDE/>
        <w:autoSpaceDN/>
        <w:bidi w:val="0"/>
        <w:adjustRightInd/>
        <w:snapToGrid w:val="0"/>
        <w:spacing w:line="600" w:lineRule="exact"/>
        <w:ind w:firstLine="640" w:firstLineChars="200"/>
        <w:jc w:val="left"/>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b w:val="0"/>
          <w:bCs w:val="0"/>
          <w:sz w:val="32"/>
          <w:szCs w:val="21"/>
          <w:lang w:val="en-US" w:eastAsia="zh-CN"/>
        </w:rPr>
        <w:t>项目实施按要求报审后，进行</w:t>
      </w:r>
      <w:r>
        <w:rPr>
          <w:rFonts w:hint="default" w:ascii="Times New Roman" w:hAnsi="Times New Roman" w:eastAsia="仿宋_GB2312" w:cs="Times New Roman"/>
          <w:sz w:val="32"/>
          <w:szCs w:val="32"/>
          <w:lang w:val="en-US" w:eastAsia="zh-CN"/>
        </w:rPr>
        <w:t>实施。2023年对1100</w:t>
      </w:r>
      <w:r>
        <w:rPr>
          <w:rFonts w:hint="default" w:ascii="Times New Roman" w:hAnsi="Times New Roman" w:eastAsia="仿宋_GB2312" w:cs="Times New Roman"/>
          <w:sz w:val="32"/>
          <w:szCs w:val="32"/>
          <w:lang w:val="zh-CN" w:eastAsia="zh-CN"/>
        </w:rPr>
        <w:t>余人发放</w:t>
      </w:r>
      <w:r>
        <w:rPr>
          <w:rFonts w:hint="default" w:ascii="Times New Roman" w:hAnsi="Times New Roman" w:eastAsia="仿宋_GB2312" w:cs="Times New Roman"/>
          <w:sz w:val="32"/>
          <w:szCs w:val="32"/>
          <w:lang w:val="en-US" w:eastAsia="zh-CN"/>
        </w:rPr>
        <w:t>八一慰问和烈士褒扬</w:t>
      </w:r>
      <w:r>
        <w:rPr>
          <w:rFonts w:hint="default" w:ascii="Times New Roman" w:hAnsi="Times New Roman" w:eastAsia="仿宋_GB2312" w:cs="Times New Roman"/>
          <w:sz w:val="32"/>
          <w:szCs w:val="32"/>
          <w:lang w:val="zh-CN" w:eastAsia="zh-CN"/>
        </w:rPr>
        <w:t>经费</w:t>
      </w:r>
      <w:r>
        <w:rPr>
          <w:rFonts w:hint="default" w:ascii="Times New Roman" w:hAnsi="Times New Roman" w:eastAsia="仿宋_GB2312" w:cs="Times New Roman"/>
          <w:sz w:val="32"/>
          <w:szCs w:val="32"/>
          <w:lang w:val="en-US" w:eastAsia="zh-CN"/>
        </w:rPr>
        <w:t>，共支付18.57</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sz w:val="32"/>
          <w:szCs w:val="32"/>
          <w:lang w:val="en-US" w:eastAsia="zh-CN"/>
        </w:rPr>
        <w:t>已按时按质进行发放。</w:t>
      </w:r>
    </w:p>
    <w:p w14:paraId="65E61741">
      <w:pPr>
        <w:suppressAutoHyphens/>
        <w:bidi w:val="0"/>
        <w:adjustRightInd w:val="0"/>
        <w:snapToGrid w:val="0"/>
        <w:spacing w:line="590" w:lineRule="exact"/>
        <w:ind w:firstLine="643" w:firstLineChars="200"/>
        <w:rPr>
          <w:rFonts w:hint="default" w:ascii="Times New Roman" w:hAnsi="Times New Roman" w:eastAsia="楷体_GB2312" w:cs="Times New Roman"/>
          <w:b/>
          <w:sz w:val="32"/>
          <w:lang w:val="zh-CN"/>
        </w:rPr>
      </w:pPr>
      <w:r>
        <w:rPr>
          <w:rFonts w:hint="default" w:ascii="Times New Roman" w:hAnsi="Times New Roman" w:eastAsia="楷体_GB2312" w:cs="Times New Roman"/>
          <w:b/>
          <w:sz w:val="32"/>
          <w:lang w:val="zh-CN"/>
        </w:rPr>
        <w:t>（二）项目效益情况</w:t>
      </w:r>
    </w:p>
    <w:p w14:paraId="7EB632DC">
      <w:pPr>
        <w:widowControl/>
        <w:suppressAutoHyphens/>
        <w:bidi w:val="0"/>
        <w:ind w:firstLine="640" w:firstLineChars="20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通过项目实施，</w:t>
      </w:r>
      <w:r>
        <w:rPr>
          <w:rFonts w:hint="default" w:ascii="Times New Roman" w:hAnsi="Times New Roman" w:eastAsia="仿宋_GB2312" w:cs="Times New Roman"/>
          <w:color w:val="000000"/>
          <w:kern w:val="0"/>
          <w:sz w:val="32"/>
          <w:szCs w:val="32"/>
        </w:rPr>
        <w:t>体现了党和国家对现役军人、退役军人及其他优抚对象的关心、关爱，形成了良好的社会</w:t>
      </w:r>
      <w:r>
        <w:rPr>
          <w:rFonts w:hint="default" w:ascii="Times New Roman" w:hAnsi="Times New Roman" w:eastAsia="仿宋_GB2312" w:cs="Times New Roman"/>
          <w:color w:val="000000"/>
          <w:kern w:val="0"/>
          <w:sz w:val="32"/>
          <w:szCs w:val="32"/>
          <w:lang w:eastAsia="zh-CN"/>
        </w:rPr>
        <w:t>拥军</w:t>
      </w:r>
      <w:r>
        <w:rPr>
          <w:rFonts w:hint="default" w:ascii="Times New Roman" w:hAnsi="Times New Roman" w:eastAsia="仿宋_GB2312" w:cs="Times New Roman"/>
          <w:color w:val="000000"/>
          <w:kern w:val="0"/>
          <w:sz w:val="32"/>
          <w:szCs w:val="32"/>
        </w:rPr>
        <w:t>氛围。</w:t>
      </w:r>
    </w:p>
    <w:p w14:paraId="7FC47111">
      <w:pPr>
        <w:suppressAutoHyphens/>
        <w:bidi w:val="0"/>
        <w:adjustRightInd w:val="0"/>
        <w:snapToGrid w:val="0"/>
        <w:spacing w:line="590" w:lineRule="exact"/>
        <w:ind w:firstLine="640" w:firstLineChars="200"/>
        <w:rPr>
          <w:rFonts w:hint="default" w:ascii="Times New Roman" w:hAnsi="Times New Roman" w:eastAsia="黑体" w:cs="Times New Roman"/>
          <w:sz w:val="32"/>
        </w:rPr>
      </w:pPr>
      <w:r>
        <w:rPr>
          <w:rFonts w:hint="default" w:ascii="Times New Roman" w:hAnsi="Times New Roman" w:eastAsia="黑体" w:cs="Times New Roman"/>
          <w:sz w:val="32"/>
        </w:rPr>
        <w:t>五、评价结论及建议</w:t>
      </w:r>
    </w:p>
    <w:p w14:paraId="71AD82AE">
      <w:pPr>
        <w:suppressAutoHyphens/>
        <w:bidi w:val="0"/>
        <w:adjustRightInd w:val="0"/>
        <w:snapToGrid w:val="0"/>
        <w:spacing w:line="590" w:lineRule="exact"/>
        <w:ind w:firstLine="643" w:firstLineChars="200"/>
        <w:rPr>
          <w:rFonts w:hint="default" w:ascii="Times New Roman" w:hAnsi="Times New Roman" w:eastAsia="楷体_GB2312" w:cs="Times New Roman"/>
          <w:b/>
          <w:sz w:val="32"/>
          <w:lang w:val="zh-CN"/>
        </w:rPr>
      </w:pPr>
      <w:r>
        <w:rPr>
          <w:rFonts w:hint="default" w:ascii="Times New Roman" w:hAnsi="Times New Roman" w:eastAsia="楷体_GB2312" w:cs="Times New Roman"/>
          <w:b/>
          <w:sz w:val="32"/>
          <w:lang w:val="zh-CN"/>
        </w:rPr>
        <w:t>（一）评价结论</w:t>
      </w:r>
    </w:p>
    <w:p w14:paraId="4EC6997A">
      <w:pPr>
        <w:widowControl w:val="0"/>
        <w:ind w:firstLine="640" w:firstLineChars="200"/>
        <w:jc w:val="both"/>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32"/>
          <w:lang w:val="en-US" w:eastAsia="zh-CN" w:bidi="ar-SA"/>
        </w:rPr>
        <w:t>该项目资金支出严格按照财务资金管理制度的要求进行管理和执行，资金管理、费用支付流程均符合相关制度规定，专款专用，未出现截留、滞留、挤占、挪用、套取、虚报、冒领等问题。开展较好。</w:t>
      </w:r>
    </w:p>
    <w:p w14:paraId="418E6BCB">
      <w:pPr>
        <w:suppressAutoHyphens/>
        <w:bidi w:val="0"/>
        <w:adjustRightInd w:val="0"/>
        <w:snapToGrid w:val="0"/>
        <w:spacing w:line="590" w:lineRule="exact"/>
        <w:ind w:firstLine="643" w:firstLineChars="200"/>
        <w:rPr>
          <w:rFonts w:hint="default" w:ascii="Times New Roman" w:hAnsi="Times New Roman" w:eastAsia="楷体_GB2312" w:cs="Times New Roman"/>
          <w:b/>
          <w:sz w:val="32"/>
          <w:lang w:val="zh-CN"/>
        </w:rPr>
      </w:pPr>
      <w:r>
        <w:rPr>
          <w:rFonts w:hint="default" w:ascii="Times New Roman" w:hAnsi="Times New Roman" w:eastAsia="楷体_GB2312" w:cs="Times New Roman"/>
          <w:b/>
          <w:sz w:val="32"/>
          <w:lang w:val="zh-CN"/>
        </w:rPr>
        <w:t>（二）存在的问题</w:t>
      </w:r>
    </w:p>
    <w:p w14:paraId="304B5CC1">
      <w:pPr>
        <w:widowControl w:val="0"/>
        <w:ind w:firstLine="640" w:firstLineChars="200"/>
        <w:jc w:val="both"/>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暂无</w:t>
      </w:r>
    </w:p>
    <w:p w14:paraId="684EF67C">
      <w:pPr>
        <w:suppressAutoHyphens/>
        <w:bidi w:val="0"/>
        <w:adjustRightInd w:val="0"/>
        <w:snapToGrid w:val="0"/>
        <w:spacing w:line="590" w:lineRule="exact"/>
        <w:ind w:firstLine="643" w:firstLineChars="200"/>
        <w:rPr>
          <w:rFonts w:hint="default" w:ascii="Times New Roman" w:hAnsi="Times New Roman" w:eastAsia="楷体_GB2312" w:cs="Times New Roman"/>
          <w:b/>
          <w:sz w:val="32"/>
          <w:lang w:val="zh-CN"/>
        </w:rPr>
      </w:pPr>
      <w:r>
        <w:rPr>
          <w:rFonts w:hint="default" w:ascii="Times New Roman" w:hAnsi="Times New Roman" w:eastAsia="楷体_GB2312" w:cs="Times New Roman"/>
          <w:b/>
          <w:sz w:val="32"/>
          <w:lang w:val="zh-CN"/>
        </w:rPr>
        <w:t>（三）相关建议</w:t>
      </w:r>
    </w:p>
    <w:p w14:paraId="6A5D0968">
      <w:pPr>
        <w:widowControl w:val="0"/>
        <w:ind w:firstLine="640" w:firstLineChars="200"/>
        <w:jc w:val="both"/>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继续加强项目实施统筹，确保高效率完成目标任务。</w:t>
      </w:r>
    </w:p>
    <w:p w14:paraId="0050BB94">
      <w:pPr>
        <w:pStyle w:val="11"/>
        <w:rPr>
          <w:rFonts w:hint="default" w:ascii="Times New Roman" w:hAnsi="Times New Roman" w:eastAsia="仿宋_GB2312" w:cs="Times New Roman"/>
          <w:color w:val="auto"/>
          <w:kern w:val="0"/>
          <w:sz w:val="32"/>
          <w:szCs w:val="32"/>
          <w:highlight w:val="none"/>
          <w:lang w:val="en-US" w:eastAsia="zh-CN" w:bidi="ar-SA"/>
        </w:rPr>
      </w:pPr>
    </w:p>
    <w:p w14:paraId="246796B8">
      <w:pPr>
        <w:pStyle w:val="11"/>
        <w:rPr>
          <w:rFonts w:hint="default" w:ascii="Times New Roman" w:hAnsi="Times New Roman" w:eastAsia="仿宋_GB2312" w:cs="Times New Roman"/>
          <w:color w:val="auto"/>
          <w:kern w:val="0"/>
          <w:sz w:val="32"/>
          <w:szCs w:val="32"/>
          <w:highlight w:val="none"/>
          <w:lang w:val="en-US" w:eastAsia="zh-CN" w:bidi="ar-SA"/>
        </w:rPr>
      </w:pPr>
    </w:p>
    <w:p w14:paraId="0176BAEF">
      <w:pPr>
        <w:pStyle w:val="11"/>
        <w:rPr>
          <w:rFonts w:hint="default" w:ascii="Times New Roman" w:hAnsi="Times New Roman" w:eastAsia="仿宋_GB2312" w:cs="Times New Roman"/>
          <w:color w:val="auto"/>
          <w:kern w:val="0"/>
          <w:sz w:val="32"/>
          <w:szCs w:val="32"/>
          <w:highlight w:val="none"/>
          <w:lang w:val="en-US" w:eastAsia="zh-CN" w:bidi="ar-SA"/>
        </w:rPr>
      </w:pPr>
    </w:p>
    <w:p w14:paraId="01761D3C">
      <w:pPr>
        <w:pStyle w:val="11"/>
        <w:rPr>
          <w:rFonts w:hint="default" w:ascii="Times New Roman" w:hAnsi="Times New Roman" w:eastAsia="仿宋_GB2312" w:cs="Times New Roman"/>
          <w:color w:val="auto"/>
          <w:kern w:val="0"/>
          <w:sz w:val="32"/>
          <w:szCs w:val="32"/>
          <w:highlight w:val="none"/>
          <w:lang w:val="en-US" w:eastAsia="zh-CN" w:bidi="ar-SA"/>
        </w:rPr>
      </w:pPr>
    </w:p>
    <w:p w14:paraId="154D02CE">
      <w:pPr>
        <w:pStyle w:val="11"/>
        <w:rPr>
          <w:rFonts w:hint="default" w:ascii="Times New Roman" w:hAnsi="Times New Roman" w:eastAsia="仿宋_GB2312" w:cs="Times New Roman"/>
          <w:color w:val="auto"/>
          <w:kern w:val="0"/>
          <w:sz w:val="32"/>
          <w:szCs w:val="32"/>
          <w:highlight w:val="none"/>
          <w:lang w:val="en-US" w:eastAsia="zh-CN" w:bidi="ar-SA"/>
        </w:rPr>
      </w:pPr>
    </w:p>
    <w:p w14:paraId="4FA2A75F">
      <w:pPr>
        <w:pStyle w:val="11"/>
        <w:rPr>
          <w:rFonts w:hint="default" w:ascii="Times New Roman" w:hAnsi="Times New Roman" w:eastAsia="仿宋_GB2312" w:cs="Times New Roman"/>
          <w:color w:val="auto"/>
          <w:kern w:val="0"/>
          <w:sz w:val="32"/>
          <w:szCs w:val="32"/>
          <w:highlight w:val="none"/>
          <w:lang w:val="en-US" w:eastAsia="zh-CN" w:bidi="ar-SA"/>
        </w:rPr>
      </w:pPr>
    </w:p>
    <w:p w14:paraId="0DAB65DD">
      <w:pPr>
        <w:pStyle w:val="11"/>
        <w:rPr>
          <w:rFonts w:hint="default" w:ascii="Times New Roman" w:hAnsi="Times New Roman" w:eastAsia="仿宋_GB2312" w:cs="Times New Roman"/>
          <w:color w:val="auto"/>
          <w:kern w:val="0"/>
          <w:sz w:val="32"/>
          <w:szCs w:val="32"/>
          <w:highlight w:val="none"/>
          <w:lang w:val="en-US" w:eastAsia="zh-CN" w:bidi="ar-SA"/>
        </w:rPr>
      </w:pPr>
    </w:p>
    <w:p w14:paraId="7660FCAC">
      <w:pPr>
        <w:pStyle w:val="11"/>
        <w:rPr>
          <w:rFonts w:hint="default" w:ascii="Times New Roman" w:hAnsi="Times New Roman" w:eastAsia="仿宋_GB2312" w:cs="Times New Roman"/>
          <w:color w:val="auto"/>
          <w:kern w:val="0"/>
          <w:sz w:val="32"/>
          <w:szCs w:val="32"/>
          <w:highlight w:val="none"/>
          <w:lang w:val="en-US" w:eastAsia="zh-CN" w:bidi="ar-SA"/>
        </w:rPr>
      </w:pPr>
    </w:p>
    <w:p w14:paraId="111D5704">
      <w:pPr>
        <w:pStyle w:val="11"/>
        <w:rPr>
          <w:rFonts w:hint="default" w:ascii="Times New Roman" w:hAnsi="Times New Roman" w:eastAsia="仿宋_GB2312" w:cs="Times New Roman"/>
          <w:color w:val="auto"/>
          <w:kern w:val="0"/>
          <w:sz w:val="32"/>
          <w:szCs w:val="32"/>
          <w:highlight w:val="none"/>
          <w:lang w:val="en-US" w:eastAsia="zh-CN" w:bidi="ar-SA"/>
        </w:rPr>
      </w:pPr>
    </w:p>
    <w:p w14:paraId="04936401">
      <w:pPr>
        <w:pStyle w:val="11"/>
        <w:rPr>
          <w:rFonts w:hint="default" w:ascii="Times New Roman" w:hAnsi="Times New Roman" w:eastAsia="仿宋_GB2312" w:cs="Times New Roman"/>
          <w:color w:val="auto"/>
          <w:kern w:val="0"/>
          <w:sz w:val="32"/>
          <w:szCs w:val="32"/>
          <w:highlight w:val="none"/>
          <w:lang w:val="en-US" w:eastAsia="zh-CN" w:bidi="ar-SA"/>
        </w:rPr>
      </w:pPr>
    </w:p>
    <w:p w14:paraId="1BED8D8B">
      <w:pPr>
        <w:pStyle w:val="11"/>
        <w:rPr>
          <w:rFonts w:hint="default" w:ascii="Times New Roman" w:hAnsi="Times New Roman" w:eastAsia="仿宋_GB2312" w:cs="Times New Roman"/>
          <w:color w:val="auto"/>
          <w:kern w:val="0"/>
          <w:sz w:val="32"/>
          <w:szCs w:val="32"/>
          <w:highlight w:val="none"/>
          <w:lang w:val="en-US" w:eastAsia="zh-CN" w:bidi="ar-SA"/>
        </w:rPr>
      </w:pPr>
    </w:p>
    <w:p w14:paraId="495BBAD0">
      <w:pPr>
        <w:keepNext w:val="0"/>
        <w:keepLines w:val="0"/>
        <w:pageBreakBefore w:val="0"/>
        <w:kinsoku/>
        <w:wordWrap/>
        <w:overflowPunct/>
        <w:topLinePunct w:val="0"/>
        <w:autoSpaceDE/>
        <w:autoSpaceDN/>
        <w:bidi w:val="0"/>
        <w:spacing w:line="572" w:lineRule="exact"/>
        <w:jc w:val="left"/>
        <w:textAlignment w:val="auto"/>
        <w:outlineLvl w:val="1"/>
        <w:rPr>
          <w:rFonts w:hint="default" w:ascii="Times New Roman" w:hAnsi="Times New Roman" w:eastAsia="黑体" w:cs="Times New Roman"/>
          <w:color w:val="auto"/>
          <w:sz w:val="32"/>
          <w:szCs w:val="32"/>
          <w:highlight w:val="none"/>
          <w:lang w:val="en-US" w:eastAsia="zh-CN"/>
        </w:rPr>
      </w:pPr>
    </w:p>
    <w:p w14:paraId="6C5E6F34">
      <w:pPr>
        <w:pStyle w:val="3"/>
        <w:ind w:left="0" w:leftChars="0" w:firstLine="0" w:firstLineChars="0"/>
        <w:rPr>
          <w:rFonts w:hint="default" w:ascii="Times New Roman" w:hAnsi="Times New Roman" w:cs="Times New Roman"/>
          <w:lang w:val="en-US" w:eastAsia="zh-CN"/>
        </w:rPr>
      </w:pPr>
    </w:p>
    <w:p w14:paraId="32B2F9FE">
      <w:pPr>
        <w:keepNext w:val="0"/>
        <w:keepLines w:val="0"/>
        <w:pageBreakBefore w:val="0"/>
        <w:widowControl w:val="0"/>
        <w:suppressAutoHyphens/>
        <w:kinsoku/>
        <w:wordWrap/>
        <w:overflowPunct/>
        <w:topLinePunct w:val="0"/>
        <w:autoSpaceDE/>
        <w:autoSpaceDN/>
        <w:bidi w:val="0"/>
        <w:adjustRightInd/>
        <w:snapToGrid w:val="0"/>
        <w:spacing w:line="600" w:lineRule="exact"/>
        <w:jc w:val="center"/>
        <w:textAlignment w:val="auto"/>
        <w:outlineLvl w:val="9"/>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遂宁高新区</w:t>
      </w:r>
      <w:r>
        <w:rPr>
          <w:rFonts w:hint="default" w:ascii="Times New Roman" w:hAnsi="Times New Roman" w:eastAsia="方正小标宋简体" w:cs="Times New Roman"/>
          <w:sz w:val="44"/>
          <w:szCs w:val="44"/>
          <w:lang w:val="en-US" w:eastAsia="zh-CN"/>
        </w:rPr>
        <w:t>退役军人服务中心</w:t>
      </w:r>
    </w:p>
    <w:p w14:paraId="6E8B814F">
      <w:pPr>
        <w:keepNext w:val="0"/>
        <w:keepLines w:val="0"/>
        <w:pageBreakBefore w:val="0"/>
        <w:widowControl w:val="0"/>
        <w:suppressAutoHyphens/>
        <w:kinsoku/>
        <w:wordWrap/>
        <w:overflowPunct/>
        <w:topLinePunct w:val="0"/>
        <w:autoSpaceDE/>
        <w:autoSpaceDN/>
        <w:bidi w:val="0"/>
        <w:adjustRightInd/>
        <w:snapToGrid w:val="0"/>
        <w:spacing w:line="600" w:lineRule="exact"/>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专项预算项目支出绩效自评报告</w:t>
      </w:r>
    </w:p>
    <w:p w14:paraId="2D5AC820">
      <w:pPr>
        <w:keepNext w:val="0"/>
        <w:keepLines w:val="0"/>
        <w:pageBreakBefore w:val="0"/>
        <w:widowControl w:val="0"/>
        <w:tabs>
          <w:tab w:val="left" w:pos="3885"/>
        </w:tabs>
        <w:suppressAutoHyphens/>
        <w:kinsoku/>
        <w:wordWrap/>
        <w:overflowPunct/>
        <w:topLinePunct w:val="0"/>
        <w:autoSpaceDE/>
        <w:autoSpaceDN/>
        <w:bidi w:val="0"/>
        <w:adjustRightInd/>
        <w:snapToGrid w:val="0"/>
        <w:spacing w:line="600" w:lineRule="exact"/>
        <w:jc w:val="center"/>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w:t>
      </w:r>
      <w:bookmarkStart w:id="108" w:name="OLE_LINK15"/>
      <w:bookmarkStart w:id="109" w:name="OLE_LINK32"/>
      <w:r>
        <w:rPr>
          <w:rFonts w:hint="default" w:ascii="Times New Roman" w:hAnsi="Times New Roman" w:eastAsia="仿宋_GB2312" w:cs="Times New Roman"/>
          <w:sz w:val="32"/>
        </w:rPr>
        <w:t>国防、双拥</w:t>
      </w:r>
      <w:r>
        <w:rPr>
          <w:rFonts w:hint="default" w:ascii="Times New Roman" w:hAnsi="Times New Roman" w:eastAsia="仿宋_GB2312" w:cs="Times New Roman"/>
          <w:sz w:val="32"/>
          <w:lang w:val="en-US" w:eastAsia="zh-CN"/>
        </w:rPr>
        <w:t>工作</w:t>
      </w:r>
      <w:r>
        <w:rPr>
          <w:rFonts w:hint="default" w:ascii="Times New Roman" w:hAnsi="Times New Roman" w:eastAsia="仿宋_GB2312" w:cs="Times New Roman"/>
          <w:sz w:val="32"/>
        </w:rPr>
        <w:t>经费</w:t>
      </w:r>
      <w:bookmarkEnd w:id="108"/>
      <w:r>
        <w:rPr>
          <w:rFonts w:hint="default" w:ascii="Times New Roman" w:hAnsi="Times New Roman" w:eastAsia="仿宋_GB2312" w:cs="Times New Roman"/>
          <w:sz w:val="32"/>
        </w:rPr>
        <w:t>项目</w:t>
      </w:r>
      <w:bookmarkEnd w:id="109"/>
      <w:r>
        <w:rPr>
          <w:rFonts w:hint="default" w:ascii="Times New Roman" w:hAnsi="Times New Roman" w:eastAsia="仿宋_GB2312" w:cs="Times New Roman"/>
          <w:sz w:val="32"/>
        </w:rPr>
        <w:t>）</w:t>
      </w:r>
    </w:p>
    <w:p w14:paraId="6DC3EEB0">
      <w:pPr>
        <w:widowControl w:val="0"/>
        <w:spacing w:line="620" w:lineRule="exact"/>
        <w:jc w:val="both"/>
        <w:rPr>
          <w:rFonts w:hint="default" w:ascii="Times New Roman" w:hAnsi="Times New Roman" w:eastAsia="宋体" w:cs="Times New Roman"/>
          <w:color w:val="auto"/>
          <w:kern w:val="2"/>
          <w:sz w:val="32"/>
          <w:szCs w:val="32"/>
          <w:lang w:val="zh-CN" w:eastAsia="zh-CN" w:bidi="ar-SA"/>
        </w:rPr>
      </w:pPr>
    </w:p>
    <w:p w14:paraId="743AB68E">
      <w:pPr>
        <w:suppressAutoHyphens/>
        <w:bidi w:val="0"/>
        <w:adjustRightInd w:val="0"/>
        <w:snapToGrid w:val="0"/>
        <w:spacing w:line="590" w:lineRule="exact"/>
        <w:ind w:firstLine="640" w:firstLineChars="200"/>
        <w:rPr>
          <w:rFonts w:hint="default" w:ascii="Times New Roman" w:hAnsi="Times New Roman" w:eastAsia="黑体" w:cs="Times New Roman"/>
          <w:sz w:val="32"/>
          <w:lang w:val="zh-CN"/>
        </w:rPr>
      </w:pPr>
      <w:r>
        <w:rPr>
          <w:rFonts w:hint="default" w:ascii="Times New Roman" w:hAnsi="Times New Roman" w:eastAsia="黑体" w:cs="Times New Roman"/>
          <w:sz w:val="32"/>
        </w:rPr>
        <w:t>一、</w:t>
      </w:r>
      <w:r>
        <w:rPr>
          <w:rFonts w:hint="default" w:ascii="Times New Roman" w:hAnsi="Times New Roman" w:eastAsia="黑体" w:cs="Times New Roman"/>
          <w:sz w:val="32"/>
          <w:lang w:val="zh-CN"/>
        </w:rPr>
        <w:t>项目概况</w:t>
      </w:r>
    </w:p>
    <w:p w14:paraId="459AAF91">
      <w:pPr>
        <w:suppressAutoHyphens/>
        <w:bidi w:val="0"/>
        <w:adjustRightInd w:val="0"/>
        <w:snapToGrid w:val="0"/>
        <w:spacing w:line="590" w:lineRule="exact"/>
        <w:ind w:firstLine="643" w:firstLineChars="200"/>
        <w:rPr>
          <w:rFonts w:hint="default" w:ascii="Times New Roman" w:hAnsi="Times New Roman" w:eastAsia="楷体_GB2312" w:cs="Times New Roman"/>
          <w:b/>
          <w:sz w:val="32"/>
          <w:lang w:val="zh-CN"/>
        </w:rPr>
      </w:pPr>
      <w:r>
        <w:rPr>
          <w:rFonts w:hint="default" w:ascii="Times New Roman" w:hAnsi="Times New Roman" w:eastAsia="楷体_GB2312" w:cs="Times New Roman"/>
          <w:b/>
          <w:sz w:val="32"/>
          <w:lang w:val="zh-CN"/>
        </w:rPr>
        <w:t>（一）项目基本情况</w:t>
      </w:r>
    </w:p>
    <w:p w14:paraId="7733C968">
      <w:pPr>
        <w:suppressAutoHyphens/>
        <w:bidi w:val="0"/>
        <w:adjustRightInd w:val="0"/>
        <w:snapToGrid w:val="0"/>
        <w:spacing w:line="590" w:lineRule="exact"/>
        <w:ind w:firstLine="640" w:firstLineChars="200"/>
        <w:rPr>
          <w:rFonts w:hint="default" w:ascii="Times New Roman" w:hAnsi="Times New Roman" w:eastAsia="仿宋_GB2312" w:cs="Times New Roman"/>
          <w:color w:val="FF0000"/>
          <w:sz w:val="32"/>
          <w:lang w:val="zh-CN"/>
        </w:rPr>
      </w:pPr>
      <w:r>
        <w:rPr>
          <w:rFonts w:hint="default" w:ascii="Times New Roman" w:hAnsi="Times New Roman" w:eastAsia="仿宋_GB2312" w:cs="Times New Roman"/>
          <w:sz w:val="32"/>
          <w:lang w:val="zh-CN"/>
        </w:rPr>
        <w:t>1</w:t>
      </w:r>
      <w:r>
        <w:rPr>
          <w:rFonts w:hint="default" w:ascii="Times New Roman" w:hAnsi="Times New Roman" w:eastAsia="仿宋_GB2312" w:cs="Times New Roman"/>
          <w:color w:val="000000"/>
          <w:sz w:val="32"/>
          <w:lang w:val="zh-CN"/>
        </w:rPr>
        <w:t xml:space="preserve">. </w:t>
      </w:r>
      <w:r>
        <w:rPr>
          <w:rFonts w:hint="default" w:ascii="Times New Roman" w:hAnsi="Times New Roman" w:eastAsia="仿宋_GB2312" w:cs="Times New Roman"/>
          <w:color w:val="000000"/>
          <w:sz w:val="32"/>
          <w:lang w:val="zh-CN"/>
        </w:rPr>
        <w:t>说明项目主管部门（单位）在该项目管理中的职能。</w:t>
      </w:r>
    </w:p>
    <w:p w14:paraId="0BC126A4">
      <w:pPr>
        <w:keepNext w:val="0"/>
        <w:keepLines w:val="0"/>
        <w:pageBreakBefore w:val="0"/>
        <w:widowControl w:val="0"/>
        <w:numPr>
          <w:ilvl w:val="0"/>
          <w:numId w:val="0"/>
        </w:numPr>
        <w:tabs>
          <w:tab w:val="left" w:pos="3885"/>
        </w:tabs>
        <w:suppressAutoHyphens/>
        <w:kinsoku/>
        <w:wordWrap/>
        <w:overflowPunct/>
        <w:topLinePunct w:val="0"/>
        <w:autoSpaceDE/>
        <w:autoSpaceDN/>
        <w:bidi w:val="0"/>
        <w:adjustRightInd/>
        <w:snapToGrid w:val="0"/>
        <w:spacing w:line="600" w:lineRule="exact"/>
        <w:ind w:firstLine="640" w:firstLineChars="200"/>
        <w:jc w:val="left"/>
        <w:textAlignment w:val="auto"/>
        <w:outlineLvl w:val="9"/>
        <w:rPr>
          <w:rFonts w:hint="default" w:ascii="Times New Roman" w:hAnsi="Times New Roman" w:eastAsia="仿宋_GB2312" w:cs="Times New Roman"/>
          <w:sz w:val="32"/>
          <w:lang w:val="zh-CN"/>
        </w:rPr>
      </w:pPr>
      <w:r>
        <w:rPr>
          <w:rFonts w:hint="default" w:ascii="Times New Roman" w:hAnsi="Times New Roman" w:eastAsia="仿宋_GB2312" w:cs="Times New Roman"/>
          <w:kern w:val="2"/>
          <w:sz w:val="32"/>
          <w:szCs w:val="32"/>
          <w:lang w:val="en-US" w:eastAsia="zh-CN" w:bidi="zh-TW"/>
        </w:rPr>
        <w:t>为进一步密切军政军民关系，激发广大人民群众参与双拥活动的积极性，巩固军政军民团结良好局面，有力地推进我区双拥工作的发展，为巩固我市全国双拥模范城奠定更加坚实的基础。</w:t>
      </w:r>
    </w:p>
    <w:p w14:paraId="5771D9D9">
      <w:pPr>
        <w:numPr>
          <w:ilvl w:val="0"/>
          <w:numId w:val="5"/>
        </w:numPr>
        <w:suppressAutoHyphens/>
        <w:bidi w:val="0"/>
        <w:adjustRightInd w:val="0"/>
        <w:snapToGrid w:val="0"/>
        <w:spacing w:line="590" w:lineRule="exact"/>
        <w:ind w:firstLine="640" w:firstLineChars="200"/>
        <w:rPr>
          <w:rFonts w:hint="default" w:ascii="Times New Roman" w:hAnsi="Times New Roman" w:eastAsia="仿宋_GB2312" w:cs="Times New Roman"/>
          <w:color w:val="000000"/>
          <w:sz w:val="32"/>
          <w:lang w:val="zh-CN"/>
        </w:rPr>
      </w:pPr>
      <w:r>
        <w:rPr>
          <w:rFonts w:hint="default" w:ascii="Times New Roman" w:hAnsi="Times New Roman" w:eastAsia="仿宋_GB2312" w:cs="Times New Roman"/>
          <w:color w:val="000000"/>
          <w:sz w:val="32"/>
          <w:lang w:val="zh-CN"/>
        </w:rPr>
        <w:t>项目立项、资金申报的依据。</w:t>
      </w:r>
    </w:p>
    <w:p w14:paraId="1606D3E9">
      <w:pPr>
        <w:keepNext w:val="0"/>
        <w:keepLines w:val="0"/>
        <w:pageBreakBefore w:val="0"/>
        <w:widowControl w:val="0"/>
        <w:suppressAutoHyphens/>
        <w:kinsoku/>
        <w:wordWrap/>
        <w:overflowPunct/>
        <w:topLinePunct w:val="0"/>
        <w:autoSpaceDE/>
        <w:autoSpaceDN/>
        <w:bidi w:val="0"/>
        <w:adjustRightInd/>
        <w:snapToGrid w:val="0"/>
        <w:spacing w:line="600" w:lineRule="exact"/>
        <w:ind w:firstLine="640" w:firstLineChars="200"/>
        <w:textAlignment w:val="auto"/>
        <w:outlineLvl w:val="9"/>
        <w:rPr>
          <w:rFonts w:hint="default" w:ascii="Times New Roman" w:hAnsi="Times New Roman" w:eastAsia="楷体_GB2312" w:cs="Times New Roman"/>
          <w:spacing w:val="8"/>
          <w:sz w:val="32"/>
          <w:szCs w:val="32"/>
          <w:lang w:eastAsia="zh-CN"/>
        </w:rPr>
      </w:pPr>
      <w:r>
        <w:rPr>
          <w:rFonts w:hint="default" w:ascii="Times New Roman" w:hAnsi="Times New Roman" w:eastAsia="仿宋_GB2312" w:cs="Times New Roman"/>
          <w:sz w:val="32"/>
          <w:lang w:val="zh-CN"/>
        </w:rPr>
        <w:t xml:space="preserve"> </w:t>
      </w:r>
      <w:r>
        <w:rPr>
          <w:rFonts w:hint="default" w:ascii="Times New Roman" w:hAnsi="Times New Roman" w:eastAsia="仿宋_GB2312" w:cs="Times New Roman"/>
          <w:sz w:val="32"/>
          <w:szCs w:val="32"/>
          <w:lang w:val="en-US" w:eastAsia="zh-CN"/>
        </w:rPr>
        <w:t>根据《遂宁市拥军优属拥政爱民工作领导小组关于印发&lt;关于开展新一届全国双拥模范城（县）创建工作的通知&gt;》（遂拥办〔2023〕7号）及《遂宁高新区党政办公室关于进一步加强双拥宣传工作的通知》（遂高办〔2023〕60号）文件</w:t>
      </w:r>
      <w:r>
        <w:rPr>
          <w:rFonts w:hint="default" w:ascii="Times New Roman" w:hAnsi="Times New Roman" w:eastAsia="仿宋_GB2312" w:cs="Times New Roman"/>
          <w:sz w:val="32"/>
          <w:szCs w:val="32"/>
          <w:lang w:eastAsia="zh-CN"/>
        </w:rPr>
        <w:t>精神</w:t>
      </w:r>
      <w:r>
        <w:rPr>
          <w:rFonts w:hint="default" w:ascii="Times New Roman" w:hAnsi="Times New Roman" w:eastAsia="仿宋_GB2312" w:cs="Times New Roman"/>
          <w:kern w:val="0"/>
          <w:sz w:val="32"/>
          <w:szCs w:val="32"/>
          <w:lang w:val="en-US" w:eastAsia="zh-CN" w:bidi="ar"/>
        </w:rPr>
        <w:t>执行</w:t>
      </w:r>
      <w:r>
        <w:rPr>
          <w:rFonts w:hint="default" w:ascii="Times New Roman" w:hAnsi="Times New Roman" w:eastAsia="仿宋_GB2312" w:cs="Times New Roman"/>
          <w:color w:val="auto"/>
          <w:sz w:val="32"/>
          <w:szCs w:val="32"/>
          <w:highlight w:val="none"/>
          <w:lang w:val="en-US" w:eastAsia="zh-CN"/>
        </w:rPr>
        <w:t>。</w:t>
      </w:r>
    </w:p>
    <w:p w14:paraId="3794B27F">
      <w:pPr>
        <w:numPr>
          <w:ilvl w:val="0"/>
          <w:numId w:val="0"/>
        </w:numPr>
        <w:suppressAutoHyphens/>
        <w:bidi w:val="0"/>
        <w:adjustRightInd w:val="0"/>
        <w:snapToGrid w:val="0"/>
        <w:spacing w:line="590" w:lineRule="exact"/>
        <w:ind w:firstLine="640" w:firstLineChars="200"/>
        <w:rPr>
          <w:rFonts w:hint="default" w:ascii="Times New Roman" w:hAnsi="Times New Roman" w:eastAsia="仿宋_GB2312" w:cs="Times New Roman"/>
          <w:color w:val="000000"/>
          <w:sz w:val="32"/>
          <w:lang w:val="zh-CN"/>
        </w:rPr>
      </w:pPr>
      <w:r>
        <w:rPr>
          <w:rFonts w:hint="default" w:ascii="Times New Roman" w:hAnsi="Times New Roman" w:eastAsia="仿宋_GB2312" w:cs="Times New Roman"/>
          <w:color w:val="000000"/>
          <w:sz w:val="32"/>
          <w:lang w:val="en-US" w:eastAsia="zh-CN"/>
        </w:rPr>
        <w:t>3.</w:t>
      </w:r>
      <w:r>
        <w:rPr>
          <w:rFonts w:hint="default" w:ascii="Times New Roman" w:hAnsi="Times New Roman" w:eastAsia="仿宋_GB2312" w:cs="Times New Roman"/>
          <w:color w:val="000000"/>
          <w:sz w:val="32"/>
          <w:lang w:val="zh-CN"/>
        </w:rPr>
        <w:t>资金管理办法制定情况，资金支持具体项目的条件、范围与支持方式概况。</w:t>
      </w:r>
    </w:p>
    <w:p w14:paraId="3F83CE8B">
      <w:pPr>
        <w:numPr>
          <w:ilvl w:val="0"/>
          <w:numId w:val="0"/>
        </w:numPr>
        <w:suppressAutoHyphens/>
        <w:bidi w:val="0"/>
        <w:adjustRightInd w:val="0"/>
        <w:snapToGrid w:val="0"/>
        <w:spacing w:line="590" w:lineRule="exact"/>
        <w:ind w:firstLine="640" w:firstLineChars="200"/>
        <w:rPr>
          <w:rFonts w:hint="default" w:ascii="Times New Roman" w:hAnsi="Times New Roman" w:eastAsia="仿宋_GB2312" w:cs="Times New Roman"/>
          <w:color w:val="FF0000"/>
          <w:sz w:val="32"/>
          <w:lang w:val="en-US" w:eastAsia="zh-CN"/>
        </w:rPr>
      </w:pPr>
      <w:r>
        <w:rPr>
          <w:rFonts w:hint="default" w:ascii="Times New Roman" w:hAnsi="Times New Roman" w:eastAsia="仿宋_GB2312" w:cs="Times New Roman"/>
          <w:color w:val="000000"/>
          <w:sz w:val="32"/>
          <w:lang w:val="en-US" w:eastAsia="zh-CN"/>
        </w:rPr>
        <w:t>严格财政金融局资金管理办法进行资金管理，按照文件要求和人员人数进行资金拨付。</w:t>
      </w:r>
    </w:p>
    <w:p w14:paraId="5388C047">
      <w:pPr>
        <w:suppressAutoHyphens/>
        <w:bidi w:val="0"/>
        <w:adjustRightInd w:val="0"/>
        <w:snapToGrid w:val="0"/>
        <w:spacing w:line="590" w:lineRule="exact"/>
        <w:ind w:firstLine="640" w:firstLineChars="200"/>
        <w:rPr>
          <w:rFonts w:hint="default" w:ascii="Times New Roman" w:hAnsi="Times New Roman" w:eastAsia="仿宋_GB2312" w:cs="Times New Roman"/>
          <w:color w:val="000000"/>
          <w:sz w:val="32"/>
          <w:lang w:val="zh-CN"/>
        </w:rPr>
      </w:pPr>
      <w:r>
        <w:rPr>
          <w:rFonts w:hint="default" w:ascii="Times New Roman" w:hAnsi="Times New Roman" w:eastAsia="仿宋_GB2312" w:cs="Times New Roman"/>
          <w:color w:val="000000"/>
          <w:sz w:val="32"/>
          <w:lang w:val="zh-CN"/>
        </w:rPr>
        <w:t>4</w:t>
      </w:r>
      <w:r>
        <w:rPr>
          <w:rFonts w:hint="default" w:ascii="Times New Roman" w:hAnsi="Times New Roman" w:eastAsia="仿宋_GB2312" w:cs="Times New Roman"/>
          <w:color w:val="000000"/>
          <w:sz w:val="32"/>
          <w:lang w:val="zh-CN"/>
        </w:rPr>
        <w:t xml:space="preserve">. </w:t>
      </w:r>
      <w:r>
        <w:rPr>
          <w:rFonts w:hint="default" w:ascii="Times New Roman" w:hAnsi="Times New Roman" w:eastAsia="仿宋_GB2312" w:cs="Times New Roman"/>
          <w:color w:val="000000"/>
          <w:sz w:val="32"/>
          <w:lang w:val="zh-CN"/>
        </w:rPr>
        <w:t>资金分配的原则及考虑因素。</w:t>
      </w:r>
    </w:p>
    <w:p w14:paraId="4D6D4C41">
      <w:pPr>
        <w:suppressAutoHyphens/>
        <w:bidi w:val="0"/>
        <w:adjustRightInd w:val="0"/>
        <w:snapToGrid w:val="0"/>
        <w:spacing w:line="590" w:lineRule="exact"/>
        <w:ind w:firstLine="640" w:firstLineChars="200"/>
        <w:rPr>
          <w:rFonts w:hint="default" w:ascii="Times New Roman" w:hAnsi="Times New Roman" w:eastAsia="仿宋_GB2312" w:cs="Times New Roman"/>
          <w:color w:val="FF0000"/>
          <w:sz w:val="32"/>
          <w:lang w:val="zh-CN"/>
        </w:rPr>
      </w:pPr>
      <w:r>
        <w:rPr>
          <w:rFonts w:hint="default" w:ascii="Times New Roman" w:hAnsi="Times New Roman" w:eastAsia="仿宋_GB2312" w:cs="Times New Roman"/>
          <w:sz w:val="32"/>
          <w:szCs w:val="32"/>
          <w:lang w:eastAsia="zh-CN"/>
        </w:rPr>
        <w:t>该项目资金计划据实申报，</w:t>
      </w:r>
      <w:r>
        <w:rPr>
          <w:rFonts w:hint="default" w:ascii="Times New Roman" w:hAnsi="Times New Roman" w:eastAsia="仿宋_GB2312" w:cs="Times New Roman"/>
          <w:sz w:val="32"/>
          <w:szCs w:val="32"/>
          <w:lang w:val="en-US" w:eastAsia="zh-CN"/>
        </w:rPr>
        <w:t>财政金融局按照标准</w:t>
      </w:r>
      <w:r>
        <w:rPr>
          <w:rFonts w:hint="default" w:ascii="Times New Roman" w:hAnsi="Times New Roman" w:eastAsia="仿宋_GB2312" w:cs="Times New Roman"/>
          <w:sz w:val="32"/>
          <w:szCs w:val="32"/>
          <w:lang w:eastAsia="zh-CN"/>
        </w:rPr>
        <w:t>严格</w:t>
      </w:r>
      <w:r>
        <w:rPr>
          <w:rFonts w:hint="default" w:ascii="Times New Roman" w:hAnsi="Times New Roman" w:eastAsia="仿宋_GB2312" w:cs="Times New Roman"/>
          <w:sz w:val="32"/>
          <w:szCs w:val="32"/>
          <w:lang w:val="en-US" w:eastAsia="zh-CN"/>
        </w:rPr>
        <w:t>审核通过。</w:t>
      </w:r>
    </w:p>
    <w:p w14:paraId="5E09AD55">
      <w:pPr>
        <w:suppressAutoHyphens/>
        <w:bidi w:val="0"/>
        <w:adjustRightInd w:val="0"/>
        <w:snapToGrid w:val="0"/>
        <w:spacing w:line="590" w:lineRule="exact"/>
        <w:ind w:firstLine="643" w:firstLineChars="200"/>
        <w:rPr>
          <w:rFonts w:hint="default" w:ascii="Times New Roman" w:hAnsi="Times New Roman" w:eastAsia="楷体_GB2312" w:cs="Times New Roman"/>
          <w:b/>
          <w:sz w:val="32"/>
          <w:lang w:val="zh-CN"/>
        </w:rPr>
      </w:pPr>
      <w:r>
        <w:rPr>
          <w:rFonts w:hint="default" w:ascii="Times New Roman" w:hAnsi="Times New Roman" w:eastAsia="楷体_GB2312" w:cs="Times New Roman"/>
          <w:b/>
          <w:sz w:val="32"/>
          <w:lang w:val="zh-CN"/>
        </w:rPr>
        <w:t>（二）项目绩效目标</w:t>
      </w:r>
    </w:p>
    <w:p w14:paraId="4877B99C">
      <w:pPr>
        <w:suppressAutoHyphens/>
        <w:bidi w:val="0"/>
        <w:adjustRightInd w:val="0"/>
        <w:snapToGrid w:val="0"/>
        <w:spacing w:line="590" w:lineRule="exact"/>
        <w:ind w:firstLine="640" w:firstLineChars="200"/>
        <w:rPr>
          <w:rFonts w:hint="default" w:ascii="Times New Roman" w:hAnsi="Times New Roman" w:eastAsia="仿宋_GB2312" w:cs="Times New Roman"/>
          <w:color w:val="000000"/>
          <w:sz w:val="32"/>
          <w:lang w:val="zh-CN"/>
        </w:rPr>
      </w:pPr>
      <w:r>
        <w:rPr>
          <w:rFonts w:hint="default" w:ascii="Times New Roman" w:hAnsi="Times New Roman" w:eastAsia="仿宋_GB2312" w:cs="Times New Roman"/>
          <w:color w:val="000000"/>
          <w:sz w:val="32"/>
          <w:lang w:val="zh-CN"/>
        </w:rPr>
        <w:t>1</w:t>
      </w:r>
      <w:r>
        <w:rPr>
          <w:rFonts w:hint="default" w:ascii="Times New Roman" w:hAnsi="Times New Roman" w:eastAsia="仿宋_GB2312" w:cs="Times New Roman"/>
          <w:color w:val="000000"/>
          <w:sz w:val="32"/>
          <w:lang w:val="zh-CN"/>
        </w:rPr>
        <w:t xml:space="preserve">. </w:t>
      </w:r>
      <w:r>
        <w:rPr>
          <w:rFonts w:hint="default" w:ascii="Times New Roman" w:hAnsi="Times New Roman" w:eastAsia="仿宋_GB2312" w:cs="Times New Roman"/>
          <w:color w:val="000000"/>
          <w:sz w:val="32"/>
          <w:lang w:val="zh-CN"/>
        </w:rPr>
        <w:t>项目主要内容。</w:t>
      </w:r>
    </w:p>
    <w:p w14:paraId="73EA9CB5">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600" w:lineRule="exact"/>
        <w:ind w:firstLine="640" w:firstLineChars="200"/>
        <w:jc w:val="left"/>
        <w:textAlignment w:val="auto"/>
        <w:outlineLvl w:val="9"/>
        <w:rPr>
          <w:rFonts w:hint="default" w:ascii="Times New Roman" w:hAnsi="Times New Roman" w:eastAsia="仿宋_GB2312" w:cs="Times New Roman"/>
          <w:b w:val="0"/>
          <w:bCs w:val="0"/>
          <w:sz w:val="32"/>
          <w:szCs w:val="21"/>
          <w:lang w:val="en-US" w:eastAsia="zh-CN"/>
        </w:rPr>
      </w:pPr>
      <w:r>
        <w:rPr>
          <w:rFonts w:hint="default" w:ascii="Times New Roman" w:hAnsi="Times New Roman" w:eastAsia="仿宋_GB2312" w:cs="Times New Roman"/>
          <w:b w:val="0"/>
          <w:bCs w:val="0"/>
          <w:sz w:val="32"/>
          <w:szCs w:val="21"/>
          <w:lang w:val="en-US" w:eastAsia="zh-CN"/>
        </w:rPr>
        <w:t>通过项目实施，</w:t>
      </w:r>
      <w:r>
        <w:rPr>
          <w:rFonts w:hint="default" w:ascii="Times New Roman" w:hAnsi="Times New Roman" w:eastAsia="仿宋_GB2312" w:cs="Times New Roman"/>
          <w:kern w:val="2"/>
          <w:sz w:val="32"/>
          <w:szCs w:val="32"/>
          <w:lang w:val="en-US" w:eastAsia="zh-CN" w:bidi="zh-TW"/>
        </w:rPr>
        <w:t>为进一步密切军政军民关系，激发广大人民群众参与双拥活动的积极性，巩固军政军民团结良好局面，有力地推进我区双拥工作的发展，为巩固我市全国双拥模范城奠定更加坚实的基础</w:t>
      </w:r>
      <w:r>
        <w:rPr>
          <w:rFonts w:hint="default" w:ascii="Times New Roman" w:hAnsi="Times New Roman" w:eastAsia="仿宋_GB2312" w:cs="Times New Roman"/>
          <w:b w:val="0"/>
          <w:bCs w:val="0"/>
          <w:sz w:val="32"/>
          <w:szCs w:val="21"/>
          <w:lang w:val="en-US" w:eastAsia="zh-CN"/>
        </w:rPr>
        <w:t>。</w:t>
      </w:r>
    </w:p>
    <w:p w14:paraId="714A02C9">
      <w:pPr>
        <w:numPr>
          <w:ilvl w:val="0"/>
          <w:numId w:val="0"/>
        </w:numPr>
        <w:suppressAutoHyphens/>
        <w:bidi w:val="0"/>
        <w:adjustRightInd w:val="0"/>
        <w:snapToGrid w:val="0"/>
        <w:spacing w:line="590" w:lineRule="exact"/>
        <w:ind w:firstLine="640" w:firstLineChars="200"/>
        <w:rPr>
          <w:rFonts w:hint="default" w:ascii="Times New Roman" w:hAnsi="Times New Roman" w:eastAsia="仿宋_GB2312" w:cs="Times New Roman"/>
          <w:color w:val="000000"/>
          <w:sz w:val="32"/>
          <w:lang w:val="zh-CN"/>
        </w:rPr>
      </w:pPr>
      <w:r>
        <w:rPr>
          <w:rFonts w:hint="default" w:ascii="Times New Roman" w:hAnsi="Times New Roman" w:eastAsia="仿宋_GB2312" w:cs="Times New Roman"/>
          <w:color w:val="000000"/>
          <w:sz w:val="32"/>
          <w:lang w:val="en-US" w:eastAsia="zh-CN"/>
        </w:rPr>
        <w:t>2.</w:t>
      </w:r>
      <w:r>
        <w:rPr>
          <w:rFonts w:hint="default" w:ascii="Times New Roman" w:hAnsi="Times New Roman" w:eastAsia="仿宋_GB2312" w:cs="Times New Roman"/>
          <w:color w:val="000000"/>
          <w:sz w:val="32"/>
          <w:lang w:val="zh-CN"/>
        </w:rPr>
        <w:t>项目应实现的具体绩效目标，包括目标的量化、细化情况以及项目实施进度计划等。</w:t>
      </w:r>
    </w:p>
    <w:p w14:paraId="79D3BD16">
      <w:pPr>
        <w:keepNext w:val="0"/>
        <w:keepLines w:val="0"/>
        <w:pageBreakBefore w:val="0"/>
        <w:widowControl/>
        <w:suppressAutoHyphen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lang w:val="zh-CN"/>
        </w:rPr>
      </w:pPr>
      <w:r>
        <w:rPr>
          <w:rFonts w:hint="default" w:ascii="Times New Roman" w:hAnsi="Times New Roman" w:eastAsia="仿宋_GB2312" w:cs="Times New Roman"/>
          <w:b w:val="0"/>
          <w:bCs w:val="0"/>
          <w:sz w:val="32"/>
          <w:szCs w:val="21"/>
          <w:lang w:val="en-US" w:eastAsia="zh-CN"/>
        </w:rPr>
        <w:t>项目实施按要求报审后，进行</w:t>
      </w:r>
      <w:r>
        <w:rPr>
          <w:rFonts w:hint="default" w:ascii="Times New Roman" w:hAnsi="Times New Roman" w:eastAsia="仿宋_GB2312" w:cs="Times New Roman"/>
          <w:sz w:val="32"/>
          <w:szCs w:val="32"/>
          <w:lang w:val="en-US" w:eastAsia="zh-CN"/>
        </w:rPr>
        <w:t>实施。</w:t>
      </w:r>
      <w:r>
        <w:rPr>
          <w:rFonts w:hint="default" w:ascii="Times New Roman" w:hAnsi="Times New Roman" w:eastAsia="仿宋_GB2312" w:cs="Times New Roman"/>
          <w:b w:val="0"/>
          <w:bCs w:val="0"/>
          <w:sz w:val="32"/>
          <w:szCs w:val="21"/>
          <w:lang w:val="en-US" w:eastAsia="zh-CN"/>
        </w:rPr>
        <w:t>2023年打造双拥小区、双拥公园、制作大型双拥宣传牌、订阅《中国双拥》《中国退役军人》杂志等，</w:t>
      </w:r>
      <w:r>
        <w:rPr>
          <w:rFonts w:hint="default" w:ascii="Times New Roman" w:hAnsi="Times New Roman" w:eastAsia="仿宋_GB2312" w:cs="Times New Roman"/>
          <w:b w:val="0"/>
          <w:bCs w:val="0"/>
          <w:sz w:val="32"/>
          <w:szCs w:val="21"/>
          <w:lang w:val="en-US" w:eastAsia="zh-CN"/>
        </w:rPr>
        <w:t>共</w:t>
      </w:r>
      <w:r>
        <w:rPr>
          <w:rFonts w:hint="default" w:ascii="Times New Roman" w:hAnsi="Times New Roman" w:eastAsia="仿宋_GB2312" w:cs="Times New Roman"/>
          <w:b w:val="0"/>
          <w:bCs w:val="0"/>
          <w:sz w:val="32"/>
          <w:szCs w:val="21"/>
          <w:lang w:val="en-US" w:eastAsia="zh-CN"/>
        </w:rPr>
        <w:t>使用</w:t>
      </w:r>
      <w:r>
        <w:rPr>
          <w:rFonts w:hint="default" w:ascii="Times New Roman" w:hAnsi="Times New Roman" w:eastAsia="仿宋_GB2312" w:cs="Times New Roman"/>
          <w:b w:val="0"/>
          <w:bCs w:val="0"/>
          <w:sz w:val="32"/>
          <w:szCs w:val="21"/>
          <w:lang w:val="en-US" w:eastAsia="zh-CN"/>
        </w:rPr>
        <w:t>18.45</w:t>
      </w:r>
      <w:r>
        <w:rPr>
          <w:rFonts w:hint="default" w:ascii="Times New Roman" w:hAnsi="Times New Roman" w:eastAsia="仿宋_GB2312" w:cs="Times New Roman"/>
          <w:b w:val="0"/>
          <w:bCs w:val="0"/>
          <w:sz w:val="32"/>
          <w:szCs w:val="21"/>
          <w:lang w:val="en-US" w:eastAsia="zh-CN"/>
        </w:rPr>
        <w:t>万元，</w:t>
      </w:r>
      <w:r>
        <w:rPr>
          <w:rFonts w:hint="default" w:ascii="Times New Roman" w:hAnsi="Times New Roman" w:eastAsia="仿宋_GB2312" w:cs="Times New Roman"/>
          <w:b w:val="0"/>
          <w:bCs w:val="0"/>
          <w:sz w:val="32"/>
          <w:szCs w:val="21"/>
          <w:lang w:val="en-US" w:eastAsia="zh-CN"/>
        </w:rPr>
        <w:t>已按实际金额支付。</w:t>
      </w:r>
    </w:p>
    <w:p w14:paraId="009B5FC2">
      <w:pPr>
        <w:suppressAutoHyphens/>
        <w:bidi w:val="0"/>
        <w:adjustRightInd w:val="0"/>
        <w:snapToGrid w:val="0"/>
        <w:spacing w:line="590" w:lineRule="exact"/>
        <w:ind w:firstLine="640" w:firstLineChars="200"/>
        <w:rPr>
          <w:rFonts w:hint="default" w:ascii="Times New Roman" w:hAnsi="Times New Roman" w:eastAsia="仿宋_GB2312" w:cs="Times New Roman"/>
          <w:color w:val="000000"/>
          <w:spacing w:val="-5"/>
          <w:sz w:val="32"/>
          <w:lang w:val="zh-CN"/>
        </w:rPr>
      </w:pPr>
      <w:r>
        <w:rPr>
          <w:rFonts w:hint="default" w:ascii="Times New Roman" w:hAnsi="Times New Roman" w:eastAsia="仿宋_GB2312" w:cs="Times New Roman"/>
          <w:sz w:val="32"/>
          <w:lang w:val="zh-CN"/>
        </w:rPr>
        <w:t>3</w:t>
      </w:r>
      <w:r>
        <w:rPr>
          <w:rFonts w:hint="default" w:ascii="Times New Roman" w:hAnsi="Times New Roman" w:eastAsia="仿宋_GB2312" w:cs="Times New Roman"/>
          <w:sz w:val="32"/>
          <w:lang w:val="zh-CN"/>
        </w:rPr>
        <w:t xml:space="preserve">. </w:t>
      </w:r>
      <w:r>
        <w:rPr>
          <w:rFonts w:hint="default" w:ascii="Times New Roman" w:hAnsi="Times New Roman" w:eastAsia="仿宋_GB2312" w:cs="Times New Roman"/>
          <w:color w:val="000000"/>
          <w:spacing w:val="-5"/>
          <w:sz w:val="32"/>
          <w:lang w:val="zh-CN"/>
        </w:rPr>
        <w:t>分析评价申报内容是否与实际相符，申报目标是否合理可行。</w:t>
      </w:r>
    </w:p>
    <w:p w14:paraId="15AE3907">
      <w:pPr>
        <w:suppressAutoHyphens/>
        <w:bidi w:val="0"/>
        <w:adjustRightInd w:val="0"/>
        <w:snapToGrid w:val="0"/>
        <w:spacing w:line="590" w:lineRule="exact"/>
        <w:ind w:firstLine="640" w:firstLineChars="200"/>
        <w:rPr>
          <w:rFonts w:hint="default" w:ascii="Times New Roman" w:hAnsi="Times New Roman" w:eastAsia="楷体_GB2312" w:cs="Times New Roman"/>
          <w:b/>
          <w:sz w:val="32"/>
          <w:lang w:val="zh-CN"/>
        </w:rPr>
      </w:pPr>
      <w:r>
        <w:rPr>
          <w:rFonts w:hint="default" w:ascii="Times New Roman" w:hAnsi="Times New Roman" w:eastAsia="仿宋_GB2312" w:cs="Times New Roman"/>
          <w:b w:val="0"/>
          <w:bCs w:val="0"/>
          <w:snapToGrid w:val="0"/>
          <w:color w:val="000000"/>
          <w:spacing w:val="0"/>
          <w:kern w:val="0"/>
          <w:position w:val="0"/>
          <w:sz w:val="32"/>
          <w:szCs w:val="32"/>
          <w:lang w:val="en-US" w:eastAsia="zh-CN"/>
        </w:rPr>
        <w:t>中心</w:t>
      </w:r>
      <w:r>
        <w:rPr>
          <w:rFonts w:hint="default" w:ascii="Times New Roman" w:hAnsi="Times New Roman" w:eastAsia="仿宋_GB2312" w:cs="Times New Roman"/>
          <w:b w:val="0"/>
          <w:bCs w:val="0"/>
          <w:snapToGrid w:val="0"/>
          <w:color w:val="000000"/>
          <w:spacing w:val="0"/>
          <w:kern w:val="0"/>
          <w:position w:val="0"/>
          <w:sz w:val="32"/>
          <w:szCs w:val="32"/>
          <w:lang w:val="en-US" w:eastAsia="zh-CN"/>
        </w:rPr>
        <w:t>充分考虑了项目的实际情况，确保</w:t>
      </w:r>
      <w:r>
        <w:rPr>
          <w:rFonts w:hint="default" w:ascii="Times New Roman" w:hAnsi="Times New Roman" w:eastAsia="仿宋_GB2312" w:cs="Times New Roman"/>
          <w:b w:val="0"/>
          <w:bCs w:val="0"/>
          <w:snapToGrid w:val="0"/>
          <w:color w:val="000000"/>
          <w:spacing w:val="0"/>
          <w:kern w:val="0"/>
          <w:position w:val="0"/>
          <w:sz w:val="32"/>
          <w:szCs w:val="32"/>
          <w:lang w:val="en-US" w:eastAsia="zh-CN"/>
        </w:rPr>
        <w:t>申报</w:t>
      </w:r>
      <w:r>
        <w:rPr>
          <w:rFonts w:hint="default" w:ascii="Times New Roman" w:hAnsi="Times New Roman" w:eastAsia="仿宋_GB2312" w:cs="Times New Roman"/>
          <w:b w:val="0"/>
          <w:bCs w:val="0"/>
          <w:snapToGrid w:val="0"/>
          <w:color w:val="000000"/>
          <w:spacing w:val="0"/>
          <w:kern w:val="0"/>
          <w:position w:val="0"/>
          <w:sz w:val="32"/>
          <w:szCs w:val="32"/>
          <w:lang w:val="en-US" w:eastAsia="zh-CN"/>
        </w:rPr>
        <w:t>目标的合理性和可行性。</w:t>
      </w:r>
      <w:r>
        <w:rPr>
          <w:rFonts w:hint="default" w:ascii="Times New Roman" w:hAnsi="Times New Roman" w:eastAsia="仿宋" w:cs="Times New Roman"/>
          <w:snapToGrid w:val="0"/>
          <w:color w:val="000000"/>
          <w:spacing w:val="0"/>
          <w:kern w:val="0"/>
          <w:position w:val="0"/>
          <w:sz w:val="32"/>
          <w:szCs w:val="32"/>
          <w:lang w:val="en-US" w:eastAsia="zh-CN"/>
        </w:rPr>
        <w:br w:type="textWrapping"/>
      </w:r>
      <w:r>
        <w:rPr>
          <w:rFonts w:hint="default" w:ascii="Times New Roman" w:hAnsi="Times New Roman" w:eastAsia="仿宋" w:cs="Times New Roman"/>
          <w:snapToGrid w:val="0"/>
          <w:color w:val="000000"/>
          <w:spacing w:val="0"/>
          <w:kern w:val="0"/>
          <w:position w:val="0"/>
          <w:sz w:val="32"/>
          <w:szCs w:val="32"/>
          <w:lang w:val="en-US" w:eastAsia="zh-CN"/>
        </w:rPr>
        <w:t xml:space="preserve">   </w:t>
      </w:r>
      <w:r>
        <w:rPr>
          <w:rFonts w:hint="default" w:ascii="Times New Roman" w:hAnsi="Times New Roman" w:eastAsia="楷体_GB2312" w:cs="Times New Roman"/>
          <w:b/>
          <w:sz w:val="32"/>
          <w:lang w:val="zh-CN"/>
        </w:rPr>
        <w:t>（三）项目自评步骤及方法</w:t>
      </w:r>
    </w:p>
    <w:p w14:paraId="2581D640">
      <w:pPr>
        <w:suppressAutoHyphens/>
        <w:bidi w:val="0"/>
        <w:adjustRightInd w:val="0"/>
        <w:snapToGrid w:val="0"/>
        <w:spacing w:line="590" w:lineRule="exact"/>
        <w:ind w:firstLine="640" w:firstLineChars="200"/>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中心对项目的日常开展进行分析总结，定期对项目进展进行跟踪掌握，确保项目顺利实施。</w:t>
      </w:r>
    </w:p>
    <w:p w14:paraId="730D5D75">
      <w:pPr>
        <w:suppressAutoHyphens/>
        <w:bidi w:val="0"/>
        <w:adjustRightInd w:val="0"/>
        <w:snapToGrid w:val="0"/>
        <w:spacing w:line="590" w:lineRule="exact"/>
        <w:ind w:firstLine="640" w:firstLineChars="200"/>
        <w:rPr>
          <w:rFonts w:hint="default" w:ascii="Times New Roman" w:hAnsi="Times New Roman" w:eastAsia="黑体" w:cs="Times New Roman"/>
          <w:sz w:val="32"/>
        </w:rPr>
      </w:pPr>
      <w:r>
        <w:rPr>
          <w:rFonts w:hint="default" w:ascii="Times New Roman" w:hAnsi="Times New Roman" w:eastAsia="黑体" w:cs="Times New Roman"/>
          <w:sz w:val="32"/>
        </w:rPr>
        <w:t>二、项目资金申报及使用情况</w:t>
      </w:r>
    </w:p>
    <w:p w14:paraId="195DFC3A">
      <w:pPr>
        <w:suppressAutoHyphens/>
        <w:bidi w:val="0"/>
        <w:adjustRightInd w:val="0"/>
        <w:snapToGrid w:val="0"/>
        <w:spacing w:line="590" w:lineRule="exact"/>
        <w:ind w:firstLine="643" w:firstLineChars="200"/>
        <w:rPr>
          <w:rFonts w:hint="default" w:ascii="Times New Roman" w:hAnsi="Times New Roman" w:eastAsia="楷体_GB2312" w:cs="Times New Roman"/>
          <w:b/>
          <w:sz w:val="32"/>
          <w:lang w:val="zh-CN"/>
        </w:rPr>
      </w:pPr>
      <w:r>
        <w:rPr>
          <w:rFonts w:hint="default" w:ascii="Times New Roman" w:hAnsi="Times New Roman" w:eastAsia="楷体_GB2312" w:cs="Times New Roman"/>
          <w:b/>
          <w:sz w:val="32"/>
          <w:lang w:val="zh-CN"/>
        </w:rPr>
        <w:t>（一）项目资金申报及批复情况</w:t>
      </w:r>
    </w:p>
    <w:p w14:paraId="1F704D1E">
      <w:pPr>
        <w:suppressAutoHyphens/>
        <w:bidi w:val="0"/>
        <w:adjustRightInd w:val="0"/>
        <w:snapToGrid w:val="0"/>
        <w:spacing w:line="590" w:lineRule="exact"/>
        <w:ind w:firstLine="640" w:firstLineChars="200"/>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2023年</w:t>
      </w:r>
      <w:r>
        <w:rPr>
          <w:rFonts w:hint="default" w:ascii="Times New Roman" w:hAnsi="Times New Roman" w:eastAsia="仿宋_GB2312" w:cs="Times New Roman"/>
          <w:sz w:val="32"/>
        </w:rPr>
        <w:t>国防、双拥</w:t>
      </w:r>
      <w:r>
        <w:rPr>
          <w:rFonts w:hint="default" w:ascii="Times New Roman" w:hAnsi="Times New Roman" w:eastAsia="仿宋_GB2312" w:cs="Times New Roman"/>
          <w:sz w:val="32"/>
          <w:lang w:val="en-US" w:eastAsia="zh-CN"/>
        </w:rPr>
        <w:t>工作</w:t>
      </w:r>
      <w:r>
        <w:rPr>
          <w:rFonts w:hint="default" w:ascii="Times New Roman" w:hAnsi="Times New Roman" w:eastAsia="仿宋_GB2312" w:cs="Times New Roman"/>
          <w:sz w:val="32"/>
        </w:rPr>
        <w:t>经费项目</w:t>
      </w:r>
      <w:r>
        <w:rPr>
          <w:rFonts w:hint="default" w:ascii="Times New Roman" w:hAnsi="Times New Roman" w:eastAsia="仿宋_GB2312" w:cs="Times New Roman"/>
          <w:sz w:val="32"/>
          <w:lang w:val="en-US" w:eastAsia="zh-CN"/>
        </w:rPr>
        <w:t>区级预算编制11万元，遂高管财预发[2023]1号文件批复11万元</w:t>
      </w:r>
    </w:p>
    <w:p w14:paraId="577F1627">
      <w:pPr>
        <w:suppressAutoHyphens/>
        <w:bidi w:val="0"/>
        <w:adjustRightInd w:val="0"/>
        <w:snapToGrid w:val="0"/>
        <w:spacing w:line="590" w:lineRule="exact"/>
        <w:ind w:firstLine="643" w:firstLineChars="200"/>
        <w:rPr>
          <w:rFonts w:hint="default" w:ascii="Times New Roman" w:hAnsi="Times New Roman" w:eastAsia="仿宋_GB2312" w:cs="Times New Roman"/>
          <w:sz w:val="32"/>
          <w:lang w:val="zh-CN"/>
        </w:rPr>
      </w:pPr>
      <w:r>
        <w:rPr>
          <w:rFonts w:hint="default" w:ascii="Times New Roman" w:hAnsi="Times New Roman" w:eastAsia="楷体_GB2312" w:cs="Times New Roman"/>
          <w:b/>
          <w:sz w:val="32"/>
          <w:lang w:val="zh-CN"/>
        </w:rPr>
        <w:t>（二）资金计划、到位及使用情况（可用表格形式反映）</w:t>
      </w:r>
    </w:p>
    <w:p w14:paraId="2D509352">
      <w:pPr>
        <w:suppressAutoHyphens/>
        <w:bidi w:val="0"/>
        <w:adjustRightInd w:val="0"/>
        <w:snapToGrid w:val="0"/>
        <w:spacing w:line="590" w:lineRule="exact"/>
        <w:ind w:firstLine="643" w:firstLineChars="200"/>
        <w:rPr>
          <w:rFonts w:hint="default" w:ascii="Times New Roman" w:hAnsi="Times New Roman" w:eastAsia="仿宋_GB2312" w:cs="Times New Roman"/>
          <w:color w:val="FF0000"/>
          <w:sz w:val="32"/>
          <w:lang w:val="zh-CN"/>
        </w:rPr>
      </w:pPr>
      <w:r>
        <w:rPr>
          <w:rFonts w:hint="default" w:ascii="Times New Roman" w:hAnsi="Times New Roman" w:eastAsia="仿宋_GB2312" w:cs="Times New Roman"/>
          <w:b/>
          <w:sz w:val="32"/>
          <w:lang w:val="zh-CN"/>
        </w:rPr>
        <w:t>1</w:t>
      </w:r>
      <w:r>
        <w:rPr>
          <w:rFonts w:hint="default" w:ascii="Times New Roman" w:hAnsi="Times New Roman" w:eastAsia="仿宋_GB2312" w:cs="Times New Roman"/>
          <w:b/>
          <w:sz w:val="32"/>
          <w:lang w:val="zh-CN"/>
        </w:rPr>
        <w:t xml:space="preserve">. </w:t>
      </w:r>
      <w:r>
        <w:rPr>
          <w:rFonts w:hint="default" w:ascii="Times New Roman" w:hAnsi="Times New Roman" w:eastAsia="仿宋_GB2312" w:cs="Times New Roman"/>
          <w:b/>
          <w:sz w:val="32"/>
          <w:lang w:val="zh-CN"/>
        </w:rPr>
        <w:t>资金计划</w:t>
      </w:r>
    </w:p>
    <w:p w14:paraId="456B78E8">
      <w:pPr>
        <w:widowControl w:val="0"/>
        <w:ind w:firstLine="640" w:firstLineChars="200"/>
        <w:jc w:val="both"/>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zh-CN" w:eastAsia="zh-CN" w:bidi="ar-SA"/>
        </w:rPr>
        <w:t>2023年</w:t>
      </w:r>
      <w:r>
        <w:rPr>
          <w:rFonts w:hint="default" w:ascii="Times New Roman" w:hAnsi="Times New Roman" w:eastAsia="仿宋_GB2312" w:cs="Times New Roman"/>
          <w:b w:val="0"/>
          <w:bCs w:val="0"/>
          <w:kern w:val="2"/>
          <w:sz w:val="32"/>
          <w:szCs w:val="21"/>
          <w:lang w:val="en-US" w:eastAsia="zh-CN" w:bidi="ar-SA"/>
        </w:rPr>
        <w:t>打造双拥小区、双拥公园、制作大型双拥宣传牌、订阅《中国双拥》《中国退役军人》杂志等</w:t>
      </w:r>
      <w:r>
        <w:rPr>
          <w:rFonts w:hint="default" w:ascii="Times New Roman" w:hAnsi="Times New Roman" w:eastAsia="仿宋_GB2312" w:cs="Times New Roman"/>
          <w:kern w:val="2"/>
          <w:sz w:val="32"/>
          <w:szCs w:val="24"/>
          <w:lang w:val="zh-CN" w:eastAsia="zh-CN" w:bidi="ar-SA"/>
        </w:rPr>
        <w:t>，</w:t>
      </w:r>
      <w:r>
        <w:rPr>
          <w:rFonts w:hint="default" w:ascii="Times New Roman" w:hAnsi="Times New Roman" w:eastAsia="仿宋_GB2312" w:cs="Times New Roman"/>
          <w:kern w:val="2"/>
          <w:sz w:val="32"/>
          <w:szCs w:val="24"/>
          <w:lang w:val="en-US" w:eastAsia="zh-CN" w:bidi="ar-SA"/>
        </w:rPr>
        <w:t>预计使用经费11万元左右。</w:t>
      </w:r>
    </w:p>
    <w:p w14:paraId="5554D210">
      <w:pPr>
        <w:numPr>
          <w:ilvl w:val="0"/>
          <w:numId w:val="0"/>
        </w:numPr>
        <w:suppressAutoHyphens/>
        <w:bidi w:val="0"/>
        <w:adjustRightInd w:val="0"/>
        <w:snapToGrid w:val="0"/>
        <w:spacing w:line="590" w:lineRule="exact"/>
        <w:ind w:firstLine="643" w:firstLineChars="200"/>
        <w:rPr>
          <w:rFonts w:hint="default" w:ascii="Times New Roman" w:hAnsi="Times New Roman" w:eastAsia="仿宋_GB2312" w:cs="Times New Roman"/>
          <w:color w:val="FF0000"/>
          <w:sz w:val="32"/>
          <w:lang w:val="zh-CN"/>
        </w:rPr>
      </w:pPr>
      <w:r>
        <w:rPr>
          <w:rFonts w:hint="default" w:ascii="Times New Roman" w:hAnsi="Times New Roman" w:eastAsia="仿宋_GB2312" w:cs="Times New Roman"/>
          <w:b/>
          <w:sz w:val="32"/>
          <w:lang w:val="en-US" w:eastAsia="zh-CN"/>
        </w:rPr>
        <w:t>2.</w:t>
      </w:r>
      <w:r>
        <w:rPr>
          <w:rFonts w:hint="default" w:ascii="Times New Roman" w:hAnsi="Times New Roman" w:eastAsia="仿宋_GB2312" w:cs="Times New Roman"/>
          <w:b/>
          <w:sz w:val="32"/>
          <w:lang w:val="zh-CN"/>
        </w:rPr>
        <w:t>资金到位</w:t>
      </w:r>
    </w:p>
    <w:p w14:paraId="75E68FB0">
      <w:pPr>
        <w:keepNext w:val="0"/>
        <w:keepLines w:val="0"/>
        <w:pageBreakBefore w:val="0"/>
        <w:widowControl/>
        <w:suppressAutoHyphen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sz w:val="32"/>
          <w:szCs w:val="32"/>
          <w:lang w:val="en-US" w:eastAsia="zh-CN"/>
        </w:rPr>
        <w:t>2023年区级预算资金11万元</w:t>
      </w:r>
    </w:p>
    <w:p w14:paraId="2CF5E189">
      <w:pPr>
        <w:suppressAutoHyphens/>
        <w:bidi w:val="0"/>
        <w:adjustRightInd w:val="0"/>
        <w:snapToGrid w:val="0"/>
        <w:spacing w:line="590" w:lineRule="exact"/>
        <w:ind w:firstLine="643" w:firstLineChars="200"/>
        <w:rPr>
          <w:rFonts w:hint="default" w:ascii="Times New Roman" w:hAnsi="Times New Roman" w:eastAsia="仿宋_GB2312" w:cs="Times New Roman"/>
          <w:color w:val="FF0000"/>
          <w:sz w:val="32"/>
          <w:lang w:val="zh-CN"/>
        </w:rPr>
      </w:pPr>
      <w:r>
        <w:rPr>
          <w:rFonts w:hint="default" w:ascii="Times New Roman" w:hAnsi="Times New Roman" w:eastAsia="仿宋_GB2312" w:cs="Times New Roman"/>
          <w:b/>
          <w:sz w:val="32"/>
          <w:lang w:val="zh-CN"/>
        </w:rPr>
        <w:t>3</w:t>
      </w:r>
      <w:r>
        <w:rPr>
          <w:rFonts w:hint="default" w:ascii="Times New Roman" w:hAnsi="Times New Roman" w:eastAsia="仿宋_GB2312" w:cs="Times New Roman"/>
          <w:b/>
          <w:sz w:val="32"/>
          <w:lang w:val="zh-CN"/>
        </w:rPr>
        <w:t xml:space="preserve">. </w:t>
      </w:r>
      <w:r>
        <w:rPr>
          <w:rFonts w:hint="default" w:ascii="Times New Roman" w:hAnsi="Times New Roman" w:eastAsia="仿宋_GB2312" w:cs="Times New Roman"/>
          <w:b/>
          <w:sz w:val="32"/>
          <w:lang w:val="zh-CN"/>
        </w:rPr>
        <w:t>资金使用</w:t>
      </w:r>
    </w:p>
    <w:p w14:paraId="25207B81">
      <w:pPr>
        <w:keepNext w:val="0"/>
        <w:keepLines w:val="0"/>
        <w:pageBreakBefore w:val="0"/>
        <w:widowControl/>
        <w:suppressAutoHyphen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lang w:val="en-US"/>
        </w:rPr>
      </w:pPr>
      <w:r>
        <w:rPr>
          <w:rFonts w:hint="default" w:ascii="Times New Roman" w:hAnsi="Times New Roman" w:eastAsia="仿宋_GB2312" w:cs="Times New Roman"/>
          <w:snapToGrid w:val="0"/>
          <w:color w:val="000000"/>
          <w:kern w:val="0"/>
          <w:sz w:val="32"/>
          <w:szCs w:val="32"/>
          <w:lang w:val="en-US" w:eastAsia="zh-CN" w:bidi="ar-SA"/>
        </w:rPr>
        <w:t>2023年</w:t>
      </w:r>
      <w:r>
        <w:rPr>
          <w:rFonts w:hint="default" w:ascii="Times New Roman" w:hAnsi="Times New Roman" w:eastAsia="仿宋_GB2312" w:cs="Times New Roman"/>
          <w:sz w:val="32"/>
        </w:rPr>
        <w:t>国防、双拥</w:t>
      </w:r>
      <w:r>
        <w:rPr>
          <w:rFonts w:hint="default" w:ascii="Times New Roman" w:hAnsi="Times New Roman" w:eastAsia="仿宋_GB2312" w:cs="Times New Roman"/>
          <w:sz w:val="32"/>
          <w:lang w:val="en-US" w:eastAsia="zh-CN"/>
        </w:rPr>
        <w:t>工作</w:t>
      </w:r>
      <w:r>
        <w:rPr>
          <w:rFonts w:hint="default" w:ascii="Times New Roman" w:hAnsi="Times New Roman" w:eastAsia="仿宋_GB2312" w:cs="Times New Roman"/>
          <w:sz w:val="32"/>
        </w:rPr>
        <w:t>经费项目</w:t>
      </w:r>
      <w:r>
        <w:rPr>
          <w:rFonts w:hint="default" w:ascii="Times New Roman" w:hAnsi="Times New Roman" w:eastAsia="仿宋_GB2312" w:cs="Times New Roman"/>
          <w:snapToGrid w:val="0"/>
          <w:color w:val="000000"/>
          <w:kern w:val="0"/>
          <w:sz w:val="32"/>
          <w:szCs w:val="32"/>
          <w:lang w:val="en-US" w:eastAsia="zh-CN" w:bidi="ar-SA"/>
        </w:rPr>
        <w:t>实际执行18.45万元，后期项目资金不够，调剂了8万元。</w:t>
      </w:r>
    </w:p>
    <w:p w14:paraId="110B61F5">
      <w:pPr>
        <w:suppressAutoHyphens/>
        <w:bidi w:val="0"/>
        <w:adjustRightInd w:val="0"/>
        <w:snapToGrid w:val="0"/>
        <w:spacing w:line="590" w:lineRule="exact"/>
        <w:ind w:firstLine="643" w:firstLineChars="200"/>
        <w:rPr>
          <w:rFonts w:hint="default" w:ascii="Times New Roman" w:hAnsi="Times New Roman" w:eastAsia="楷体_GB2312" w:cs="Times New Roman"/>
          <w:b/>
          <w:sz w:val="32"/>
          <w:lang w:val="zh-CN"/>
        </w:rPr>
      </w:pPr>
      <w:r>
        <w:rPr>
          <w:rFonts w:hint="default" w:ascii="Times New Roman" w:hAnsi="Times New Roman" w:eastAsia="楷体_GB2312" w:cs="Times New Roman"/>
          <w:b/>
          <w:sz w:val="32"/>
          <w:lang w:val="zh-CN"/>
        </w:rPr>
        <w:t>（三）项目财务管理情况</w:t>
      </w:r>
    </w:p>
    <w:p w14:paraId="57084541">
      <w:pPr>
        <w:keepNext w:val="0"/>
        <w:keepLines w:val="0"/>
        <w:pageBreakBefore w:val="0"/>
        <w:widowControl w:val="0"/>
        <w:numPr>
          <w:ilvl w:val="0"/>
          <w:numId w:val="0"/>
        </w:numPr>
        <w:tabs>
          <w:tab w:val="left" w:pos="3885"/>
        </w:tabs>
        <w:suppressAutoHyphens/>
        <w:kinsoku/>
        <w:wordWrap/>
        <w:overflowPunct/>
        <w:topLinePunct w:val="0"/>
        <w:autoSpaceDE/>
        <w:autoSpaceDN/>
        <w:bidi w:val="0"/>
        <w:adjustRightInd/>
        <w:snapToGrid w:val="0"/>
        <w:spacing w:line="600" w:lineRule="exact"/>
        <w:ind w:firstLine="640" w:firstLineChars="200"/>
        <w:jc w:val="left"/>
        <w:textAlignment w:val="auto"/>
        <w:outlineLvl w:val="9"/>
        <w:rPr>
          <w:rFonts w:hint="default" w:ascii="Times New Roman" w:hAnsi="Times New Roman" w:eastAsia="仿宋_GB2312" w:cs="Times New Roman"/>
          <w:sz w:val="32"/>
          <w:lang w:val="zh-CN"/>
        </w:rPr>
      </w:pPr>
      <w:r>
        <w:rPr>
          <w:rFonts w:hint="default" w:ascii="Times New Roman" w:hAnsi="Times New Roman" w:eastAsia="仿宋_GB2312" w:cs="Times New Roman"/>
          <w:b w:val="0"/>
          <w:bCs w:val="0"/>
          <w:sz w:val="32"/>
          <w:szCs w:val="21"/>
          <w:lang w:val="en-US" w:eastAsia="zh-CN"/>
        </w:rPr>
        <w:t>该项目资金支出严格按照财务资金管理制度的要求进行管理和执行，资金管理、费用支付流程均符合相关制度规定，不存在截留、滞留、挤占、挪用、套取、虚报、冒领等问题，财务处理及时，会计核算规范。</w:t>
      </w:r>
    </w:p>
    <w:p w14:paraId="379CEA37">
      <w:pPr>
        <w:suppressAutoHyphens/>
        <w:bidi w:val="0"/>
        <w:adjustRightInd w:val="0"/>
        <w:snapToGrid w:val="0"/>
        <w:spacing w:line="590" w:lineRule="exact"/>
        <w:ind w:firstLine="640" w:firstLineChars="200"/>
        <w:rPr>
          <w:rFonts w:hint="default" w:ascii="Times New Roman" w:hAnsi="Times New Roman" w:eastAsia="黑体" w:cs="Times New Roman"/>
          <w:sz w:val="32"/>
        </w:rPr>
      </w:pPr>
      <w:r>
        <w:rPr>
          <w:rFonts w:hint="default" w:ascii="Times New Roman" w:hAnsi="Times New Roman" w:eastAsia="黑体" w:cs="Times New Roman"/>
          <w:sz w:val="32"/>
        </w:rPr>
        <w:t>三、项目实施及管理情况</w:t>
      </w:r>
    </w:p>
    <w:p w14:paraId="10187621">
      <w:pPr>
        <w:suppressAutoHyphens/>
        <w:bidi w:val="0"/>
        <w:adjustRightInd w:val="0"/>
        <w:snapToGrid w:val="0"/>
        <w:spacing w:line="590" w:lineRule="exact"/>
        <w:ind w:firstLine="640" w:firstLineChars="200"/>
        <w:rPr>
          <w:rFonts w:hint="default" w:ascii="Times New Roman" w:hAnsi="Times New Roman" w:eastAsia="仿宋_GB2312" w:cs="Times New Roman"/>
          <w:sz w:val="32"/>
          <w:lang w:val="zh-CN"/>
        </w:rPr>
      </w:pPr>
      <w:r>
        <w:rPr>
          <w:rFonts w:hint="default" w:ascii="Times New Roman" w:hAnsi="Times New Roman" w:eastAsia="仿宋_GB2312" w:cs="Times New Roman"/>
          <w:sz w:val="32"/>
          <w:lang w:val="zh-CN"/>
        </w:rPr>
        <w:t>结合项目组织实施管理办法，重点围绕以下内容进行分析评价，并对自评中发现的问题分析说明。</w:t>
      </w:r>
    </w:p>
    <w:p w14:paraId="029BA385">
      <w:pPr>
        <w:suppressAutoHyphens/>
        <w:bidi w:val="0"/>
        <w:adjustRightInd w:val="0"/>
        <w:snapToGrid w:val="0"/>
        <w:spacing w:line="590" w:lineRule="exact"/>
        <w:ind w:firstLine="643" w:firstLineChars="200"/>
        <w:rPr>
          <w:rFonts w:hint="default" w:ascii="Times New Roman" w:hAnsi="Times New Roman" w:eastAsia="楷体_GB2312" w:cs="Times New Roman"/>
          <w:b/>
          <w:sz w:val="32"/>
          <w:lang w:val="zh-CN"/>
        </w:rPr>
      </w:pPr>
      <w:r>
        <w:rPr>
          <w:rFonts w:hint="default" w:ascii="Times New Roman" w:hAnsi="Times New Roman" w:eastAsia="楷体_GB2312" w:cs="Times New Roman"/>
          <w:b/>
          <w:sz w:val="32"/>
          <w:lang w:val="zh-CN"/>
        </w:rPr>
        <w:t>（</w:t>
      </w:r>
      <w:r>
        <w:rPr>
          <w:rFonts w:hint="default" w:ascii="Times New Roman" w:hAnsi="Times New Roman" w:eastAsia="楷体_GB2312" w:cs="Times New Roman"/>
          <w:b/>
          <w:sz w:val="32"/>
          <w:lang w:val="en-US" w:eastAsia="zh-CN"/>
        </w:rPr>
        <w:t>一</w:t>
      </w:r>
      <w:r>
        <w:rPr>
          <w:rFonts w:hint="default" w:ascii="Times New Roman" w:hAnsi="Times New Roman" w:eastAsia="楷体_GB2312" w:cs="Times New Roman"/>
          <w:b/>
          <w:sz w:val="32"/>
          <w:lang w:val="zh-CN"/>
        </w:rPr>
        <w:t>）</w:t>
      </w:r>
      <w:r>
        <w:rPr>
          <w:rFonts w:hint="default" w:ascii="Times New Roman" w:hAnsi="Times New Roman" w:eastAsia="楷体_GB2312" w:cs="Times New Roman"/>
          <w:b/>
          <w:sz w:val="32"/>
          <w:lang w:val="zh-CN"/>
        </w:rPr>
        <w:t>项目组织架构及实施流程</w:t>
      </w:r>
    </w:p>
    <w:p w14:paraId="1504B44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both"/>
        <w:textAlignment w:val="baseline"/>
        <w:rPr>
          <w:rFonts w:hint="default" w:ascii="Times New Roman" w:hAnsi="Times New Roman" w:eastAsia="仿宋_GB2312" w:cs="Times New Roman"/>
          <w:kern w:val="0"/>
          <w:sz w:val="24"/>
          <w:szCs w:val="24"/>
          <w:lang w:val="zh-CN" w:eastAsia="zh-CN" w:bidi="ar"/>
        </w:rPr>
      </w:pPr>
      <w:r>
        <w:rPr>
          <w:rFonts w:hint="default" w:ascii="Times New Roman" w:hAnsi="Times New Roman" w:eastAsia="仿宋_GB2312" w:cs="Times New Roman"/>
          <w:kern w:val="0"/>
          <w:sz w:val="32"/>
          <w:szCs w:val="32"/>
          <w:lang w:val="en-US" w:eastAsia="zh-CN" w:bidi="ar"/>
        </w:rPr>
        <w:t>按照业务人员经办、财务人员初审、中心主任审核、管委会分管领导审批的流程组织实施，按时完成支付工作。</w:t>
      </w:r>
    </w:p>
    <w:p w14:paraId="31F1BE29">
      <w:pPr>
        <w:suppressAutoHyphens/>
        <w:bidi w:val="0"/>
        <w:adjustRightInd w:val="0"/>
        <w:snapToGrid w:val="0"/>
        <w:spacing w:line="590" w:lineRule="exact"/>
        <w:ind w:firstLine="643" w:firstLineChars="200"/>
        <w:rPr>
          <w:rFonts w:hint="default" w:ascii="Times New Roman" w:hAnsi="Times New Roman" w:eastAsia="仿宋_GB2312" w:cs="Times New Roman"/>
          <w:color w:val="FF0000"/>
          <w:sz w:val="32"/>
          <w:lang w:val="zh-CN"/>
        </w:rPr>
      </w:pPr>
      <w:r>
        <w:rPr>
          <w:rFonts w:hint="default" w:ascii="Times New Roman" w:hAnsi="Times New Roman" w:eastAsia="楷体_GB2312" w:cs="Times New Roman"/>
          <w:b/>
          <w:sz w:val="32"/>
          <w:lang w:val="zh-CN"/>
        </w:rPr>
        <w:t>（二）项目管理情况</w:t>
      </w:r>
    </w:p>
    <w:p w14:paraId="32D0C4F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both"/>
        <w:textAlignment w:val="baseline"/>
        <w:rPr>
          <w:rFonts w:hint="default" w:ascii="Times New Roman" w:hAnsi="Times New Roman" w:eastAsia="仿宋_GB2312" w:cs="Times New Roman"/>
          <w:kern w:val="0"/>
          <w:sz w:val="24"/>
          <w:szCs w:val="24"/>
          <w:lang w:val="zh-CN" w:eastAsia="zh-CN" w:bidi="ar"/>
        </w:rPr>
      </w:pPr>
      <w:r>
        <w:rPr>
          <w:rFonts w:hint="default" w:ascii="Times New Roman" w:hAnsi="Times New Roman" w:eastAsia="仿宋_GB2312" w:cs="Times New Roman"/>
          <w:kern w:val="0"/>
          <w:sz w:val="32"/>
          <w:szCs w:val="32"/>
          <w:lang w:val="en-US" w:eastAsia="zh-CN" w:bidi="ar"/>
        </w:rPr>
        <w:t>该项目严格按照单位内控制度审批流程的要求组织资金申报，资金项目拨付通过事权、财权手续严格执行财务管理制度，资金拨付及时到位，会计核算严格按照行政单位会计制度要求进行做账。</w:t>
      </w:r>
    </w:p>
    <w:p w14:paraId="1A458729">
      <w:pPr>
        <w:numPr>
          <w:ilvl w:val="0"/>
          <w:numId w:val="0"/>
        </w:numPr>
        <w:suppressAutoHyphens/>
        <w:bidi w:val="0"/>
        <w:adjustRightInd w:val="0"/>
        <w:snapToGrid w:val="0"/>
        <w:spacing w:line="590" w:lineRule="exact"/>
        <w:ind w:firstLine="643" w:firstLineChars="200"/>
        <w:rPr>
          <w:rFonts w:hint="default" w:ascii="Times New Roman" w:hAnsi="Times New Roman" w:eastAsia="仿宋_GB2312" w:cs="Times New Roman"/>
          <w:color w:val="FF0000"/>
          <w:sz w:val="32"/>
          <w:lang w:val="zh-CN"/>
        </w:rPr>
      </w:pPr>
      <w:r>
        <w:rPr>
          <w:rFonts w:hint="default" w:ascii="Times New Roman" w:hAnsi="Times New Roman" w:eastAsia="楷体_GB2312" w:cs="Times New Roman"/>
          <w:b/>
          <w:sz w:val="32"/>
          <w:lang w:val="zh-CN"/>
        </w:rPr>
        <w:t>（</w:t>
      </w:r>
      <w:r>
        <w:rPr>
          <w:rFonts w:hint="default" w:ascii="Times New Roman" w:hAnsi="Times New Roman" w:eastAsia="楷体_GB2312" w:cs="Times New Roman"/>
          <w:b/>
          <w:sz w:val="32"/>
          <w:lang w:val="en-US" w:eastAsia="zh-CN"/>
        </w:rPr>
        <w:t>三</w:t>
      </w:r>
      <w:r>
        <w:rPr>
          <w:rFonts w:hint="default" w:ascii="Times New Roman" w:hAnsi="Times New Roman" w:eastAsia="楷体_GB2312" w:cs="Times New Roman"/>
          <w:b/>
          <w:sz w:val="32"/>
          <w:lang w:val="zh-CN"/>
        </w:rPr>
        <w:t>）</w:t>
      </w:r>
      <w:r>
        <w:rPr>
          <w:rFonts w:hint="default" w:ascii="Times New Roman" w:hAnsi="Times New Roman" w:eastAsia="楷体_GB2312" w:cs="Times New Roman"/>
          <w:b/>
          <w:sz w:val="32"/>
          <w:lang w:val="zh-CN"/>
        </w:rPr>
        <w:t>项目监管情况</w:t>
      </w:r>
    </w:p>
    <w:p w14:paraId="53691126">
      <w:pPr>
        <w:widowControl w:val="0"/>
        <w:numPr>
          <w:ilvl w:val="0"/>
          <w:numId w:val="0"/>
        </w:numPr>
        <w:ind w:firstLine="640" w:firstLineChars="200"/>
        <w:jc w:val="both"/>
        <w:rPr>
          <w:rFonts w:hint="default" w:ascii="Times New Roman" w:hAnsi="Times New Roman" w:eastAsia="仿宋_GB2312" w:cs="Times New Roman"/>
          <w:kern w:val="2"/>
          <w:sz w:val="32"/>
          <w:szCs w:val="24"/>
          <w:lang w:val="zh-CN" w:eastAsia="zh-CN" w:bidi="ar-SA"/>
        </w:rPr>
      </w:pPr>
      <w:r>
        <w:rPr>
          <w:rFonts w:hint="default" w:ascii="Times New Roman" w:hAnsi="Times New Roman" w:eastAsia="仿宋_GB2312" w:cs="Times New Roman"/>
          <w:kern w:val="2"/>
          <w:sz w:val="32"/>
          <w:szCs w:val="24"/>
          <w:lang w:val="en-US" w:eastAsia="zh-CN" w:bidi="ar-SA"/>
        </w:rPr>
        <w:t>退役军人服务中心</w:t>
      </w:r>
      <w:r>
        <w:rPr>
          <w:rFonts w:hint="default" w:ascii="Times New Roman" w:hAnsi="Times New Roman" w:eastAsia="仿宋_GB2312" w:cs="Times New Roman"/>
          <w:color w:val="000000"/>
          <w:kern w:val="2"/>
          <w:sz w:val="32"/>
          <w:szCs w:val="32"/>
          <w:lang w:val="en-US" w:eastAsia="zh-CN" w:bidi="ar-SA"/>
        </w:rPr>
        <w:t>秉承合法、合规、实效、集约的资金使用原则，按照财务管理制度及财政法律法规申请各项资金，按照资金使用流程管控使用，未出现违规违纪现象。</w:t>
      </w:r>
    </w:p>
    <w:p w14:paraId="328392FA">
      <w:pPr>
        <w:suppressAutoHyphens/>
        <w:bidi w:val="0"/>
        <w:adjustRightInd w:val="0"/>
        <w:snapToGrid w:val="0"/>
        <w:spacing w:line="590" w:lineRule="exact"/>
        <w:ind w:firstLine="640" w:firstLineChars="200"/>
        <w:rPr>
          <w:rFonts w:hint="default" w:ascii="Times New Roman" w:hAnsi="Times New Roman" w:eastAsia="仿宋_GB2312" w:cs="Times New Roman"/>
          <w:sz w:val="32"/>
          <w:lang w:val="zh-CN"/>
        </w:rPr>
      </w:pPr>
      <w:r>
        <w:rPr>
          <w:rFonts w:hint="default" w:ascii="Times New Roman" w:hAnsi="Times New Roman" w:eastAsia="黑体" w:cs="Times New Roman"/>
          <w:sz w:val="32"/>
        </w:rPr>
        <w:t>四、项目绩效情况</w:t>
      </w:r>
      <w:r>
        <w:rPr>
          <w:rFonts w:hint="default" w:ascii="Times New Roman" w:hAnsi="Times New Roman" w:eastAsia="仿宋_GB2312" w:cs="Times New Roman"/>
          <w:sz w:val="32"/>
          <w:lang w:val="zh-CN"/>
        </w:rPr>
        <w:tab/>
      </w:r>
    </w:p>
    <w:p w14:paraId="2EFD58E8">
      <w:pPr>
        <w:suppressAutoHyphens/>
        <w:bidi w:val="0"/>
        <w:adjustRightInd w:val="0"/>
        <w:snapToGrid w:val="0"/>
        <w:spacing w:line="590" w:lineRule="exact"/>
        <w:ind w:firstLine="643" w:firstLineChars="200"/>
        <w:rPr>
          <w:rFonts w:hint="default" w:ascii="Times New Roman" w:hAnsi="Times New Roman" w:eastAsia="楷体_GB2312" w:cs="Times New Roman"/>
          <w:b/>
          <w:sz w:val="32"/>
          <w:lang w:val="zh-CN"/>
        </w:rPr>
      </w:pPr>
      <w:r>
        <w:rPr>
          <w:rFonts w:hint="default" w:ascii="Times New Roman" w:hAnsi="Times New Roman" w:eastAsia="楷体_GB2312" w:cs="Times New Roman"/>
          <w:b/>
          <w:sz w:val="32"/>
          <w:lang w:val="zh-CN"/>
        </w:rPr>
        <w:t>（一）项目完成情况</w:t>
      </w:r>
    </w:p>
    <w:p w14:paraId="5786233B">
      <w:pPr>
        <w:keepNext w:val="0"/>
        <w:keepLines w:val="0"/>
        <w:pageBreakBefore w:val="0"/>
        <w:widowControl w:val="0"/>
        <w:numPr>
          <w:ilvl w:val="0"/>
          <w:numId w:val="0"/>
        </w:numPr>
        <w:tabs>
          <w:tab w:val="left" w:pos="3885"/>
        </w:tabs>
        <w:suppressAutoHyphens/>
        <w:kinsoku/>
        <w:wordWrap/>
        <w:overflowPunct/>
        <w:topLinePunct w:val="0"/>
        <w:autoSpaceDE/>
        <w:autoSpaceDN/>
        <w:bidi w:val="0"/>
        <w:adjustRightInd/>
        <w:snapToGrid w:val="0"/>
        <w:spacing w:line="600" w:lineRule="exact"/>
        <w:ind w:firstLine="640" w:firstLineChars="200"/>
        <w:jc w:val="left"/>
        <w:textAlignment w:val="auto"/>
        <w:outlineLvl w:val="9"/>
        <w:rPr>
          <w:rFonts w:hint="default" w:ascii="Times New Roman" w:hAnsi="Times New Roman" w:eastAsia="仿宋_GB2312" w:cs="Times New Roman"/>
          <w:sz w:val="32"/>
          <w:lang w:val="zh-CN"/>
        </w:rPr>
      </w:pPr>
      <w:r>
        <w:rPr>
          <w:rFonts w:hint="default" w:ascii="Times New Roman" w:hAnsi="Times New Roman" w:eastAsia="仿宋_GB2312" w:cs="Times New Roman"/>
          <w:b w:val="0"/>
          <w:bCs w:val="0"/>
          <w:sz w:val="32"/>
          <w:szCs w:val="21"/>
          <w:lang w:val="en-US" w:eastAsia="zh-CN"/>
        </w:rPr>
        <w:t>项目实施按要求报审后，进行</w:t>
      </w:r>
      <w:r>
        <w:rPr>
          <w:rFonts w:hint="default" w:ascii="Times New Roman" w:hAnsi="Times New Roman" w:eastAsia="仿宋_GB2312" w:cs="Times New Roman"/>
          <w:sz w:val="32"/>
          <w:szCs w:val="32"/>
          <w:lang w:val="en-US" w:eastAsia="zh-CN"/>
        </w:rPr>
        <w:t>实施。</w:t>
      </w:r>
      <w:r>
        <w:rPr>
          <w:rFonts w:hint="default" w:ascii="Times New Roman" w:hAnsi="Times New Roman" w:eastAsia="仿宋_GB2312" w:cs="Times New Roman"/>
          <w:kern w:val="2"/>
          <w:sz w:val="32"/>
          <w:szCs w:val="24"/>
          <w:lang w:val="zh-CN" w:eastAsia="zh-CN" w:bidi="ar-SA"/>
        </w:rPr>
        <w:t>2023年</w:t>
      </w:r>
      <w:r>
        <w:rPr>
          <w:rFonts w:hint="default" w:ascii="Times New Roman" w:hAnsi="Times New Roman" w:eastAsia="仿宋_GB2312" w:cs="Times New Roman"/>
          <w:b w:val="0"/>
          <w:bCs w:val="0"/>
          <w:sz w:val="32"/>
          <w:szCs w:val="21"/>
          <w:lang w:val="en-US" w:eastAsia="zh-CN"/>
        </w:rPr>
        <w:t>打造双拥小区、双拥公园、制作大型双拥宣传牌、订阅《中国双拥》《中国退役军人》杂志等</w:t>
      </w:r>
      <w:r>
        <w:rPr>
          <w:rFonts w:hint="default" w:ascii="Times New Roman" w:hAnsi="Times New Roman" w:eastAsia="仿宋_GB2312" w:cs="Times New Roman"/>
          <w:sz w:val="32"/>
          <w:szCs w:val="32"/>
          <w:lang w:val="en-US" w:eastAsia="zh-CN"/>
        </w:rPr>
        <w:t>，共支付18.45</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sz w:val="32"/>
          <w:szCs w:val="32"/>
          <w:lang w:val="en-US" w:eastAsia="zh-CN"/>
        </w:rPr>
        <w:t>已按时按质进行发放。</w:t>
      </w:r>
    </w:p>
    <w:p w14:paraId="4AF47C21">
      <w:pPr>
        <w:suppressAutoHyphens/>
        <w:bidi w:val="0"/>
        <w:adjustRightInd w:val="0"/>
        <w:snapToGrid w:val="0"/>
        <w:spacing w:line="590" w:lineRule="exact"/>
        <w:ind w:firstLine="643" w:firstLineChars="200"/>
        <w:rPr>
          <w:rFonts w:hint="default" w:ascii="Times New Roman" w:hAnsi="Times New Roman" w:eastAsia="楷体_GB2312" w:cs="Times New Roman"/>
          <w:b/>
          <w:sz w:val="32"/>
          <w:lang w:val="zh-CN"/>
        </w:rPr>
      </w:pPr>
      <w:r>
        <w:rPr>
          <w:rFonts w:hint="default" w:ascii="Times New Roman" w:hAnsi="Times New Roman" w:eastAsia="楷体_GB2312" w:cs="Times New Roman"/>
          <w:b/>
          <w:sz w:val="32"/>
          <w:lang w:val="zh-CN"/>
        </w:rPr>
        <w:t>（二）项目效益情况</w:t>
      </w:r>
    </w:p>
    <w:p w14:paraId="496BB35C">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600" w:lineRule="exact"/>
        <w:ind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zh-TW"/>
        </w:rPr>
        <w:t>为进一步密切军政军民关系，激发广大人民群众参与双拥活动的积极性，巩固军政军民团结良好局面，有力地推进我区双拥工作的发展，为巩固我市全国双拥模范城奠定更加坚实的基础。</w:t>
      </w:r>
    </w:p>
    <w:p w14:paraId="14FFC1CB">
      <w:pPr>
        <w:suppressAutoHyphens/>
        <w:bidi w:val="0"/>
        <w:adjustRightInd w:val="0"/>
        <w:snapToGrid w:val="0"/>
        <w:spacing w:line="590" w:lineRule="exact"/>
        <w:ind w:firstLine="640" w:firstLineChars="200"/>
        <w:rPr>
          <w:rFonts w:hint="default" w:ascii="Times New Roman" w:hAnsi="Times New Roman" w:eastAsia="黑体" w:cs="Times New Roman"/>
          <w:sz w:val="32"/>
        </w:rPr>
      </w:pPr>
      <w:r>
        <w:rPr>
          <w:rFonts w:hint="default" w:ascii="Times New Roman" w:hAnsi="Times New Roman" w:eastAsia="黑体" w:cs="Times New Roman"/>
          <w:sz w:val="32"/>
        </w:rPr>
        <w:t>五、评价结论及建议</w:t>
      </w:r>
    </w:p>
    <w:p w14:paraId="45611501">
      <w:pPr>
        <w:suppressAutoHyphens/>
        <w:bidi w:val="0"/>
        <w:adjustRightInd w:val="0"/>
        <w:snapToGrid w:val="0"/>
        <w:spacing w:line="590" w:lineRule="exact"/>
        <w:ind w:firstLine="643" w:firstLineChars="200"/>
        <w:rPr>
          <w:rFonts w:hint="default" w:ascii="Times New Roman" w:hAnsi="Times New Roman" w:eastAsia="楷体_GB2312" w:cs="Times New Roman"/>
          <w:b/>
          <w:sz w:val="32"/>
          <w:lang w:val="zh-CN"/>
        </w:rPr>
      </w:pPr>
      <w:r>
        <w:rPr>
          <w:rFonts w:hint="default" w:ascii="Times New Roman" w:hAnsi="Times New Roman" w:eastAsia="楷体_GB2312" w:cs="Times New Roman"/>
          <w:b/>
          <w:sz w:val="32"/>
          <w:lang w:val="zh-CN"/>
        </w:rPr>
        <w:t>（一）评价结论</w:t>
      </w:r>
    </w:p>
    <w:p w14:paraId="1C1FB693">
      <w:pPr>
        <w:widowControl w:val="0"/>
        <w:ind w:firstLine="640" w:firstLineChars="200"/>
        <w:jc w:val="both"/>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32"/>
          <w:lang w:val="en-US" w:eastAsia="zh-CN" w:bidi="ar-SA"/>
        </w:rPr>
        <w:t>该项目资金支出严格按照财务资金管理制度的要求进行管理和执行，资金管理、费用支付流程均符合相关制度规定，专款专用，未出现截留、滞留、挤占、挪用、套取、虚报、冒领等问题。开展较好。</w:t>
      </w:r>
    </w:p>
    <w:p w14:paraId="34894024">
      <w:pPr>
        <w:suppressAutoHyphens/>
        <w:bidi w:val="0"/>
        <w:adjustRightInd w:val="0"/>
        <w:snapToGrid w:val="0"/>
        <w:spacing w:line="590" w:lineRule="exact"/>
        <w:ind w:firstLine="643" w:firstLineChars="200"/>
        <w:rPr>
          <w:rFonts w:hint="default" w:ascii="Times New Roman" w:hAnsi="Times New Roman" w:eastAsia="楷体_GB2312" w:cs="Times New Roman"/>
          <w:b/>
          <w:sz w:val="32"/>
          <w:lang w:val="zh-CN"/>
        </w:rPr>
      </w:pPr>
      <w:r>
        <w:rPr>
          <w:rFonts w:hint="default" w:ascii="Times New Roman" w:hAnsi="Times New Roman" w:eastAsia="楷体_GB2312" w:cs="Times New Roman"/>
          <w:b/>
          <w:sz w:val="32"/>
          <w:lang w:val="zh-CN"/>
        </w:rPr>
        <w:t>（二）存在的问题</w:t>
      </w:r>
    </w:p>
    <w:p w14:paraId="0E2D76BA">
      <w:pPr>
        <w:widowControl w:val="0"/>
        <w:ind w:firstLine="640" w:firstLineChars="200"/>
        <w:jc w:val="both"/>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暂无</w:t>
      </w:r>
    </w:p>
    <w:p w14:paraId="43EC1E1B">
      <w:pPr>
        <w:suppressAutoHyphens/>
        <w:bidi w:val="0"/>
        <w:adjustRightInd w:val="0"/>
        <w:snapToGrid w:val="0"/>
        <w:spacing w:line="590" w:lineRule="exact"/>
        <w:ind w:firstLine="643" w:firstLineChars="200"/>
        <w:rPr>
          <w:rFonts w:hint="default" w:ascii="Times New Roman" w:hAnsi="Times New Roman" w:eastAsia="楷体_GB2312" w:cs="Times New Roman"/>
          <w:b/>
          <w:sz w:val="32"/>
          <w:lang w:val="zh-CN"/>
        </w:rPr>
      </w:pPr>
      <w:r>
        <w:rPr>
          <w:rFonts w:hint="default" w:ascii="Times New Roman" w:hAnsi="Times New Roman" w:eastAsia="楷体_GB2312" w:cs="Times New Roman"/>
          <w:b/>
          <w:sz w:val="32"/>
          <w:lang w:val="zh-CN"/>
        </w:rPr>
        <w:t>（三）相关建议</w:t>
      </w:r>
    </w:p>
    <w:p w14:paraId="4CABDA2D">
      <w:pPr>
        <w:widowControl w:val="0"/>
        <w:ind w:firstLine="640" w:firstLineChars="200"/>
        <w:jc w:val="both"/>
        <w:rPr>
          <w:rFonts w:hint="default" w:ascii="Times New Roman" w:hAnsi="Times New Roman" w:eastAsia="仿宋_GB2312" w:cs="Times New Roman"/>
          <w:kern w:val="2"/>
          <w:sz w:val="32"/>
          <w:szCs w:val="24"/>
          <w:lang w:val="zh-CN" w:eastAsia="zh-CN" w:bidi="ar-SA"/>
        </w:rPr>
      </w:pPr>
      <w:r>
        <w:rPr>
          <w:rFonts w:hint="default" w:ascii="Times New Roman" w:hAnsi="Times New Roman" w:eastAsia="仿宋_GB2312" w:cs="Times New Roman"/>
          <w:color w:val="000000"/>
          <w:kern w:val="0"/>
          <w:sz w:val="32"/>
          <w:szCs w:val="32"/>
          <w:lang w:val="en-US" w:eastAsia="zh-CN" w:bidi="ar-SA"/>
        </w:rPr>
        <w:t>继续加强项目实施统筹，确保高效率完成目标任务。</w:t>
      </w:r>
    </w:p>
    <w:p w14:paraId="77B11E3B">
      <w:pPr>
        <w:pStyle w:val="9"/>
        <w:rPr>
          <w:rFonts w:hint="default" w:ascii="Times New Roman" w:hAnsi="Times New Roman" w:cs="Times New Roman"/>
          <w:lang w:val="en-US" w:eastAsia="zh-CN"/>
        </w:rPr>
      </w:pPr>
    </w:p>
    <w:p w14:paraId="7D04CB7D">
      <w:pPr>
        <w:pStyle w:val="9"/>
        <w:rPr>
          <w:rFonts w:hint="default" w:ascii="Times New Roman" w:hAnsi="Times New Roman" w:cs="Times New Roman"/>
          <w:lang w:val="en-US" w:eastAsia="zh-CN"/>
        </w:rPr>
      </w:pPr>
    </w:p>
    <w:p w14:paraId="4AED659C">
      <w:pPr>
        <w:pStyle w:val="9"/>
        <w:rPr>
          <w:rFonts w:hint="default" w:ascii="Times New Roman" w:hAnsi="Times New Roman" w:cs="Times New Roman"/>
          <w:lang w:val="en-US" w:eastAsia="zh-CN"/>
        </w:rPr>
      </w:pPr>
    </w:p>
    <w:p w14:paraId="684F29FA">
      <w:pPr>
        <w:pStyle w:val="9"/>
        <w:rPr>
          <w:rFonts w:hint="default" w:ascii="Times New Roman" w:hAnsi="Times New Roman" w:cs="Times New Roman"/>
          <w:lang w:val="en-US" w:eastAsia="zh-CN"/>
        </w:rPr>
      </w:pPr>
    </w:p>
    <w:p w14:paraId="752BE6A6">
      <w:pPr>
        <w:pStyle w:val="9"/>
        <w:rPr>
          <w:rFonts w:hint="default" w:ascii="Times New Roman" w:hAnsi="Times New Roman" w:cs="Times New Roman"/>
          <w:lang w:val="en-US" w:eastAsia="zh-CN"/>
        </w:rPr>
      </w:pPr>
    </w:p>
    <w:p w14:paraId="54FC85F6">
      <w:pPr>
        <w:pStyle w:val="9"/>
        <w:rPr>
          <w:rFonts w:hint="default" w:ascii="Times New Roman" w:hAnsi="Times New Roman" w:cs="Times New Roman"/>
          <w:lang w:val="en-US" w:eastAsia="zh-CN"/>
        </w:rPr>
      </w:pPr>
    </w:p>
    <w:p w14:paraId="2E875C06">
      <w:pPr>
        <w:pStyle w:val="9"/>
        <w:rPr>
          <w:rFonts w:hint="default" w:ascii="Times New Roman" w:hAnsi="Times New Roman" w:cs="Times New Roman"/>
          <w:lang w:val="en-US" w:eastAsia="zh-CN"/>
        </w:rPr>
      </w:pPr>
    </w:p>
    <w:p w14:paraId="02F8D0F7">
      <w:pPr>
        <w:pStyle w:val="9"/>
        <w:rPr>
          <w:rFonts w:hint="default" w:ascii="Times New Roman" w:hAnsi="Times New Roman" w:cs="Times New Roman"/>
          <w:lang w:val="en-US" w:eastAsia="zh-CN"/>
        </w:rPr>
      </w:pPr>
    </w:p>
    <w:p w14:paraId="1AA01A73">
      <w:pPr>
        <w:pStyle w:val="9"/>
        <w:rPr>
          <w:rFonts w:hint="default" w:ascii="Times New Roman" w:hAnsi="Times New Roman" w:cs="Times New Roman"/>
          <w:lang w:val="en-US" w:eastAsia="zh-CN"/>
        </w:rPr>
      </w:pPr>
    </w:p>
    <w:p w14:paraId="2DFCFDE6">
      <w:pPr>
        <w:pStyle w:val="9"/>
        <w:rPr>
          <w:rFonts w:hint="default" w:ascii="Times New Roman" w:hAnsi="Times New Roman" w:cs="Times New Roman"/>
          <w:lang w:val="en-US" w:eastAsia="zh-CN"/>
        </w:rPr>
      </w:pPr>
    </w:p>
    <w:p w14:paraId="327D989F">
      <w:pPr>
        <w:pStyle w:val="9"/>
        <w:rPr>
          <w:rFonts w:hint="default" w:ascii="Times New Roman" w:hAnsi="Times New Roman" w:cs="Times New Roman"/>
          <w:lang w:val="en-US" w:eastAsia="zh-CN"/>
        </w:rPr>
      </w:pPr>
    </w:p>
    <w:p w14:paraId="41621E9F">
      <w:pPr>
        <w:pStyle w:val="9"/>
        <w:rPr>
          <w:rFonts w:hint="default" w:ascii="Times New Roman" w:hAnsi="Times New Roman" w:cs="Times New Roman"/>
          <w:lang w:val="en-US" w:eastAsia="zh-CN"/>
        </w:rPr>
      </w:pPr>
    </w:p>
    <w:p w14:paraId="271BB63A">
      <w:pPr>
        <w:pStyle w:val="9"/>
        <w:rPr>
          <w:rFonts w:hint="default" w:ascii="Times New Roman" w:hAnsi="Times New Roman" w:cs="Times New Roman"/>
          <w:lang w:val="en-US" w:eastAsia="zh-CN"/>
        </w:rPr>
      </w:pPr>
    </w:p>
    <w:p w14:paraId="57EBE738">
      <w:pPr>
        <w:pStyle w:val="9"/>
        <w:rPr>
          <w:rFonts w:hint="default" w:ascii="Times New Roman" w:hAnsi="Times New Roman" w:cs="Times New Roman"/>
          <w:lang w:val="en-US" w:eastAsia="zh-CN"/>
        </w:rPr>
      </w:pPr>
    </w:p>
    <w:p w14:paraId="1B4EE271">
      <w:pPr>
        <w:pStyle w:val="9"/>
        <w:rPr>
          <w:rFonts w:hint="default" w:ascii="Times New Roman" w:hAnsi="Times New Roman" w:cs="Times New Roman"/>
          <w:lang w:val="en-US" w:eastAsia="zh-CN"/>
        </w:rPr>
      </w:pPr>
    </w:p>
    <w:p w14:paraId="3EACC27A">
      <w:pPr>
        <w:pStyle w:val="9"/>
        <w:rPr>
          <w:rFonts w:hint="default" w:ascii="Times New Roman" w:hAnsi="Times New Roman" w:cs="Times New Roman"/>
          <w:lang w:val="en-US" w:eastAsia="zh-CN"/>
        </w:rPr>
      </w:pPr>
    </w:p>
    <w:p w14:paraId="15248237">
      <w:pPr>
        <w:pStyle w:val="9"/>
        <w:rPr>
          <w:rFonts w:hint="default" w:ascii="Times New Roman" w:hAnsi="Times New Roman" w:cs="Times New Roman"/>
          <w:lang w:val="en-US" w:eastAsia="zh-CN"/>
        </w:rPr>
      </w:pPr>
    </w:p>
    <w:p w14:paraId="6ED5E2B4">
      <w:pPr>
        <w:pStyle w:val="9"/>
        <w:rPr>
          <w:rFonts w:hint="default" w:ascii="Times New Roman" w:hAnsi="Times New Roman" w:cs="Times New Roman"/>
          <w:lang w:val="en-US" w:eastAsia="zh-CN"/>
        </w:rPr>
      </w:pPr>
    </w:p>
    <w:p w14:paraId="77C0D66A">
      <w:pPr>
        <w:pStyle w:val="9"/>
        <w:rPr>
          <w:rFonts w:hint="default" w:ascii="Times New Roman" w:hAnsi="Times New Roman" w:cs="Times New Roman"/>
          <w:lang w:val="en-US" w:eastAsia="zh-CN"/>
        </w:rPr>
      </w:pPr>
    </w:p>
    <w:p w14:paraId="7F52790B">
      <w:pPr>
        <w:pStyle w:val="9"/>
        <w:rPr>
          <w:rFonts w:hint="default" w:ascii="Times New Roman" w:hAnsi="Times New Roman" w:cs="Times New Roman"/>
          <w:lang w:val="en-US" w:eastAsia="zh-CN"/>
        </w:rPr>
      </w:pPr>
    </w:p>
    <w:p w14:paraId="303EF72D">
      <w:pPr>
        <w:pStyle w:val="9"/>
        <w:ind w:left="0" w:leftChars="0" w:firstLine="0" w:firstLineChars="0"/>
        <w:rPr>
          <w:rFonts w:hint="default" w:ascii="Times New Roman" w:hAnsi="Times New Roman" w:cs="Times New Roman"/>
          <w:lang w:val="en-US" w:eastAsia="zh-CN"/>
        </w:rPr>
      </w:pPr>
    </w:p>
    <w:p w14:paraId="41A749E0">
      <w:pPr>
        <w:keepNext w:val="0"/>
        <w:keepLines w:val="0"/>
        <w:pageBreakBefore w:val="0"/>
        <w:kinsoku/>
        <w:wordWrap/>
        <w:overflowPunct/>
        <w:topLinePunct w:val="0"/>
        <w:autoSpaceDE/>
        <w:autoSpaceDN/>
        <w:bidi w:val="0"/>
        <w:spacing w:line="572" w:lineRule="exact"/>
        <w:jc w:val="left"/>
        <w:textAlignment w:val="auto"/>
        <w:outlineLvl w:val="1"/>
        <w:rPr>
          <w:rFonts w:hint="default" w:ascii="Times New Roman" w:hAnsi="Times New Roman" w:eastAsia="黑体" w:cs="Times New Roman"/>
          <w:color w:val="auto"/>
          <w:sz w:val="32"/>
          <w:szCs w:val="32"/>
          <w:highlight w:val="none"/>
          <w:lang w:val="en-US" w:eastAsia="zh-CN"/>
        </w:rPr>
      </w:pPr>
    </w:p>
    <w:p w14:paraId="250F8EA2">
      <w:pPr>
        <w:pStyle w:val="9"/>
        <w:rPr>
          <w:rFonts w:hint="default" w:ascii="Times New Roman" w:hAnsi="Times New Roman" w:cs="Times New Roman"/>
          <w:lang w:val="en-US" w:eastAsia="zh-CN"/>
        </w:rPr>
      </w:pPr>
    </w:p>
    <w:p w14:paraId="2BE4CC21">
      <w:pPr>
        <w:keepNext w:val="0"/>
        <w:keepLines w:val="0"/>
        <w:pageBreakBefore w:val="0"/>
        <w:widowControl w:val="0"/>
        <w:suppressAutoHyphens/>
        <w:kinsoku/>
        <w:wordWrap/>
        <w:overflowPunct/>
        <w:topLinePunct w:val="0"/>
        <w:autoSpaceDE/>
        <w:autoSpaceDN/>
        <w:bidi w:val="0"/>
        <w:adjustRightInd/>
        <w:snapToGrid w:val="0"/>
        <w:spacing w:line="600" w:lineRule="exact"/>
        <w:jc w:val="center"/>
        <w:textAlignment w:val="auto"/>
        <w:outlineLvl w:val="9"/>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遂宁高新区</w:t>
      </w:r>
      <w:r>
        <w:rPr>
          <w:rFonts w:hint="default" w:ascii="Times New Roman" w:hAnsi="Times New Roman" w:eastAsia="方正小标宋简体" w:cs="Times New Roman"/>
          <w:sz w:val="44"/>
          <w:szCs w:val="44"/>
          <w:lang w:val="en-US" w:eastAsia="zh-CN"/>
        </w:rPr>
        <w:t>退役军人服务中心</w:t>
      </w:r>
    </w:p>
    <w:p w14:paraId="635F89CA">
      <w:pPr>
        <w:keepNext w:val="0"/>
        <w:keepLines w:val="0"/>
        <w:pageBreakBefore w:val="0"/>
        <w:widowControl w:val="0"/>
        <w:suppressAutoHyphens/>
        <w:kinsoku/>
        <w:wordWrap/>
        <w:overflowPunct/>
        <w:topLinePunct w:val="0"/>
        <w:autoSpaceDE/>
        <w:autoSpaceDN/>
        <w:bidi w:val="0"/>
        <w:adjustRightInd/>
        <w:snapToGrid w:val="0"/>
        <w:spacing w:line="600" w:lineRule="exact"/>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专项预算项目支出绩效自评报告</w:t>
      </w:r>
    </w:p>
    <w:p w14:paraId="52F00B93">
      <w:pPr>
        <w:keepNext w:val="0"/>
        <w:keepLines w:val="0"/>
        <w:pageBreakBefore w:val="0"/>
        <w:widowControl w:val="0"/>
        <w:tabs>
          <w:tab w:val="left" w:pos="3885"/>
        </w:tabs>
        <w:suppressAutoHyphens/>
        <w:kinsoku/>
        <w:wordWrap/>
        <w:overflowPunct/>
        <w:topLinePunct w:val="0"/>
        <w:autoSpaceDE/>
        <w:autoSpaceDN/>
        <w:bidi w:val="0"/>
        <w:adjustRightInd/>
        <w:snapToGrid w:val="0"/>
        <w:spacing w:line="600" w:lineRule="exact"/>
        <w:jc w:val="center"/>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w:t>
      </w:r>
      <w:bookmarkStart w:id="110" w:name="OLE_LINK13"/>
      <w:r>
        <w:rPr>
          <w:rFonts w:hint="default" w:ascii="Times New Roman" w:hAnsi="Times New Roman" w:eastAsia="仿宋_GB2312" w:cs="Times New Roman"/>
          <w:sz w:val="32"/>
          <w:szCs w:val="21"/>
          <w:lang w:eastAsia="zh-CN"/>
        </w:rPr>
        <w:t>村（社区）退役军人</w:t>
      </w:r>
      <w:r>
        <w:rPr>
          <w:rFonts w:hint="default" w:ascii="Times New Roman" w:hAnsi="Times New Roman" w:eastAsia="仿宋_GB2312" w:cs="Times New Roman"/>
          <w:sz w:val="32"/>
          <w:szCs w:val="21"/>
          <w:lang w:val="en-US" w:eastAsia="zh-CN"/>
        </w:rPr>
        <w:t>服务站站长</w:t>
      </w:r>
      <w:r>
        <w:rPr>
          <w:rFonts w:hint="default" w:ascii="Times New Roman" w:hAnsi="Times New Roman" w:eastAsia="仿宋_GB2312" w:cs="Times New Roman"/>
          <w:sz w:val="32"/>
          <w:szCs w:val="21"/>
          <w:lang w:eastAsia="zh-CN"/>
        </w:rPr>
        <w:t>补贴</w:t>
      </w:r>
      <w:r>
        <w:rPr>
          <w:rFonts w:hint="default" w:ascii="Times New Roman" w:hAnsi="Times New Roman" w:eastAsia="仿宋_GB2312" w:cs="Times New Roman"/>
          <w:sz w:val="32"/>
        </w:rPr>
        <w:t>项目</w:t>
      </w:r>
      <w:bookmarkEnd w:id="110"/>
      <w:r>
        <w:rPr>
          <w:rFonts w:hint="default" w:ascii="Times New Roman" w:hAnsi="Times New Roman" w:eastAsia="仿宋_GB2312" w:cs="Times New Roman"/>
          <w:sz w:val="32"/>
        </w:rPr>
        <w:t>）</w:t>
      </w:r>
    </w:p>
    <w:p w14:paraId="51017F0B">
      <w:pPr>
        <w:widowControl w:val="0"/>
        <w:spacing w:line="620" w:lineRule="exact"/>
        <w:jc w:val="both"/>
        <w:rPr>
          <w:rFonts w:hint="default" w:ascii="Times New Roman" w:hAnsi="Times New Roman" w:eastAsia="宋体" w:cs="Times New Roman"/>
          <w:color w:val="auto"/>
          <w:kern w:val="2"/>
          <w:sz w:val="32"/>
          <w:szCs w:val="32"/>
          <w:lang w:val="zh-CN" w:eastAsia="zh-CN" w:bidi="ar-SA"/>
        </w:rPr>
      </w:pPr>
    </w:p>
    <w:p w14:paraId="1D7723B8">
      <w:pPr>
        <w:suppressAutoHyphens/>
        <w:bidi w:val="0"/>
        <w:adjustRightInd w:val="0"/>
        <w:snapToGrid w:val="0"/>
        <w:spacing w:line="590" w:lineRule="exact"/>
        <w:ind w:firstLine="640" w:firstLineChars="200"/>
        <w:rPr>
          <w:rFonts w:hint="default" w:ascii="Times New Roman" w:hAnsi="Times New Roman" w:eastAsia="黑体" w:cs="Times New Roman"/>
          <w:sz w:val="32"/>
          <w:lang w:val="zh-CN"/>
        </w:rPr>
      </w:pPr>
      <w:r>
        <w:rPr>
          <w:rFonts w:hint="default" w:ascii="Times New Roman" w:hAnsi="Times New Roman" w:eastAsia="黑体" w:cs="Times New Roman"/>
          <w:sz w:val="32"/>
        </w:rPr>
        <w:t>一、</w:t>
      </w:r>
      <w:r>
        <w:rPr>
          <w:rFonts w:hint="default" w:ascii="Times New Roman" w:hAnsi="Times New Roman" w:eastAsia="黑体" w:cs="Times New Roman"/>
          <w:sz w:val="32"/>
          <w:lang w:val="zh-CN"/>
        </w:rPr>
        <w:t>项目概况</w:t>
      </w:r>
    </w:p>
    <w:p w14:paraId="06D67567">
      <w:pPr>
        <w:suppressAutoHyphens/>
        <w:bidi w:val="0"/>
        <w:adjustRightInd w:val="0"/>
        <w:snapToGrid w:val="0"/>
        <w:spacing w:line="590" w:lineRule="exact"/>
        <w:ind w:firstLine="643" w:firstLineChars="200"/>
        <w:rPr>
          <w:rFonts w:hint="default" w:ascii="Times New Roman" w:hAnsi="Times New Roman" w:eastAsia="楷体_GB2312" w:cs="Times New Roman"/>
          <w:b/>
          <w:sz w:val="32"/>
          <w:lang w:val="zh-CN"/>
        </w:rPr>
      </w:pPr>
      <w:r>
        <w:rPr>
          <w:rFonts w:hint="default" w:ascii="Times New Roman" w:hAnsi="Times New Roman" w:eastAsia="楷体_GB2312" w:cs="Times New Roman"/>
          <w:b/>
          <w:sz w:val="32"/>
          <w:lang w:val="zh-CN"/>
        </w:rPr>
        <w:t>（一）项目基本情况</w:t>
      </w:r>
    </w:p>
    <w:p w14:paraId="33E8B2E7">
      <w:pPr>
        <w:suppressAutoHyphens/>
        <w:bidi w:val="0"/>
        <w:adjustRightInd w:val="0"/>
        <w:snapToGrid w:val="0"/>
        <w:spacing w:line="590" w:lineRule="exact"/>
        <w:ind w:firstLine="640" w:firstLineChars="200"/>
        <w:rPr>
          <w:rFonts w:hint="default" w:ascii="Times New Roman" w:hAnsi="Times New Roman" w:eastAsia="仿宋_GB2312" w:cs="Times New Roman"/>
          <w:color w:val="FF0000"/>
          <w:sz w:val="32"/>
          <w:lang w:val="zh-CN"/>
        </w:rPr>
      </w:pPr>
      <w:r>
        <w:rPr>
          <w:rFonts w:hint="default" w:ascii="Times New Roman" w:hAnsi="Times New Roman" w:eastAsia="仿宋_GB2312" w:cs="Times New Roman"/>
          <w:sz w:val="32"/>
          <w:lang w:val="zh-CN"/>
        </w:rPr>
        <w:t>1</w:t>
      </w:r>
      <w:r>
        <w:rPr>
          <w:rFonts w:hint="default" w:ascii="Times New Roman" w:hAnsi="Times New Roman" w:eastAsia="仿宋_GB2312" w:cs="Times New Roman"/>
          <w:color w:val="000000"/>
          <w:sz w:val="32"/>
          <w:lang w:val="zh-CN"/>
        </w:rPr>
        <w:t xml:space="preserve">. </w:t>
      </w:r>
      <w:r>
        <w:rPr>
          <w:rFonts w:hint="default" w:ascii="Times New Roman" w:hAnsi="Times New Roman" w:eastAsia="仿宋_GB2312" w:cs="Times New Roman"/>
          <w:color w:val="000000"/>
          <w:sz w:val="32"/>
          <w:lang w:val="zh-CN"/>
        </w:rPr>
        <w:t>说明项目主管部门（单位）在该项目管理中的职能。</w:t>
      </w:r>
    </w:p>
    <w:p w14:paraId="1ECCD571">
      <w:pPr>
        <w:keepNext w:val="0"/>
        <w:keepLines w:val="0"/>
        <w:pageBreakBefore w:val="0"/>
        <w:widowControl w:val="0"/>
        <w:numPr>
          <w:ilvl w:val="0"/>
          <w:numId w:val="0"/>
        </w:numPr>
        <w:tabs>
          <w:tab w:val="left" w:pos="3885"/>
        </w:tabs>
        <w:suppressAutoHyphens/>
        <w:kinsoku/>
        <w:wordWrap/>
        <w:overflowPunct/>
        <w:topLinePunct w:val="0"/>
        <w:autoSpaceDE/>
        <w:autoSpaceDN/>
        <w:bidi w:val="0"/>
        <w:adjustRightInd/>
        <w:snapToGrid w:val="0"/>
        <w:spacing w:line="600" w:lineRule="exact"/>
        <w:ind w:firstLine="640" w:firstLineChars="200"/>
        <w:jc w:val="left"/>
        <w:textAlignment w:val="auto"/>
        <w:outlineLvl w:val="9"/>
        <w:rPr>
          <w:rFonts w:hint="default" w:ascii="Times New Roman" w:hAnsi="Times New Roman" w:eastAsia="楷体_GB2312" w:cs="Times New Roman"/>
          <w:b/>
          <w:sz w:val="32"/>
          <w:szCs w:val="21"/>
          <w:lang w:val="en-US" w:eastAsia="zh-CN"/>
        </w:rPr>
      </w:pPr>
      <w:r>
        <w:rPr>
          <w:rFonts w:hint="default" w:ascii="Times New Roman" w:hAnsi="Times New Roman" w:eastAsia="仿宋_GB2312" w:cs="Times New Roman"/>
          <w:sz w:val="32"/>
          <w:szCs w:val="21"/>
          <w:lang w:val="en-US" w:eastAsia="zh-CN"/>
        </w:rPr>
        <w:t>各县（区）、市直园区所属村（社区）退役军人服务站应在村（社区）“两委”中指定专人兼任退役军人服务站站长，负责退役军人事务具体工作，并根据服务对象数量、工作考评等情况发放每月300-500元工作补贴。</w:t>
      </w:r>
    </w:p>
    <w:p w14:paraId="120C3D2F">
      <w:pPr>
        <w:numPr>
          <w:ilvl w:val="0"/>
          <w:numId w:val="0"/>
        </w:numPr>
        <w:suppressAutoHyphens/>
        <w:bidi w:val="0"/>
        <w:adjustRightInd w:val="0"/>
        <w:snapToGrid w:val="0"/>
        <w:spacing w:line="590" w:lineRule="exact"/>
        <w:ind w:firstLine="640" w:firstLineChars="200"/>
        <w:rPr>
          <w:rFonts w:hint="default" w:ascii="Times New Roman" w:hAnsi="Times New Roman" w:eastAsia="仿宋_GB2312" w:cs="Times New Roman"/>
          <w:color w:val="000000"/>
          <w:sz w:val="32"/>
          <w:lang w:val="zh-CN"/>
        </w:rPr>
      </w:pPr>
      <w:r>
        <w:rPr>
          <w:rFonts w:hint="default" w:ascii="Times New Roman" w:hAnsi="Times New Roman" w:eastAsia="仿宋_GB2312" w:cs="Times New Roman"/>
          <w:color w:val="000000"/>
          <w:sz w:val="32"/>
          <w:lang w:val="en-US" w:eastAsia="zh-CN"/>
        </w:rPr>
        <w:t>2.</w:t>
      </w:r>
      <w:r>
        <w:rPr>
          <w:rFonts w:hint="default" w:ascii="Times New Roman" w:hAnsi="Times New Roman" w:eastAsia="仿宋_GB2312" w:cs="Times New Roman"/>
          <w:color w:val="000000"/>
          <w:sz w:val="32"/>
          <w:lang w:val="zh-CN"/>
        </w:rPr>
        <w:t>项目立项、资金申报的依据。</w:t>
      </w:r>
    </w:p>
    <w:p w14:paraId="0E0B3A2D">
      <w:pPr>
        <w:suppressAutoHyphens/>
        <w:bidi w:val="0"/>
        <w:ind w:firstLine="640"/>
        <w:rPr>
          <w:rFonts w:hint="default" w:ascii="Times New Roman" w:hAnsi="Times New Roman" w:eastAsia="楷体_GB2312" w:cs="Times New Roman"/>
          <w:spacing w:val="8"/>
          <w:sz w:val="32"/>
          <w:szCs w:val="32"/>
          <w:lang w:eastAsia="zh-CN"/>
        </w:rPr>
      </w:pPr>
      <w:r>
        <w:rPr>
          <w:rFonts w:hint="default" w:ascii="Times New Roman" w:hAnsi="Times New Roman" w:eastAsia="仿宋_GB2312" w:cs="Times New Roman"/>
          <w:sz w:val="32"/>
          <w:lang w:val="zh-CN"/>
        </w:rPr>
        <w:t xml:space="preserve"> </w:t>
      </w:r>
      <w:r>
        <w:rPr>
          <w:rFonts w:hint="default" w:ascii="Times New Roman" w:hAnsi="Times New Roman" w:eastAsia="仿宋_GB2312" w:cs="Times New Roman"/>
          <w:b w:val="0"/>
          <w:bCs w:val="0"/>
          <w:sz w:val="32"/>
          <w:szCs w:val="21"/>
          <w:lang w:val="en-US" w:eastAsia="zh-CN"/>
        </w:rPr>
        <w:t>该项目根据《中共遂宁市委退役军人事务工作领导小组办公室关于进一步明确全市退役军人服务保障体系运行工作重要事项的通知》（遂委退役军人办〔2019〕12号）文件要求执行，</w:t>
      </w:r>
      <w:r>
        <w:rPr>
          <w:rFonts w:hint="default" w:ascii="Times New Roman" w:hAnsi="Times New Roman" w:eastAsia="仿宋_GB2312" w:cs="Times New Roman"/>
          <w:sz w:val="32"/>
        </w:rPr>
        <w:t>由</w:t>
      </w:r>
      <w:r>
        <w:rPr>
          <w:rFonts w:hint="default" w:ascii="Times New Roman" w:hAnsi="Times New Roman" w:eastAsia="仿宋_GB2312" w:cs="Times New Roman"/>
          <w:sz w:val="32"/>
          <w:lang w:val="en-US" w:eastAsia="zh-CN"/>
        </w:rPr>
        <w:t>退役军人服务中心</w:t>
      </w:r>
      <w:r>
        <w:rPr>
          <w:rFonts w:hint="default" w:ascii="Times New Roman" w:hAnsi="Times New Roman" w:eastAsia="仿宋_GB2312" w:cs="Times New Roman"/>
          <w:sz w:val="32"/>
        </w:rPr>
        <w:t>负责。</w:t>
      </w:r>
    </w:p>
    <w:p w14:paraId="717897BD">
      <w:pPr>
        <w:numPr>
          <w:ilvl w:val="0"/>
          <w:numId w:val="0"/>
        </w:numPr>
        <w:suppressAutoHyphens/>
        <w:bidi w:val="0"/>
        <w:adjustRightInd w:val="0"/>
        <w:snapToGrid w:val="0"/>
        <w:spacing w:line="590" w:lineRule="exact"/>
        <w:ind w:firstLine="640" w:firstLineChars="200"/>
        <w:rPr>
          <w:rFonts w:hint="default" w:ascii="Times New Roman" w:hAnsi="Times New Roman" w:eastAsia="仿宋_GB2312" w:cs="Times New Roman"/>
          <w:color w:val="000000"/>
          <w:sz w:val="32"/>
          <w:lang w:val="zh-CN"/>
        </w:rPr>
      </w:pPr>
      <w:r>
        <w:rPr>
          <w:rFonts w:hint="default" w:ascii="Times New Roman" w:hAnsi="Times New Roman" w:eastAsia="仿宋_GB2312" w:cs="Times New Roman"/>
          <w:color w:val="000000"/>
          <w:sz w:val="32"/>
          <w:lang w:val="en-US" w:eastAsia="zh-CN"/>
        </w:rPr>
        <w:t>3.</w:t>
      </w:r>
      <w:r>
        <w:rPr>
          <w:rFonts w:hint="default" w:ascii="Times New Roman" w:hAnsi="Times New Roman" w:eastAsia="仿宋_GB2312" w:cs="Times New Roman"/>
          <w:color w:val="000000"/>
          <w:sz w:val="32"/>
          <w:lang w:val="zh-CN"/>
        </w:rPr>
        <w:t>资金管理办法制定情况，资金支持具体项目的条件、范围与支持方式概况。</w:t>
      </w:r>
    </w:p>
    <w:p w14:paraId="6493BBC2">
      <w:pPr>
        <w:numPr>
          <w:ilvl w:val="0"/>
          <w:numId w:val="0"/>
        </w:numPr>
        <w:suppressAutoHyphens/>
        <w:bidi w:val="0"/>
        <w:adjustRightInd w:val="0"/>
        <w:snapToGrid w:val="0"/>
        <w:spacing w:line="590" w:lineRule="exact"/>
        <w:ind w:firstLine="640" w:firstLineChars="200"/>
        <w:rPr>
          <w:rFonts w:hint="default" w:ascii="Times New Roman" w:hAnsi="Times New Roman" w:eastAsia="仿宋_GB2312" w:cs="Times New Roman"/>
          <w:color w:val="FF0000"/>
          <w:sz w:val="32"/>
          <w:lang w:val="en-US" w:eastAsia="zh-CN"/>
        </w:rPr>
      </w:pPr>
      <w:r>
        <w:rPr>
          <w:rFonts w:hint="default" w:ascii="Times New Roman" w:hAnsi="Times New Roman" w:eastAsia="仿宋_GB2312" w:cs="Times New Roman"/>
          <w:color w:val="000000"/>
          <w:sz w:val="32"/>
          <w:lang w:val="en-US" w:eastAsia="zh-CN"/>
        </w:rPr>
        <w:t>严格财政金融局资金管理办法进行资金管理，按照文件要求和人员人数进行资金拨付。</w:t>
      </w:r>
    </w:p>
    <w:p w14:paraId="78A10E46">
      <w:pPr>
        <w:suppressAutoHyphens/>
        <w:bidi w:val="0"/>
        <w:adjustRightInd w:val="0"/>
        <w:snapToGrid w:val="0"/>
        <w:spacing w:line="590" w:lineRule="exact"/>
        <w:ind w:firstLine="640" w:firstLineChars="200"/>
        <w:rPr>
          <w:rFonts w:hint="default" w:ascii="Times New Roman" w:hAnsi="Times New Roman" w:eastAsia="仿宋_GB2312" w:cs="Times New Roman"/>
          <w:color w:val="000000"/>
          <w:sz w:val="32"/>
          <w:lang w:val="zh-CN"/>
        </w:rPr>
      </w:pPr>
      <w:r>
        <w:rPr>
          <w:rFonts w:hint="default" w:ascii="Times New Roman" w:hAnsi="Times New Roman" w:eastAsia="仿宋_GB2312" w:cs="Times New Roman"/>
          <w:color w:val="000000"/>
          <w:sz w:val="32"/>
          <w:lang w:val="zh-CN"/>
        </w:rPr>
        <w:t>4</w:t>
      </w:r>
      <w:r>
        <w:rPr>
          <w:rFonts w:hint="default" w:ascii="Times New Roman" w:hAnsi="Times New Roman" w:eastAsia="仿宋_GB2312" w:cs="Times New Roman"/>
          <w:color w:val="000000"/>
          <w:sz w:val="32"/>
          <w:lang w:val="zh-CN"/>
        </w:rPr>
        <w:t xml:space="preserve">. </w:t>
      </w:r>
      <w:r>
        <w:rPr>
          <w:rFonts w:hint="default" w:ascii="Times New Roman" w:hAnsi="Times New Roman" w:eastAsia="仿宋_GB2312" w:cs="Times New Roman"/>
          <w:color w:val="000000"/>
          <w:sz w:val="32"/>
          <w:lang w:val="zh-CN"/>
        </w:rPr>
        <w:t>资金分配的原则及考虑因素。</w:t>
      </w:r>
    </w:p>
    <w:p w14:paraId="7054268A">
      <w:pPr>
        <w:suppressAutoHyphens/>
        <w:bidi w:val="0"/>
        <w:adjustRightInd w:val="0"/>
        <w:snapToGrid w:val="0"/>
        <w:spacing w:line="590" w:lineRule="exact"/>
        <w:ind w:firstLine="640" w:firstLineChars="200"/>
        <w:rPr>
          <w:rFonts w:hint="default" w:ascii="Times New Roman" w:hAnsi="Times New Roman" w:eastAsia="仿宋_GB2312" w:cs="Times New Roman"/>
          <w:color w:val="FF0000"/>
          <w:sz w:val="32"/>
          <w:lang w:val="zh-CN"/>
        </w:rPr>
      </w:pPr>
      <w:r>
        <w:rPr>
          <w:rFonts w:hint="default" w:ascii="Times New Roman" w:hAnsi="Times New Roman" w:eastAsia="仿宋_GB2312" w:cs="Times New Roman"/>
          <w:sz w:val="32"/>
          <w:szCs w:val="32"/>
          <w:lang w:eastAsia="zh-CN"/>
        </w:rPr>
        <w:t>该项目资金计划据实申报，</w:t>
      </w:r>
      <w:r>
        <w:rPr>
          <w:rFonts w:hint="default" w:ascii="Times New Roman" w:hAnsi="Times New Roman" w:eastAsia="仿宋_GB2312" w:cs="Times New Roman"/>
          <w:sz w:val="32"/>
          <w:szCs w:val="32"/>
          <w:lang w:val="en-US" w:eastAsia="zh-CN"/>
        </w:rPr>
        <w:t>财政金融局按照标准</w:t>
      </w:r>
      <w:r>
        <w:rPr>
          <w:rFonts w:hint="default" w:ascii="Times New Roman" w:hAnsi="Times New Roman" w:eastAsia="仿宋_GB2312" w:cs="Times New Roman"/>
          <w:sz w:val="32"/>
          <w:szCs w:val="32"/>
          <w:lang w:eastAsia="zh-CN"/>
        </w:rPr>
        <w:t>严格</w:t>
      </w:r>
      <w:r>
        <w:rPr>
          <w:rFonts w:hint="default" w:ascii="Times New Roman" w:hAnsi="Times New Roman" w:eastAsia="仿宋_GB2312" w:cs="Times New Roman"/>
          <w:sz w:val="32"/>
          <w:szCs w:val="32"/>
          <w:lang w:val="en-US" w:eastAsia="zh-CN"/>
        </w:rPr>
        <w:t>审核通过。</w:t>
      </w:r>
    </w:p>
    <w:p w14:paraId="0088FE38">
      <w:pPr>
        <w:suppressAutoHyphens/>
        <w:bidi w:val="0"/>
        <w:adjustRightInd w:val="0"/>
        <w:snapToGrid w:val="0"/>
        <w:spacing w:line="590" w:lineRule="exact"/>
        <w:ind w:firstLine="643" w:firstLineChars="200"/>
        <w:rPr>
          <w:rFonts w:hint="default" w:ascii="Times New Roman" w:hAnsi="Times New Roman" w:eastAsia="楷体_GB2312" w:cs="Times New Roman"/>
          <w:b/>
          <w:sz w:val="32"/>
          <w:lang w:val="zh-CN"/>
        </w:rPr>
      </w:pPr>
      <w:r>
        <w:rPr>
          <w:rFonts w:hint="default" w:ascii="Times New Roman" w:hAnsi="Times New Roman" w:eastAsia="楷体_GB2312" w:cs="Times New Roman"/>
          <w:b/>
          <w:sz w:val="32"/>
          <w:lang w:val="zh-CN"/>
        </w:rPr>
        <w:t>（二）项目绩效目标</w:t>
      </w:r>
    </w:p>
    <w:p w14:paraId="1C04F61F">
      <w:pPr>
        <w:suppressAutoHyphens/>
        <w:bidi w:val="0"/>
        <w:adjustRightInd w:val="0"/>
        <w:snapToGrid w:val="0"/>
        <w:spacing w:line="590" w:lineRule="exact"/>
        <w:ind w:firstLine="640" w:firstLineChars="200"/>
        <w:rPr>
          <w:rFonts w:hint="default" w:ascii="Times New Roman" w:hAnsi="Times New Roman" w:eastAsia="仿宋_GB2312" w:cs="Times New Roman"/>
          <w:color w:val="000000"/>
          <w:sz w:val="32"/>
          <w:lang w:val="zh-CN"/>
        </w:rPr>
      </w:pPr>
      <w:r>
        <w:rPr>
          <w:rFonts w:hint="default" w:ascii="Times New Roman" w:hAnsi="Times New Roman" w:eastAsia="仿宋_GB2312" w:cs="Times New Roman"/>
          <w:color w:val="000000"/>
          <w:sz w:val="32"/>
          <w:lang w:val="zh-CN"/>
        </w:rPr>
        <w:t>1</w:t>
      </w:r>
      <w:r>
        <w:rPr>
          <w:rFonts w:hint="default" w:ascii="Times New Roman" w:hAnsi="Times New Roman" w:eastAsia="仿宋_GB2312" w:cs="Times New Roman"/>
          <w:color w:val="000000"/>
          <w:sz w:val="32"/>
          <w:lang w:val="zh-CN"/>
        </w:rPr>
        <w:t xml:space="preserve">. </w:t>
      </w:r>
      <w:r>
        <w:rPr>
          <w:rFonts w:hint="default" w:ascii="Times New Roman" w:hAnsi="Times New Roman" w:eastAsia="仿宋_GB2312" w:cs="Times New Roman"/>
          <w:color w:val="000000"/>
          <w:sz w:val="32"/>
          <w:lang w:val="zh-CN"/>
        </w:rPr>
        <w:t>项目主要内容。</w:t>
      </w:r>
    </w:p>
    <w:p w14:paraId="423DB488">
      <w:pPr>
        <w:keepNext w:val="0"/>
        <w:keepLines w:val="0"/>
        <w:pageBreakBefore w:val="0"/>
        <w:widowControl w:val="0"/>
        <w:numPr>
          <w:ilvl w:val="0"/>
          <w:numId w:val="0"/>
        </w:numPr>
        <w:suppressAutoHyphens/>
        <w:kinsoku/>
        <w:wordWrap/>
        <w:overflowPunct/>
        <w:topLinePunct w:val="0"/>
        <w:autoSpaceDE/>
        <w:autoSpaceDN/>
        <w:bidi w:val="0"/>
        <w:adjustRightInd/>
        <w:snapToGrid w:val="0"/>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21"/>
          <w:lang w:val="en-US" w:eastAsia="zh-CN"/>
        </w:rPr>
      </w:pPr>
      <w:r>
        <w:rPr>
          <w:rFonts w:hint="default" w:ascii="Times New Roman" w:hAnsi="Times New Roman" w:eastAsia="仿宋_GB2312" w:cs="Times New Roman"/>
          <w:b w:val="0"/>
          <w:bCs w:val="0"/>
          <w:sz w:val="32"/>
          <w:szCs w:val="21"/>
          <w:lang w:val="en-US" w:eastAsia="zh-CN"/>
        </w:rPr>
        <w:t>通过项目实施，</w:t>
      </w:r>
      <w:bookmarkStart w:id="111" w:name="OLE_LINK14"/>
      <w:r>
        <w:rPr>
          <w:rFonts w:hint="default" w:ascii="Times New Roman" w:hAnsi="Times New Roman" w:eastAsia="仿宋_GB2312" w:cs="Times New Roman"/>
          <w:b w:val="0"/>
          <w:bCs w:val="0"/>
          <w:sz w:val="32"/>
          <w:szCs w:val="21"/>
          <w:lang w:val="en-US" w:eastAsia="zh-CN"/>
        </w:rPr>
        <w:t>调动了退役军人工作者的工作积极性，</w:t>
      </w:r>
      <w:r>
        <w:rPr>
          <w:rFonts w:hint="default" w:ascii="Times New Roman" w:hAnsi="Times New Roman" w:eastAsia="仿宋_GB2312" w:cs="Times New Roman"/>
          <w:sz w:val="32"/>
          <w:szCs w:val="32"/>
        </w:rPr>
        <w:t>促进</w:t>
      </w:r>
      <w:r>
        <w:rPr>
          <w:rFonts w:hint="default" w:ascii="Times New Roman" w:hAnsi="Times New Roman" w:eastAsia="仿宋_GB2312" w:cs="Times New Roman"/>
          <w:sz w:val="32"/>
          <w:szCs w:val="32"/>
          <w:lang w:val="en-US" w:eastAsia="zh-CN"/>
        </w:rPr>
        <w:t>退役军人工作高质量发展。</w:t>
      </w:r>
    </w:p>
    <w:bookmarkEnd w:id="111"/>
    <w:p w14:paraId="0D6748EA">
      <w:pPr>
        <w:numPr>
          <w:ilvl w:val="0"/>
          <w:numId w:val="0"/>
        </w:numPr>
        <w:suppressAutoHyphens/>
        <w:bidi w:val="0"/>
        <w:adjustRightInd w:val="0"/>
        <w:snapToGrid w:val="0"/>
        <w:spacing w:line="590" w:lineRule="exact"/>
        <w:ind w:firstLine="640" w:firstLineChars="200"/>
        <w:rPr>
          <w:rFonts w:hint="default" w:ascii="Times New Roman" w:hAnsi="Times New Roman" w:eastAsia="仿宋_GB2312" w:cs="Times New Roman"/>
          <w:color w:val="000000"/>
          <w:sz w:val="32"/>
          <w:lang w:val="zh-CN"/>
        </w:rPr>
      </w:pPr>
      <w:r>
        <w:rPr>
          <w:rFonts w:hint="default" w:ascii="Times New Roman" w:hAnsi="Times New Roman" w:eastAsia="仿宋_GB2312" w:cs="Times New Roman"/>
          <w:color w:val="000000"/>
          <w:sz w:val="32"/>
          <w:lang w:val="en-US" w:eastAsia="zh-CN"/>
        </w:rPr>
        <w:t>2.</w:t>
      </w:r>
      <w:r>
        <w:rPr>
          <w:rFonts w:hint="default" w:ascii="Times New Roman" w:hAnsi="Times New Roman" w:eastAsia="仿宋_GB2312" w:cs="Times New Roman"/>
          <w:color w:val="000000"/>
          <w:sz w:val="32"/>
          <w:lang w:val="zh-CN"/>
        </w:rPr>
        <w:t>项目应实现的具体绩效目标，包括目标的量化、细化情况以及项目实施进度计划等。</w:t>
      </w:r>
    </w:p>
    <w:p w14:paraId="111C9D8D">
      <w:pPr>
        <w:keepNext w:val="0"/>
        <w:keepLines w:val="0"/>
        <w:pageBreakBefore w:val="0"/>
        <w:widowControl w:val="0"/>
        <w:numPr>
          <w:ilvl w:val="0"/>
          <w:numId w:val="0"/>
        </w:numPr>
        <w:tabs>
          <w:tab w:val="left" w:pos="3885"/>
        </w:tabs>
        <w:suppressAutoHyphens/>
        <w:kinsoku/>
        <w:wordWrap/>
        <w:overflowPunct/>
        <w:topLinePunct w:val="0"/>
        <w:autoSpaceDE/>
        <w:autoSpaceDN/>
        <w:bidi w:val="0"/>
        <w:adjustRightInd/>
        <w:snapToGrid w:val="0"/>
        <w:spacing w:line="600" w:lineRule="exact"/>
        <w:ind w:firstLine="640" w:firstLineChars="200"/>
        <w:jc w:val="left"/>
        <w:textAlignment w:val="auto"/>
        <w:outlineLvl w:val="9"/>
        <w:rPr>
          <w:rFonts w:hint="default" w:ascii="Times New Roman" w:hAnsi="Times New Roman" w:eastAsia="仿宋_GB2312" w:cs="Times New Roman"/>
          <w:b w:val="0"/>
          <w:bCs w:val="0"/>
          <w:sz w:val="32"/>
          <w:szCs w:val="21"/>
          <w:lang w:val="en-US" w:eastAsia="zh-CN"/>
        </w:rPr>
      </w:pPr>
      <w:r>
        <w:rPr>
          <w:rFonts w:hint="default" w:ascii="Times New Roman" w:hAnsi="Times New Roman" w:eastAsia="仿宋_GB2312" w:cs="Times New Roman"/>
          <w:b w:val="0"/>
          <w:bCs w:val="0"/>
          <w:sz w:val="32"/>
          <w:szCs w:val="21"/>
          <w:lang w:val="en-US" w:eastAsia="zh-CN"/>
        </w:rPr>
        <w:t>项目实施按要求报审后，进行实施。2023年对保升镇12个退役军人服务站站长和西宁街道8个退役军人服务站站长发放工作补贴，共</w:t>
      </w:r>
      <w:r>
        <w:rPr>
          <w:rFonts w:hint="default" w:ascii="Times New Roman" w:hAnsi="Times New Roman" w:eastAsia="仿宋_GB2312" w:cs="Times New Roman"/>
          <w:b w:val="0"/>
          <w:bCs w:val="0"/>
          <w:sz w:val="32"/>
          <w:szCs w:val="21"/>
          <w:lang w:val="en-US" w:eastAsia="zh-CN"/>
        </w:rPr>
        <w:t>支付7.2</w:t>
      </w:r>
      <w:r>
        <w:rPr>
          <w:rFonts w:hint="default" w:ascii="Times New Roman" w:hAnsi="Times New Roman" w:eastAsia="仿宋_GB2312" w:cs="Times New Roman"/>
          <w:b w:val="0"/>
          <w:bCs w:val="0"/>
          <w:sz w:val="32"/>
          <w:szCs w:val="21"/>
          <w:lang w:val="en-US" w:eastAsia="zh-CN"/>
        </w:rPr>
        <w:t>万元，</w:t>
      </w:r>
      <w:r>
        <w:rPr>
          <w:rFonts w:hint="default" w:ascii="Times New Roman" w:hAnsi="Times New Roman" w:eastAsia="仿宋_GB2312" w:cs="Times New Roman"/>
          <w:b w:val="0"/>
          <w:bCs w:val="0"/>
          <w:sz w:val="32"/>
          <w:szCs w:val="21"/>
          <w:lang w:val="en-US" w:eastAsia="zh-CN"/>
        </w:rPr>
        <w:t>已按实际金额支付。</w:t>
      </w:r>
    </w:p>
    <w:p w14:paraId="29337B93">
      <w:pPr>
        <w:suppressAutoHyphens/>
        <w:bidi w:val="0"/>
        <w:adjustRightInd w:val="0"/>
        <w:snapToGrid w:val="0"/>
        <w:spacing w:line="590" w:lineRule="exact"/>
        <w:ind w:firstLine="640" w:firstLineChars="200"/>
        <w:rPr>
          <w:rFonts w:hint="default" w:ascii="Times New Roman" w:hAnsi="Times New Roman" w:eastAsia="仿宋_GB2312" w:cs="Times New Roman"/>
          <w:color w:val="000000"/>
          <w:spacing w:val="-5"/>
          <w:sz w:val="32"/>
          <w:lang w:val="zh-CN"/>
        </w:rPr>
      </w:pPr>
      <w:r>
        <w:rPr>
          <w:rFonts w:hint="default" w:ascii="Times New Roman" w:hAnsi="Times New Roman" w:eastAsia="仿宋_GB2312" w:cs="Times New Roman"/>
          <w:sz w:val="32"/>
          <w:lang w:val="zh-CN"/>
        </w:rPr>
        <w:t>3</w:t>
      </w:r>
      <w:r>
        <w:rPr>
          <w:rFonts w:hint="default" w:ascii="Times New Roman" w:hAnsi="Times New Roman" w:eastAsia="仿宋_GB2312" w:cs="Times New Roman"/>
          <w:sz w:val="32"/>
          <w:lang w:val="zh-CN"/>
        </w:rPr>
        <w:t xml:space="preserve">. </w:t>
      </w:r>
      <w:r>
        <w:rPr>
          <w:rFonts w:hint="default" w:ascii="Times New Roman" w:hAnsi="Times New Roman" w:eastAsia="仿宋_GB2312" w:cs="Times New Roman"/>
          <w:color w:val="000000"/>
          <w:spacing w:val="-5"/>
          <w:sz w:val="32"/>
          <w:lang w:val="zh-CN"/>
        </w:rPr>
        <w:t>分析评价申报内容是否与实际相符，申报目标是否合理可行。</w:t>
      </w:r>
    </w:p>
    <w:p w14:paraId="40A8436D">
      <w:pPr>
        <w:suppressAutoHyphens/>
        <w:bidi w:val="0"/>
        <w:adjustRightInd w:val="0"/>
        <w:snapToGrid w:val="0"/>
        <w:spacing w:line="590" w:lineRule="exact"/>
        <w:ind w:firstLine="640" w:firstLineChars="200"/>
        <w:rPr>
          <w:rFonts w:hint="default" w:ascii="Times New Roman" w:hAnsi="Times New Roman" w:eastAsia="楷体_GB2312" w:cs="Times New Roman"/>
          <w:b/>
          <w:sz w:val="32"/>
          <w:lang w:val="zh-CN"/>
        </w:rPr>
      </w:pPr>
      <w:r>
        <w:rPr>
          <w:rFonts w:hint="default" w:ascii="Times New Roman" w:hAnsi="Times New Roman" w:eastAsia="仿宋_GB2312" w:cs="Times New Roman"/>
          <w:b w:val="0"/>
          <w:bCs w:val="0"/>
          <w:snapToGrid w:val="0"/>
          <w:color w:val="000000"/>
          <w:spacing w:val="0"/>
          <w:kern w:val="0"/>
          <w:position w:val="0"/>
          <w:sz w:val="32"/>
          <w:szCs w:val="32"/>
          <w:lang w:val="en-US" w:eastAsia="zh-CN"/>
        </w:rPr>
        <w:t>中心</w:t>
      </w:r>
      <w:r>
        <w:rPr>
          <w:rFonts w:hint="default" w:ascii="Times New Roman" w:hAnsi="Times New Roman" w:eastAsia="仿宋_GB2312" w:cs="Times New Roman"/>
          <w:b w:val="0"/>
          <w:bCs w:val="0"/>
          <w:snapToGrid w:val="0"/>
          <w:color w:val="000000"/>
          <w:spacing w:val="0"/>
          <w:kern w:val="0"/>
          <w:position w:val="0"/>
          <w:sz w:val="32"/>
          <w:szCs w:val="32"/>
          <w:lang w:val="en-US" w:eastAsia="zh-CN"/>
        </w:rPr>
        <w:t>充分考虑了项目的实际情况，确保</w:t>
      </w:r>
      <w:r>
        <w:rPr>
          <w:rFonts w:hint="default" w:ascii="Times New Roman" w:hAnsi="Times New Roman" w:eastAsia="仿宋_GB2312" w:cs="Times New Roman"/>
          <w:b w:val="0"/>
          <w:bCs w:val="0"/>
          <w:snapToGrid w:val="0"/>
          <w:color w:val="000000"/>
          <w:spacing w:val="0"/>
          <w:kern w:val="0"/>
          <w:position w:val="0"/>
          <w:sz w:val="32"/>
          <w:szCs w:val="32"/>
          <w:lang w:val="en-US" w:eastAsia="zh-CN"/>
        </w:rPr>
        <w:t>申报</w:t>
      </w:r>
      <w:r>
        <w:rPr>
          <w:rFonts w:hint="default" w:ascii="Times New Roman" w:hAnsi="Times New Roman" w:eastAsia="仿宋_GB2312" w:cs="Times New Roman"/>
          <w:b w:val="0"/>
          <w:bCs w:val="0"/>
          <w:snapToGrid w:val="0"/>
          <w:color w:val="000000"/>
          <w:spacing w:val="0"/>
          <w:kern w:val="0"/>
          <w:position w:val="0"/>
          <w:sz w:val="32"/>
          <w:szCs w:val="32"/>
          <w:lang w:val="en-US" w:eastAsia="zh-CN"/>
        </w:rPr>
        <w:t>目标的合理性和可行性。</w:t>
      </w:r>
      <w:r>
        <w:rPr>
          <w:rFonts w:hint="default" w:ascii="Times New Roman" w:hAnsi="Times New Roman" w:eastAsia="仿宋" w:cs="Times New Roman"/>
          <w:snapToGrid w:val="0"/>
          <w:color w:val="000000"/>
          <w:spacing w:val="0"/>
          <w:kern w:val="0"/>
          <w:position w:val="0"/>
          <w:sz w:val="32"/>
          <w:szCs w:val="32"/>
          <w:lang w:val="en-US" w:eastAsia="zh-CN"/>
        </w:rPr>
        <w:br w:type="textWrapping"/>
      </w:r>
      <w:r>
        <w:rPr>
          <w:rFonts w:hint="default" w:ascii="Times New Roman" w:hAnsi="Times New Roman" w:eastAsia="仿宋" w:cs="Times New Roman"/>
          <w:snapToGrid w:val="0"/>
          <w:color w:val="000000"/>
          <w:spacing w:val="0"/>
          <w:kern w:val="0"/>
          <w:position w:val="0"/>
          <w:sz w:val="32"/>
          <w:szCs w:val="32"/>
          <w:lang w:val="en-US" w:eastAsia="zh-CN"/>
        </w:rPr>
        <w:t xml:space="preserve">   </w:t>
      </w:r>
      <w:r>
        <w:rPr>
          <w:rFonts w:hint="default" w:ascii="Times New Roman" w:hAnsi="Times New Roman" w:eastAsia="楷体_GB2312" w:cs="Times New Roman"/>
          <w:b/>
          <w:sz w:val="32"/>
          <w:lang w:val="zh-CN"/>
        </w:rPr>
        <w:t>（三）项目自评步骤及方法</w:t>
      </w:r>
    </w:p>
    <w:p w14:paraId="6D65421C">
      <w:pPr>
        <w:suppressAutoHyphens/>
        <w:bidi w:val="0"/>
        <w:adjustRightInd w:val="0"/>
        <w:snapToGrid w:val="0"/>
        <w:spacing w:line="590" w:lineRule="exact"/>
        <w:ind w:firstLine="640" w:firstLineChars="200"/>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中心对项目的日常开展进行分析总结，定期对项目进展进行跟踪掌握，确保项目顺利实施。</w:t>
      </w:r>
    </w:p>
    <w:p w14:paraId="0A0F94E3">
      <w:pPr>
        <w:suppressAutoHyphens/>
        <w:bidi w:val="0"/>
        <w:adjustRightInd w:val="0"/>
        <w:snapToGrid w:val="0"/>
        <w:spacing w:line="590" w:lineRule="exact"/>
        <w:ind w:firstLine="640" w:firstLineChars="200"/>
        <w:rPr>
          <w:rFonts w:hint="default" w:ascii="Times New Roman" w:hAnsi="Times New Roman" w:eastAsia="黑体" w:cs="Times New Roman"/>
          <w:sz w:val="32"/>
        </w:rPr>
      </w:pPr>
      <w:r>
        <w:rPr>
          <w:rFonts w:hint="default" w:ascii="Times New Roman" w:hAnsi="Times New Roman" w:eastAsia="黑体" w:cs="Times New Roman"/>
          <w:sz w:val="32"/>
        </w:rPr>
        <w:t>二、项目资金申报及使用情况</w:t>
      </w:r>
    </w:p>
    <w:p w14:paraId="5EB3AD4E">
      <w:pPr>
        <w:suppressAutoHyphens/>
        <w:bidi w:val="0"/>
        <w:adjustRightInd w:val="0"/>
        <w:snapToGrid w:val="0"/>
        <w:spacing w:line="590" w:lineRule="exact"/>
        <w:ind w:firstLine="643" w:firstLineChars="200"/>
        <w:rPr>
          <w:rFonts w:hint="default" w:ascii="Times New Roman" w:hAnsi="Times New Roman" w:eastAsia="楷体_GB2312" w:cs="Times New Roman"/>
          <w:b/>
          <w:sz w:val="32"/>
          <w:lang w:val="zh-CN"/>
        </w:rPr>
      </w:pPr>
      <w:r>
        <w:rPr>
          <w:rFonts w:hint="default" w:ascii="Times New Roman" w:hAnsi="Times New Roman" w:eastAsia="楷体_GB2312" w:cs="Times New Roman"/>
          <w:b/>
          <w:sz w:val="32"/>
          <w:lang w:val="zh-CN"/>
        </w:rPr>
        <w:t>（一）项目资金申报及批复情况</w:t>
      </w:r>
    </w:p>
    <w:p w14:paraId="0EAD6626">
      <w:pPr>
        <w:suppressAutoHyphens/>
        <w:bidi w:val="0"/>
        <w:adjustRightInd w:val="0"/>
        <w:snapToGrid w:val="0"/>
        <w:spacing w:line="590" w:lineRule="exact"/>
        <w:ind w:firstLine="640" w:firstLineChars="200"/>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2023年</w:t>
      </w:r>
      <w:r>
        <w:rPr>
          <w:rFonts w:hint="default" w:ascii="Times New Roman" w:hAnsi="Times New Roman" w:eastAsia="仿宋_GB2312" w:cs="Times New Roman"/>
          <w:sz w:val="32"/>
          <w:szCs w:val="21"/>
          <w:lang w:eastAsia="zh-CN"/>
        </w:rPr>
        <w:t>村（社区）退役军人</w:t>
      </w:r>
      <w:r>
        <w:rPr>
          <w:rFonts w:hint="default" w:ascii="Times New Roman" w:hAnsi="Times New Roman" w:eastAsia="仿宋_GB2312" w:cs="Times New Roman"/>
          <w:sz w:val="32"/>
          <w:szCs w:val="21"/>
          <w:lang w:val="en-US" w:eastAsia="zh-CN"/>
        </w:rPr>
        <w:t>服务站站长</w:t>
      </w:r>
      <w:r>
        <w:rPr>
          <w:rFonts w:hint="default" w:ascii="Times New Roman" w:hAnsi="Times New Roman" w:eastAsia="仿宋_GB2312" w:cs="Times New Roman"/>
          <w:sz w:val="32"/>
          <w:szCs w:val="21"/>
          <w:lang w:eastAsia="zh-CN"/>
        </w:rPr>
        <w:t>补贴</w:t>
      </w:r>
      <w:r>
        <w:rPr>
          <w:rFonts w:hint="default" w:ascii="Times New Roman" w:hAnsi="Times New Roman" w:eastAsia="仿宋_GB2312" w:cs="Times New Roman"/>
          <w:sz w:val="32"/>
          <w:lang w:val="en-US" w:eastAsia="zh-CN"/>
        </w:rPr>
        <w:t>项目区级预算编制7.2万元，遂高管财预发[2023]1号文件批复7.2万元。</w:t>
      </w:r>
    </w:p>
    <w:p w14:paraId="230A5AAD">
      <w:pPr>
        <w:suppressAutoHyphens/>
        <w:bidi w:val="0"/>
        <w:adjustRightInd w:val="0"/>
        <w:snapToGrid w:val="0"/>
        <w:spacing w:line="590" w:lineRule="exact"/>
        <w:ind w:firstLine="643" w:firstLineChars="200"/>
        <w:rPr>
          <w:rFonts w:hint="default" w:ascii="Times New Roman" w:hAnsi="Times New Roman" w:eastAsia="仿宋_GB2312" w:cs="Times New Roman"/>
          <w:sz w:val="32"/>
          <w:lang w:val="zh-CN"/>
        </w:rPr>
      </w:pPr>
      <w:r>
        <w:rPr>
          <w:rFonts w:hint="default" w:ascii="Times New Roman" w:hAnsi="Times New Roman" w:eastAsia="楷体_GB2312" w:cs="Times New Roman"/>
          <w:b/>
          <w:sz w:val="32"/>
          <w:lang w:val="zh-CN"/>
        </w:rPr>
        <w:t>（二）资金计划、到位及使用情况（可用表格形式反映）</w:t>
      </w:r>
    </w:p>
    <w:p w14:paraId="33CB2FC1">
      <w:pPr>
        <w:suppressAutoHyphens/>
        <w:bidi w:val="0"/>
        <w:adjustRightInd w:val="0"/>
        <w:snapToGrid w:val="0"/>
        <w:spacing w:line="590" w:lineRule="exact"/>
        <w:ind w:firstLine="643" w:firstLineChars="200"/>
        <w:rPr>
          <w:rFonts w:hint="default" w:ascii="Times New Roman" w:hAnsi="Times New Roman" w:eastAsia="仿宋_GB2312" w:cs="Times New Roman"/>
          <w:color w:val="FF0000"/>
          <w:sz w:val="32"/>
          <w:lang w:val="zh-CN"/>
        </w:rPr>
      </w:pPr>
      <w:r>
        <w:rPr>
          <w:rFonts w:hint="default" w:ascii="Times New Roman" w:hAnsi="Times New Roman" w:eastAsia="仿宋_GB2312" w:cs="Times New Roman"/>
          <w:b/>
          <w:sz w:val="32"/>
          <w:lang w:val="zh-CN"/>
        </w:rPr>
        <w:t>1</w:t>
      </w:r>
      <w:r>
        <w:rPr>
          <w:rFonts w:hint="default" w:ascii="Times New Roman" w:hAnsi="Times New Roman" w:eastAsia="仿宋_GB2312" w:cs="Times New Roman"/>
          <w:b/>
          <w:sz w:val="32"/>
          <w:lang w:val="zh-CN"/>
        </w:rPr>
        <w:t xml:space="preserve">. </w:t>
      </w:r>
      <w:r>
        <w:rPr>
          <w:rFonts w:hint="default" w:ascii="Times New Roman" w:hAnsi="Times New Roman" w:eastAsia="仿宋_GB2312" w:cs="Times New Roman"/>
          <w:b/>
          <w:sz w:val="32"/>
          <w:lang w:val="zh-CN"/>
        </w:rPr>
        <w:t>资金计划</w:t>
      </w:r>
    </w:p>
    <w:p w14:paraId="7D523AD3">
      <w:pPr>
        <w:widowControl w:val="0"/>
        <w:ind w:firstLine="640" w:firstLineChars="200"/>
        <w:jc w:val="both"/>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zh-CN" w:eastAsia="zh-CN" w:bidi="ar-SA"/>
        </w:rPr>
        <w:t>2023年为</w:t>
      </w:r>
      <w:r>
        <w:rPr>
          <w:rFonts w:hint="default" w:ascii="Times New Roman" w:hAnsi="Times New Roman" w:eastAsia="仿宋_GB2312" w:cs="Times New Roman"/>
          <w:kern w:val="2"/>
          <w:sz w:val="32"/>
          <w:szCs w:val="24"/>
          <w:lang w:val="en-US" w:eastAsia="zh-CN" w:bidi="ar-SA"/>
        </w:rPr>
        <w:t>20名退役军人服务站站长</w:t>
      </w:r>
      <w:r>
        <w:rPr>
          <w:rFonts w:hint="default" w:ascii="Times New Roman" w:hAnsi="Times New Roman" w:eastAsia="仿宋_GB2312" w:cs="Times New Roman"/>
          <w:kern w:val="2"/>
          <w:sz w:val="32"/>
          <w:szCs w:val="24"/>
          <w:lang w:val="zh-CN" w:eastAsia="zh-CN" w:bidi="ar-SA"/>
        </w:rPr>
        <w:t>发放</w:t>
      </w:r>
      <w:r>
        <w:rPr>
          <w:rFonts w:hint="default" w:ascii="Times New Roman" w:hAnsi="Times New Roman" w:eastAsia="仿宋_GB2312" w:cs="Times New Roman"/>
          <w:kern w:val="2"/>
          <w:sz w:val="32"/>
          <w:szCs w:val="24"/>
          <w:lang w:val="en-US" w:eastAsia="zh-CN" w:bidi="ar-SA"/>
        </w:rPr>
        <w:t>站长补贴</w:t>
      </w:r>
      <w:r>
        <w:rPr>
          <w:rFonts w:hint="default" w:ascii="Times New Roman" w:hAnsi="Times New Roman" w:eastAsia="仿宋_GB2312" w:cs="Times New Roman"/>
          <w:kern w:val="2"/>
          <w:sz w:val="32"/>
          <w:szCs w:val="24"/>
          <w:lang w:val="zh-CN" w:eastAsia="zh-CN" w:bidi="ar-SA"/>
        </w:rPr>
        <w:t>，</w:t>
      </w:r>
      <w:r>
        <w:rPr>
          <w:rFonts w:hint="default" w:ascii="Times New Roman" w:hAnsi="Times New Roman" w:eastAsia="仿宋_GB2312" w:cs="Times New Roman"/>
          <w:kern w:val="2"/>
          <w:sz w:val="32"/>
          <w:szCs w:val="24"/>
          <w:lang w:val="en-US" w:eastAsia="zh-CN" w:bidi="ar-SA"/>
        </w:rPr>
        <w:t>每人每月300元，共计7.2万元。</w:t>
      </w:r>
    </w:p>
    <w:p w14:paraId="44BDE904">
      <w:pPr>
        <w:numPr>
          <w:ilvl w:val="0"/>
          <w:numId w:val="0"/>
        </w:numPr>
        <w:suppressAutoHyphens/>
        <w:bidi w:val="0"/>
        <w:adjustRightInd w:val="0"/>
        <w:snapToGrid w:val="0"/>
        <w:spacing w:line="590" w:lineRule="exact"/>
        <w:ind w:firstLine="643" w:firstLineChars="200"/>
        <w:rPr>
          <w:rFonts w:hint="default" w:ascii="Times New Roman" w:hAnsi="Times New Roman" w:eastAsia="仿宋_GB2312" w:cs="Times New Roman"/>
          <w:color w:val="FF0000"/>
          <w:sz w:val="32"/>
          <w:lang w:val="zh-CN"/>
        </w:rPr>
      </w:pPr>
      <w:r>
        <w:rPr>
          <w:rFonts w:hint="default" w:ascii="Times New Roman" w:hAnsi="Times New Roman" w:eastAsia="仿宋_GB2312" w:cs="Times New Roman"/>
          <w:b/>
          <w:sz w:val="32"/>
          <w:lang w:val="en-US" w:eastAsia="zh-CN"/>
        </w:rPr>
        <w:t>2.</w:t>
      </w:r>
      <w:r>
        <w:rPr>
          <w:rFonts w:hint="default" w:ascii="Times New Roman" w:hAnsi="Times New Roman" w:eastAsia="仿宋_GB2312" w:cs="Times New Roman"/>
          <w:b/>
          <w:sz w:val="32"/>
          <w:lang w:val="zh-CN"/>
        </w:rPr>
        <w:t>资金到位</w:t>
      </w:r>
    </w:p>
    <w:p w14:paraId="5FE4CFAB">
      <w:pPr>
        <w:keepNext w:val="0"/>
        <w:keepLines w:val="0"/>
        <w:pageBreakBefore w:val="0"/>
        <w:widowControl/>
        <w:suppressAutoHyphen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sz w:val="32"/>
          <w:szCs w:val="32"/>
          <w:lang w:val="en-US" w:eastAsia="zh-CN"/>
        </w:rPr>
        <w:t>2023年区级预算资金7.2万元</w:t>
      </w:r>
    </w:p>
    <w:p w14:paraId="6402A149">
      <w:pPr>
        <w:suppressAutoHyphens/>
        <w:bidi w:val="0"/>
        <w:adjustRightInd w:val="0"/>
        <w:snapToGrid w:val="0"/>
        <w:spacing w:line="590" w:lineRule="exact"/>
        <w:ind w:firstLine="643" w:firstLineChars="200"/>
        <w:rPr>
          <w:rFonts w:hint="default" w:ascii="Times New Roman" w:hAnsi="Times New Roman" w:eastAsia="仿宋_GB2312" w:cs="Times New Roman"/>
          <w:color w:val="FF0000"/>
          <w:sz w:val="32"/>
          <w:lang w:val="zh-CN"/>
        </w:rPr>
      </w:pPr>
      <w:r>
        <w:rPr>
          <w:rFonts w:hint="default" w:ascii="Times New Roman" w:hAnsi="Times New Roman" w:eastAsia="仿宋_GB2312" w:cs="Times New Roman"/>
          <w:b/>
          <w:sz w:val="32"/>
          <w:lang w:val="zh-CN"/>
        </w:rPr>
        <w:t>3</w:t>
      </w:r>
      <w:r>
        <w:rPr>
          <w:rFonts w:hint="default" w:ascii="Times New Roman" w:hAnsi="Times New Roman" w:eastAsia="仿宋_GB2312" w:cs="Times New Roman"/>
          <w:b/>
          <w:sz w:val="32"/>
          <w:lang w:val="zh-CN"/>
        </w:rPr>
        <w:t xml:space="preserve">. </w:t>
      </w:r>
      <w:r>
        <w:rPr>
          <w:rFonts w:hint="default" w:ascii="Times New Roman" w:hAnsi="Times New Roman" w:eastAsia="仿宋_GB2312" w:cs="Times New Roman"/>
          <w:b/>
          <w:sz w:val="32"/>
          <w:lang w:val="zh-CN"/>
        </w:rPr>
        <w:t>资金使用</w:t>
      </w:r>
    </w:p>
    <w:p w14:paraId="294836D4">
      <w:pPr>
        <w:keepNext w:val="0"/>
        <w:keepLines w:val="0"/>
        <w:pageBreakBefore w:val="0"/>
        <w:widowControl/>
        <w:suppressAutoHyphen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lang w:val="zh-CN"/>
        </w:rPr>
      </w:pPr>
      <w:r>
        <w:rPr>
          <w:rFonts w:hint="default" w:ascii="Times New Roman" w:hAnsi="Times New Roman" w:eastAsia="仿宋_GB2312" w:cs="Times New Roman"/>
          <w:snapToGrid w:val="0"/>
          <w:color w:val="000000"/>
          <w:kern w:val="0"/>
          <w:sz w:val="32"/>
          <w:szCs w:val="32"/>
          <w:lang w:val="en-US" w:eastAsia="zh-CN" w:bidi="ar-SA"/>
        </w:rPr>
        <w:t>2023年</w:t>
      </w:r>
      <w:r>
        <w:rPr>
          <w:rFonts w:hint="default" w:ascii="Times New Roman" w:hAnsi="Times New Roman" w:eastAsia="仿宋_GB2312" w:cs="Times New Roman"/>
          <w:sz w:val="32"/>
          <w:szCs w:val="21"/>
          <w:lang w:eastAsia="zh-CN"/>
        </w:rPr>
        <w:t>村（社区）退役军人</w:t>
      </w:r>
      <w:r>
        <w:rPr>
          <w:rFonts w:hint="default" w:ascii="Times New Roman" w:hAnsi="Times New Roman" w:eastAsia="仿宋_GB2312" w:cs="Times New Roman"/>
          <w:sz w:val="32"/>
          <w:szCs w:val="21"/>
          <w:lang w:val="en-US" w:eastAsia="zh-CN"/>
        </w:rPr>
        <w:t>服务站站长</w:t>
      </w:r>
      <w:r>
        <w:rPr>
          <w:rFonts w:hint="default" w:ascii="Times New Roman" w:hAnsi="Times New Roman" w:eastAsia="仿宋_GB2312" w:cs="Times New Roman"/>
          <w:sz w:val="32"/>
          <w:szCs w:val="21"/>
          <w:lang w:eastAsia="zh-CN"/>
        </w:rPr>
        <w:t>补贴</w:t>
      </w:r>
      <w:r>
        <w:rPr>
          <w:rFonts w:hint="default" w:ascii="Times New Roman" w:hAnsi="Times New Roman" w:eastAsia="仿宋_GB2312" w:cs="Times New Roman"/>
          <w:sz w:val="32"/>
        </w:rPr>
        <w:t>项目</w:t>
      </w:r>
      <w:r>
        <w:rPr>
          <w:rFonts w:hint="default" w:ascii="Times New Roman" w:hAnsi="Times New Roman" w:eastAsia="仿宋_GB2312" w:cs="Times New Roman"/>
          <w:kern w:val="2"/>
          <w:sz w:val="32"/>
          <w:szCs w:val="24"/>
          <w:lang w:val="zh-CN" w:eastAsia="zh-CN" w:bidi="ar-SA"/>
        </w:rPr>
        <w:t>经费</w:t>
      </w:r>
      <w:r>
        <w:rPr>
          <w:rFonts w:hint="default" w:ascii="Times New Roman" w:hAnsi="Times New Roman" w:eastAsia="仿宋_GB2312" w:cs="Times New Roman"/>
          <w:snapToGrid w:val="0"/>
          <w:color w:val="000000"/>
          <w:kern w:val="0"/>
          <w:sz w:val="32"/>
          <w:szCs w:val="32"/>
          <w:lang w:val="en-US" w:eastAsia="zh-CN" w:bidi="ar-SA"/>
        </w:rPr>
        <w:t>实际执行7.2万元</w:t>
      </w:r>
      <w:r>
        <w:rPr>
          <w:rFonts w:hint="default" w:ascii="Times New Roman" w:hAnsi="Times New Roman" w:eastAsia="仿宋_GB2312" w:cs="Times New Roman"/>
          <w:sz w:val="32"/>
          <w:szCs w:val="32"/>
          <w:highlight w:val="none"/>
          <w:lang w:val="en-US" w:eastAsia="zh-CN"/>
        </w:rPr>
        <w:t>。</w:t>
      </w:r>
    </w:p>
    <w:p w14:paraId="4EB9C108">
      <w:pPr>
        <w:suppressAutoHyphens/>
        <w:bidi w:val="0"/>
        <w:adjustRightInd w:val="0"/>
        <w:snapToGrid w:val="0"/>
        <w:spacing w:line="590" w:lineRule="exact"/>
        <w:ind w:firstLine="643" w:firstLineChars="200"/>
        <w:rPr>
          <w:rFonts w:hint="default" w:ascii="Times New Roman" w:hAnsi="Times New Roman" w:eastAsia="楷体_GB2312" w:cs="Times New Roman"/>
          <w:b/>
          <w:sz w:val="32"/>
          <w:lang w:val="zh-CN"/>
        </w:rPr>
      </w:pPr>
      <w:r>
        <w:rPr>
          <w:rFonts w:hint="default" w:ascii="Times New Roman" w:hAnsi="Times New Roman" w:eastAsia="楷体_GB2312" w:cs="Times New Roman"/>
          <w:b/>
          <w:sz w:val="32"/>
          <w:lang w:val="zh-CN"/>
        </w:rPr>
        <w:t>（三）项目财务管理情况</w:t>
      </w:r>
    </w:p>
    <w:p w14:paraId="03023746">
      <w:pPr>
        <w:keepNext w:val="0"/>
        <w:keepLines w:val="0"/>
        <w:pageBreakBefore w:val="0"/>
        <w:widowControl w:val="0"/>
        <w:numPr>
          <w:ilvl w:val="0"/>
          <w:numId w:val="0"/>
        </w:numPr>
        <w:tabs>
          <w:tab w:val="left" w:pos="3885"/>
        </w:tabs>
        <w:suppressAutoHyphens/>
        <w:kinsoku/>
        <w:wordWrap/>
        <w:overflowPunct/>
        <w:topLinePunct w:val="0"/>
        <w:autoSpaceDE/>
        <w:autoSpaceDN/>
        <w:bidi w:val="0"/>
        <w:adjustRightInd/>
        <w:snapToGrid w:val="0"/>
        <w:spacing w:line="600" w:lineRule="exact"/>
        <w:ind w:firstLine="640" w:firstLineChars="200"/>
        <w:jc w:val="left"/>
        <w:textAlignment w:val="auto"/>
        <w:outlineLvl w:val="9"/>
        <w:rPr>
          <w:rFonts w:hint="default" w:ascii="Times New Roman" w:hAnsi="Times New Roman" w:eastAsia="仿宋_GB2312" w:cs="Times New Roman"/>
          <w:sz w:val="32"/>
          <w:lang w:val="zh-CN"/>
        </w:rPr>
      </w:pPr>
      <w:r>
        <w:rPr>
          <w:rFonts w:hint="default" w:ascii="Times New Roman" w:hAnsi="Times New Roman" w:eastAsia="仿宋_GB2312" w:cs="Times New Roman"/>
          <w:b w:val="0"/>
          <w:bCs w:val="0"/>
          <w:sz w:val="32"/>
          <w:szCs w:val="21"/>
          <w:lang w:val="en-US" w:eastAsia="zh-CN"/>
        </w:rPr>
        <w:t>该项目资金支出严格按照财务资金管理制度的要求进行管理和执行，资金管理、费用支付流程均符合相关制度规定，不存在截留、滞留、挤占、挪用、套取、虚报、冒领等问题，财务处理及时，会计核算规范。</w:t>
      </w:r>
    </w:p>
    <w:p w14:paraId="6DFB11FF">
      <w:pPr>
        <w:suppressAutoHyphens/>
        <w:bidi w:val="0"/>
        <w:adjustRightInd w:val="0"/>
        <w:snapToGrid w:val="0"/>
        <w:spacing w:line="590" w:lineRule="exact"/>
        <w:ind w:firstLine="640" w:firstLineChars="200"/>
        <w:rPr>
          <w:rFonts w:hint="default" w:ascii="Times New Roman" w:hAnsi="Times New Roman" w:eastAsia="黑体" w:cs="Times New Roman"/>
          <w:sz w:val="32"/>
        </w:rPr>
      </w:pPr>
      <w:r>
        <w:rPr>
          <w:rFonts w:hint="default" w:ascii="Times New Roman" w:hAnsi="Times New Roman" w:eastAsia="黑体" w:cs="Times New Roman"/>
          <w:sz w:val="32"/>
        </w:rPr>
        <w:t>三、项目实施及管理情况</w:t>
      </w:r>
    </w:p>
    <w:p w14:paraId="24FE7D19">
      <w:pPr>
        <w:suppressAutoHyphens/>
        <w:bidi w:val="0"/>
        <w:adjustRightInd w:val="0"/>
        <w:snapToGrid w:val="0"/>
        <w:spacing w:line="590" w:lineRule="exact"/>
        <w:ind w:firstLine="640" w:firstLineChars="200"/>
        <w:rPr>
          <w:rFonts w:hint="default" w:ascii="Times New Roman" w:hAnsi="Times New Roman" w:eastAsia="仿宋_GB2312" w:cs="Times New Roman"/>
          <w:sz w:val="32"/>
          <w:lang w:val="zh-CN"/>
        </w:rPr>
      </w:pPr>
      <w:r>
        <w:rPr>
          <w:rFonts w:hint="default" w:ascii="Times New Roman" w:hAnsi="Times New Roman" w:eastAsia="仿宋_GB2312" w:cs="Times New Roman"/>
          <w:sz w:val="32"/>
          <w:lang w:val="zh-CN"/>
        </w:rPr>
        <w:t>结合项目组织实施管理办法，重点围绕以下内容进行分析评价，并对自评中发现的问题分析说明。</w:t>
      </w:r>
    </w:p>
    <w:p w14:paraId="6703432D">
      <w:pPr>
        <w:numPr>
          <w:ilvl w:val="0"/>
          <w:numId w:val="4"/>
        </w:numPr>
        <w:suppressAutoHyphens/>
        <w:bidi w:val="0"/>
        <w:adjustRightInd w:val="0"/>
        <w:snapToGrid w:val="0"/>
        <w:spacing w:line="590" w:lineRule="exact"/>
        <w:ind w:firstLine="643" w:firstLineChars="200"/>
        <w:rPr>
          <w:rFonts w:hint="default" w:ascii="Times New Roman" w:hAnsi="Times New Roman" w:eastAsia="楷体_GB2312" w:cs="Times New Roman"/>
          <w:b/>
          <w:sz w:val="32"/>
          <w:lang w:val="zh-CN"/>
        </w:rPr>
      </w:pPr>
      <w:r>
        <w:rPr>
          <w:rFonts w:hint="default" w:ascii="Times New Roman" w:hAnsi="Times New Roman" w:eastAsia="楷体_GB2312" w:cs="Times New Roman"/>
          <w:b/>
          <w:sz w:val="32"/>
          <w:lang w:val="zh-CN"/>
        </w:rPr>
        <w:t>项目组织架构及实施流程</w:t>
      </w:r>
    </w:p>
    <w:p w14:paraId="7F2A0FA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both"/>
        <w:textAlignment w:val="baseline"/>
        <w:rPr>
          <w:rFonts w:hint="default" w:ascii="Times New Roman" w:hAnsi="Times New Roman" w:eastAsia="仿宋_GB2312" w:cs="Times New Roman"/>
          <w:kern w:val="0"/>
          <w:sz w:val="24"/>
          <w:szCs w:val="24"/>
          <w:lang w:val="zh-CN" w:eastAsia="zh-CN" w:bidi="ar"/>
        </w:rPr>
      </w:pPr>
      <w:r>
        <w:rPr>
          <w:rFonts w:hint="default" w:ascii="Times New Roman" w:hAnsi="Times New Roman" w:eastAsia="仿宋_GB2312" w:cs="Times New Roman"/>
          <w:kern w:val="0"/>
          <w:sz w:val="32"/>
          <w:szCs w:val="32"/>
          <w:lang w:val="en-US" w:eastAsia="zh-CN" w:bidi="ar"/>
        </w:rPr>
        <w:t>按照业务人员经办、财务人员初审、中心主任审核、管委会分管领导审批的流程组织实施，按时完成支付工作。</w:t>
      </w:r>
    </w:p>
    <w:p w14:paraId="52CCA9C6">
      <w:pPr>
        <w:suppressAutoHyphens/>
        <w:bidi w:val="0"/>
        <w:adjustRightInd w:val="0"/>
        <w:snapToGrid w:val="0"/>
        <w:spacing w:line="590" w:lineRule="exact"/>
        <w:ind w:firstLine="643" w:firstLineChars="200"/>
        <w:rPr>
          <w:rFonts w:hint="default" w:ascii="Times New Roman" w:hAnsi="Times New Roman" w:eastAsia="仿宋_GB2312" w:cs="Times New Roman"/>
          <w:color w:val="FF0000"/>
          <w:sz w:val="32"/>
          <w:lang w:val="zh-CN"/>
        </w:rPr>
      </w:pPr>
      <w:r>
        <w:rPr>
          <w:rFonts w:hint="default" w:ascii="Times New Roman" w:hAnsi="Times New Roman" w:eastAsia="楷体_GB2312" w:cs="Times New Roman"/>
          <w:b/>
          <w:sz w:val="32"/>
          <w:lang w:val="zh-CN"/>
        </w:rPr>
        <w:t>（二）项目管理情况</w:t>
      </w:r>
    </w:p>
    <w:p w14:paraId="7C40307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both"/>
        <w:textAlignment w:val="baseline"/>
        <w:rPr>
          <w:rFonts w:hint="default" w:ascii="Times New Roman" w:hAnsi="Times New Roman" w:eastAsia="仿宋_GB2312" w:cs="Times New Roman"/>
          <w:kern w:val="0"/>
          <w:sz w:val="24"/>
          <w:szCs w:val="24"/>
          <w:lang w:val="zh-CN" w:eastAsia="zh-CN" w:bidi="ar"/>
        </w:rPr>
      </w:pPr>
      <w:r>
        <w:rPr>
          <w:rFonts w:hint="default" w:ascii="Times New Roman" w:hAnsi="Times New Roman" w:eastAsia="仿宋_GB2312" w:cs="Times New Roman"/>
          <w:kern w:val="0"/>
          <w:sz w:val="32"/>
          <w:szCs w:val="32"/>
          <w:lang w:val="en-US" w:eastAsia="zh-CN" w:bidi="ar"/>
        </w:rPr>
        <w:t>该项目严格按照单位内控制度审批流程的要求组织资金申报，资金项目拨付通过事权、财权手续严格执行财务管理制度，资金拨付及时到位，会计核算严格按照行政单位会计制度要求进行做账。</w:t>
      </w:r>
    </w:p>
    <w:p w14:paraId="5708AC8D">
      <w:pPr>
        <w:numPr>
          <w:ilvl w:val="0"/>
          <w:numId w:val="0"/>
        </w:numPr>
        <w:suppressAutoHyphens/>
        <w:bidi w:val="0"/>
        <w:adjustRightInd w:val="0"/>
        <w:snapToGrid w:val="0"/>
        <w:spacing w:line="590" w:lineRule="exact"/>
        <w:ind w:firstLine="643" w:firstLineChars="200"/>
        <w:rPr>
          <w:rFonts w:hint="default" w:ascii="Times New Roman" w:hAnsi="Times New Roman" w:eastAsia="仿宋_GB2312" w:cs="Times New Roman"/>
          <w:color w:val="FF0000"/>
          <w:sz w:val="32"/>
          <w:lang w:val="zh-CN"/>
        </w:rPr>
      </w:pPr>
      <w:r>
        <w:rPr>
          <w:rFonts w:hint="default" w:ascii="Times New Roman" w:hAnsi="Times New Roman" w:eastAsia="楷体_GB2312" w:cs="Times New Roman"/>
          <w:b/>
          <w:sz w:val="32"/>
          <w:lang w:val="zh-CN"/>
        </w:rPr>
        <w:t>（</w:t>
      </w:r>
      <w:r>
        <w:rPr>
          <w:rFonts w:hint="default" w:ascii="Times New Roman" w:hAnsi="Times New Roman" w:eastAsia="楷体_GB2312" w:cs="Times New Roman"/>
          <w:b/>
          <w:sz w:val="32"/>
          <w:lang w:val="en-US" w:eastAsia="zh-CN"/>
        </w:rPr>
        <w:t>三</w:t>
      </w:r>
      <w:r>
        <w:rPr>
          <w:rFonts w:hint="default" w:ascii="Times New Roman" w:hAnsi="Times New Roman" w:eastAsia="楷体_GB2312" w:cs="Times New Roman"/>
          <w:b/>
          <w:sz w:val="32"/>
          <w:lang w:val="zh-CN"/>
        </w:rPr>
        <w:t>）</w:t>
      </w:r>
      <w:r>
        <w:rPr>
          <w:rFonts w:hint="default" w:ascii="Times New Roman" w:hAnsi="Times New Roman" w:eastAsia="楷体_GB2312" w:cs="Times New Roman"/>
          <w:b/>
          <w:sz w:val="32"/>
          <w:lang w:val="zh-CN"/>
        </w:rPr>
        <w:t>项目监管情况</w:t>
      </w:r>
    </w:p>
    <w:p w14:paraId="0563D199">
      <w:pPr>
        <w:widowControl w:val="0"/>
        <w:numPr>
          <w:ilvl w:val="0"/>
          <w:numId w:val="0"/>
        </w:numPr>
        <w:ind w:firstLine="640" w:firstLineChars="200"/>
        <w:jc w:val="both"/>
        <w:rPr>
          <w:rFonts w:hint="default" w:ascii="Times New Roman" w:hAnsi="Times New Roman" w:eastAsia="仿宋_GB2312" w:cs="Times New Roman"/>
          <w:kern w:val="2"/>
          <w:sz w:val="32"/>
          <w:szCs w:val="24"/>
          <w:lang w:val="zh-CN" w:eastAsia="zh-CN" w:bidi="ar-SA"/>
        </w:rPr>
      </w:pPr>
      <w:r>
        <w:rPr>
          <w:rFonts w:hint="default" w:ascii="Times New Roman" w:hAnsi="Times New Roman" w:eastAsia="仿宋_GB2312" w:cs="Times New Roman"/>
          <w:kern w:val="2"/>
          <w:sz w:val="32"/>
          <w:szCs w:val="24"/>
          <w:lang w:val="en-US" w:eastAsia="zh-CN" w:bidi="ar-SA"/>
        </w:rPr>
        <w:t>退役军人服务中心</w:t>
      </w:r>
      <w:r>
        <w:rPr>
          <w:rFonts w:hint="default" w:ascii="Times New Roman" w:hAnsi="Times New Roman" w:eastAsia="仿宋_GB2312" w:cs="Times New Roman"/>
          <w:color w:val="000000"/>
          <w:kern w:val="2"/>
          <w:sz w:val="32"/>
          <w:szCs w:val="32"/>
          <w:lang w:val="en-US" w:eastAsia="zh-CN" w:bidi="ar-SA"/>
        </w:rPr>
        <w:t>秉承合法、合规、实效、集约的资金使用原则，按照财务管理制度及财政法律法规申请各项资金，按照资金使用流程管控使用，未出现违规违纪现象。</w:t>
      </w:r>
    </w:p>
    <w:p w14:paraId="52F52A12">
      <w:pPr>
        <w:suppressAutoHyphens/>
        <w:bidi w:val="0"/>
        <w:adjustRightInd w:val="0"/>
        <w:snapToGrid w:val="0"/>
        <w:spacing w:line="590" w:lineRule="exact"/>
        <w:ind w:firstLine="640" w:firstLineChars="200"/>
        <w:rPr>
          <w:rFonts w:hint="default" w:ascii="Times New Roman" w:hAnsi="Times New Roman" w:eastAsia="仿宋_GB2312" w:cs="Times New Roman"/>
          <w:sz w:val="32"/>
          <w:lang w:val="zh-CN"/>
        </w:rPr>
      </w:pPr>
      <w:r>
        <w:rPr>
          <w:rFonts w:hint="default" w:ascii="Times New Roman" w:hAnsi="Times New Roman" w:eastAsia="黑体" w:cs="Times New Roman"/>
          <w:sz w:val="32"/>
        </w:rPr>
        <w:t>四、项目绩效情况</w:t>
      </w:r>
      <w:r>
        <w:rPr>
          <w:rFonts w:hint="default" w:ascii="Times New Roman" w:hAnsi="Times New Roman" w:eastAsia="仿宋_GB2312" w:cs="Times New Roman"/>
          <w:sz w:val="32"/>
          <w:lang w:val="zh-CN"/>
        </w:rPr>
        <w:tab/>
      </w:r>
    </w:p>
    <w:p w14:paraId="7401B0DB">
      <w:pPr>
        <w:suppressAutoHyphens/>
        <w:bidi w:val="0"/>
        <w:adjustRightInd w:val="0"/>
        <w:snapToGrid w:val="0"/>
        <w:spacing w:line="590" w:lineRule="exact"/>
        <w:ind w:firstLine="643" w:firstLineChars="200"/>
        <w:rPr>
          <w:rFonts w:hint="default" w:ascii="Times New Roman" w:hAnsi="Times New Roman" w:eastAsia="楷体_GB2312" w:cs="Times New Roman"/>
          <w:b/>
          <w:sz w:val="32"/>
          <w:lang w:val="zh-CN"/>
        </w:rPr>
      </w:pPr>
      <w:r>
        <w:rPr>
          <w:rFonts w:hint="default" w:ascii="Times New Roman" w:hAnsi="Times New Roman" w:eastAsia="楷体_GB2312" w:cs="Times New Roman"/>
          <w:b/>
          <w:sz w:val="32"/>
          <w:lang w:val="zh-CN"/>
        </w:rPr>
        <w:t>（一）项目完成情况</w:t>
      </w:r>
    </w:p>
    <w:p w14:paraId="7829B649">
      <w:pPr>
        <w:keepNext w:val="0"/>
        <w:keepLines w:val="0"/>
        <w:pageBreakBefore w:val="0"/>
        <w:widowControl w:val="0"/>
        <w:numPr>
          <w:ilvl w:val="0"/>
          <w:numId w:val="0"/>
        </w:numPr>
        <w:tabs>
          <w:tab w:val="left" w:pos="3885"/>
        </w:tabs>
        <w:suppressAutoHyphens/>
        <w:kinsoku/>
        <w:wordWrap/>
        <w:overflowPunct/>
        <w:topLinePunct w:val="0"/>
        <w:autoSpaceDE/>
        <w:autoSpaceDN/>
        <w:bidi w:val="0"/>
        <w:adjustRightInd/>
        <w:snapToGrid w:val="0"/>
        <w:spacing w:line="600" w:lineRule="exact"/>
        <w:ind w:firstLine="640" w:firstLineChars="200"/>
        <w:jc w:val="left"/>
        <w:textAlignment w:val="auto"/>
        <w:outlineLvl w:val="9"/>
        <w:rPr>
          <w:rFonts w:hint="default" w:ascii="Times New Roman" w:hAnsi="Times New Roman" w:eastAsia="仿宋_GB2312" w:cs="Times New Roman"/>
          <w:sz w:val="32"/>
          <w:lang w:val="zh-CN"/>
        </w:rPr>
      </w:pPr>
      <w:r>
        <w:rPr>
          <w:rFonts w:hint="default" w:ascii="Times New Roman" w:hAnsi="Times New Roman" w:eastAsia="仿宋_GB2312" w:cs="Times New Roman"/>
          <w:b w:val="0"/>
          <w:bCs w:val="0"/>
          <w:sz w:val="32"/>
          <w:szCs w:val="21"/>
          <w:lang w:val="en-US" w:eastAsia="zh-CN"/>
        </w:rPr>
        <w:t>项目实施按要求报审后，进行</w:t>
      </w:r>
      <w:r>
        <w:rPr>
          <w:rFonts w:hint="default" w:ascii="Times New Roman" w:hAnsi="Times New Roman" w:eastAsia="仿宋_GB2312" w:cs="Times New Roman"/>
          <w:sz w:val="32"/>
          <w:szCs w:val="32"/>
          <w:lang w:val="en-US" w:eastAsia="zh-CN"/>
        </w:rPr>
        <w:t>实施。2023年对</w:t>
      </w:r>
      <w:r>
        <w:rPr>
          <w:rFonts w:hint="default" w:ascii="Times New Roman" w:hAnsi="Times New Roman" w:eastAsia="仿宋_GB2312" w:cs="Times New Roman"/>
          <w:kern w:val="2"/>
          <w:sz w:val="32"/>
          <w:szCs w:val="24"/>
          <w:lang w:val="en-US" w:eastAsia="zh-CN" w:bidi="ar-SA"/>
        </w:rPr>
        <w:t>20名退役军人服务站站长</w:t>
      </w:r>
      <w:r>
        <w:rPr>
          <w:rFonts w:hint="default" w:ascii="Times New Roman" w:hAnsi="Times New Roman" w:eastAsia="仿宋_GB2312" w:cs="Times New Roman"/>
          <w:kern w:val="2"/>
          <w:sz w:val="32"/>
          <w:szCs w:val="24"/>
          <w:lang w:val="zh-CN" w:eastAsia="zh-CN" w:bidi="ar-SA"/>
        </w:rPr>
        <w:t>发放</w:t>
      </w:r>
      <w:r>
        <w:rPr>
          <w:rFonts w:hint="default" w:ascii="Times New Roman" w:hAnsi="Times New Roman" w:eastAsia="仿宋_GB2312" w:cs="Times New Roman"/>
          <w:kern w:val="2"/>
          <w:sz w:val="32"/>
          <w:szCs w:val="24"/>
          <w:lang w:val="en-US" w:eastAsia="zh-CN" w:bidi="ar-SA"/>
        </w:rPr>
        <w:t>站长补贴</w:t>
      </w:r>
      <w:r>
        <w:rPr>
          <w:rFonts w:hint="default" w:ascii="Times New Roman" w:hAnsi="Times New Roman" w:eastAsia="仿宋_GB2312" w:cs="Times New Roman"/>
          <w:sz w:val="32"/>
          <w:szCs w:val="32"/>
          <w:lang w:val="en-US" w:eastAsia="zh-CN"/>
        </w:rPr>
        <w:t>，共支付7.2</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sz w:val="32"/>
          <w:szCs w:val="32"/>
          <w:lang w:val="en-US" w:eastAsia="zh-CN"/>
        </w:rPr>
        <w:t>已按时按质进行发放。</w:t>
      </w:r>
    </w:p>
    <w:p w14:paraId="1C3E6F2E">
      <w:pPr>
        <w:suppressAutoHyphens/>
        <w:bidi w:val="0"/>
        <w:adjustRightInd w:val="0"/>
        <w:snapToGrid w:val="0"/>
        <w:spacing w:line="590" w:lineRule="exact"/>
        <w:ind w:firstLine="643" w:firstLineChars="200"/>
        <w:rPr>
          <w:rFonts w:hint="default" w:ascii="Times New Roman" w:hAnsi="Times New Roman" w:eastAsia="楷体_GB2312" w:cs="Times New Roman"/>
          <w:b/>
          <w:sz w:val="32"/>
          <w:lang w:val="zh-CN"/>
        </w:rPr>
      </w:pPr>
      <w:r>
        <w:rPr>
          <w:rFonts w:hint="default" w:ascii="Times New Roman" w:hAnsi="Times New Roman" w:eastAsia="楷体_GB2312" w:cs="Times New Roman"/>
          <w:b/>
          <w:sz w:val="32"/>
          <w:lang w:val="zh-CN"/>
        </w:rPr>
        <w:t>（二）项目效益情况</w:t>
      </w:r>
    </w:p>
    <w:p w14:paraId="4130AA40">
      <w:pPr>
        <w:keepNext w:val="0"/>
        <w:keepLines w:val="0"/>
        <w:pageBreakBefore w:val="0"/>
        <w:widowControl w:val="0"/>
        <w:numPr>
          <w:ilvl w:val="0"/>
          <w:numId w:val="0"/>
        </w:numPr>
        <w:suppressAutoHyphens/>
        <w:kinsoku/>
        <w:wordWrap/>
        <w:overflowPunct/>
        <w:topLinePunct w:val="0"/>
        <w:autoSpaceDE/>
        <w:autoSpaceDN/>
        <w:bidi w:val="0"/>
        <w:adjustRightInd/>
        <w:snapToGrid w:val="0"/>
        <w:spacing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通过发放</w:t>
      </w:r>
      <w:r>
        <w:rPr>
          <w:rFonts w:hint="default" w:ascii="Times New Roman" w:hAnsi="Times New Roman" w:eastAsia="仿宋_GB2312" w:cs="Times New Roman"/>
          <w:sz w:val="32"/>
          <w:szCs w:val="21"/>
          <w:lang w:eastAsia="zh-CN"/>
        </w:rPr>
        <w:t>村（社区）退役军人</w:t>
      </w:r>
      <w:r>
        <w:rPr>
          <w:rFonts w:hint="default" w:ascii="Times New Roman" w:hAnsi="Times New Roman" w:eastAsia="仿宋_GB2312" w:cs="Times New Roman"/>
          <w:sz w:val="32"/>
          <w:szCs w:val="21"/>
          <w:lang w:val="en-US" w:eastAsia="zh-CN"/>
        </w:rPr>
        <w:t>服务站站长</w:t>
      </w:r>
      <w:r>
        <w:rPr>
          <w:rFonts w:hint="default" w:ascii="Times New Roman" w:hAnsi="Times New Roman" w:eastAsia="仿宋_GB2312" w:cs="Times New Roman"/>
          <w:sz w:val="32"/>
          <w:szCs w:val="21"/>
          <w:lang w:eastAsia="zh-CN"/>
        </w:rPr>
        <w:t>补贴</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b w:val="0"/>
          <w:bCs w:val="0"/>
          <w:sz w:val="32"/>
          <w:szCs w:val="21"/>
          <w:lang w:val="en-US" w:eastAsia="zh-CN"/>
        </w:rPr>
        <w:t>调动了退役军人工作者的工作积极性，</w:t>
      </w:r>
      <w:r>
        <w:rPr>
          <w:rFonts w:hint="default" w:ascii="Times New Roman" w:hAnsi="Times New Roman" w:eastAsia="仿宋_GB2312" w:cs="Times New Roman"/>
          <w:sz w:val="32"/>
          <w:szCs w:val="32"/>
        </w:rPr>
        <w:t>促进</w:t>
      </w:r>
      <w:r>
        <w:rPr>
          <w:rFonts w:hint="default" w:ascii="Times New Roman" w:hAnsi="Times New Roman" w:eastAsia="仿宋_GB2312" w:cs="Times New Roman"/>
          <w:sz w:val="32"/>
          <w:szCs w:val="32"/>
          <w:lang w:val="en-US" w:eastAsia="zh-CN"/>
        </w:rPr>
        <w:t>退役军人工作高质量发展。</w:t>
      </w:r>
    </w:p>
    <w:p w14:paraId="781A10F3">
      <w:pPr>
        <w:suppressAutoHyphens/>
        <w:bidi w:val="0"/>
        <w:adjustRightInd w:val="0"/>
        <w:snapToGrid w:val="0"/>
        <w:spacing w:line="590" w:lineRule="exact"/>
        <w:ind w:firstLine="640" w:firstLineChars="200"/>
        <w:rPr>
          <w:rFonts w:hint="default" w:ascii="Times New Roman" w:hAnsi="Times New Roman" w:eastAsia="黑体" w:cs="Times New Roman"/>
          <w:sz w:val="32"/>
        </w:rPr>
      </w:pPr>
      <w:r>
        <w:rPr>
          <w:rFonts w:hint="default" w:ascii="Times New Roman" w:hAnsi="Times New Roman" w:eastAsia="黑体" w:cs="Times New Roman"/>
          <w:sz w:val="32"/>
        </w:rPr>
        <w:t>五、评价结论及建议</w:t>
      </w:r>
    </w:p>
    <w:p w14:paraId="3F18FD2C">
      <w:pPr>
        <w:suppressAutoHyphens/>
        <w:bidi w:val="0"/>
        <w:adjustRightInd w:val="0"/>
        <w:snapToGrid w:val="0"/>
        <w:spacing w:line="590" w:lineRule="exact"/>
        <w:ind w:firstLine="643" w:firstLineChars="200"/>
        <w:rPr>
          <w:rFonts w:hint="default" w:ascii="Times New Roman" w:hAnsi="Times New Roman" w:eastAsia="楷体_GB2312" w:cs="Times New Roman"/>
          <w:b/>
          <w:sz w:val="32"/>
          <w:lang w:val="zh-CN"/>
        </w:rPr>
      </w:pPr>
      <w:r>
        <w:rPr>
          <w:rFonts w:hint="default" w:ascii="Times New Roman" w:hAnsi="Times New Roman" w:eastAsia="楷体_GB2312" w:cs="Times New Roman"/>
          <w:b/>
          <w:sz w:val="32"/>
          <w:lang w:val="zh-CN"/>
        </w:rPr>
        <w:t>（一）评价结论</w:t>
      </w:r>
    </w:p>
    <w:p w14:paraId="5C9770EF">
      <w:pPr>
        <w:widowControl w:val="0"/>
        <w:ind w:firstLine="640" w:firstLineChars="200"/>
        <w:jc w:val="both"/>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32"/>
          <w:lang w:val="en-US" w:eastAsia="zh-CN" w:bidi="ar-SA"/>
        </w:rPr>
        <w:t>该项目资金支出严格按照财务资金管理制度的要求进行管理和执行，资金管理、费用支付流程均符合相关制度规定，专款专用，未出现截留、滞留、挤占、挪用、套取、虚报、冒领等问题。开展较好。</w:t>
      </w:r>
    </w:p>
    <w:p w14:paraId="5670BE11">
      <w:pPr>
        <w:suppressAutoHyphens/>
        <w:bidi w:val="0"/>
        <w:adjustRightInd w:val="0"/>
        <w:snapToGrid w:val="0"/>
        <w:spacing w:line="590" w:lineRule="exact"/>
        <w:ind w:firstLine="643" w:firstLineChars="200"/>
        <w:rPr>
          <w:rFonts w:hint="default" w:ascii="Times New Roman" w:hAnsi="Times New Roman" w:eastAsia="楷体_GB2312" w:cs="Times New Roman"/>
          <w:b/>
          <w:sz w:val="32"/>
          <w:lang w:val="zh-CN"/>
        </w:rPr>
      </w:pPr>
      <w:r>
        <w:rPr>
          <w:rFonts w:hint="default" w:ascii="Times New Roman" w:hAnsi="Times New Roman" w:eastAsia="楷体_GB2312" w:cs="Times New Roman"/>
          <w:b/>
          <w:sz w:val="32"/>
          <w:lang w:val="zh-CN"/>
        </w:rPr>
        <w:t>（二）存在的问题</w:t>
      </w:r>
    </w:p>
    <w:p w14:paraId="555F8838">
      <w:pPr>
        <w:widowControl w:val="0"/>
        <w:ind w:firstLine="640" w:firstLineChars="200"/>
        <w:jc w:val="both"/>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暂无</w:t>
      </w:r>
    </w:p>
    <w:p w14:paraId="3079C455">
      <w:pPr>
        <w:suppressAutoHyphens/>
        <w:bidi w:val="0"/>
        <w:adjustRightInd w:val="0"/>
        <w:snapToGrid w:val="0"/>
        <w:spacing w:line="590" w:lineRule="exact"/>
        <w:ind w:firstLine="643" w:firstLineChars="200"/>
        <w:rPr>
          <w:rFonts w:hint="default" w:ascii="Times New Roman" w:hAnsi="Times New Roman" w:eastAsia="楷体_GB2312" w:cs="Times New Roman"/>
          <w:b/>
          <w:sz w:val="32"/>
          <w:lang w:val="zh-CN"/>
        </w:rPr>
      </w:pPr>
      <w:r>
        <w:rPr>
          <w:rFonts w:hint="default" w:ascii="Times New Roman" w:hAnsi="Times New Roman" w:eastAsia="楷体_GB2312" w:cs="Times New Roman"/>
          <w:b/>
          <w:sz w:val="32"/>
          <w:lang w:val="zh-CN"/>
        </w:rPr>
        <w:t>（三）相关建议</w:t>
      </w:r>
    </w:p>
    <w:p w14:paraId="3BF24B5E">
      <w:pPr>
        <w:widowControl w:val="0"/>
        <w:ind w:firstLine="640" w:firstLineChars="200"/>
        <w:jc w:val="both"/>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继续加强项目实施统筹，确保高效率完成目标任务。</w:t>
      </w:r>
    </w:p>
    <w:p w14:paraId="54CE7EEB">
      <w:pPr>
        <w:pStyle w:val="23"/>
        <w:rPr>
          <w:rFonts w:hint="default" w:ascii="Times New Roman" w:hAnsi="Times New Roman" w:eastAsia="仿宋_GB2312" w:cs="Times New Roman"/>
          <w:color w:val="000000"/>
          <w:kern w:val="0"/>
          <w:sz w:val="32"/>
          <w:szCs w:val="32"/>
          <w:lang w:val="en-US" w:eastAsia="zh-CN" w:bidi="ar-SA"/>
        </w:rPr>
      </w:pPr>
    </w:p>
    <w:p w14:paraId="26B3F318">
      <w:pPr>
        <w:pStyle w:val="23"/>
        <w:rPr>
          <w:rFonts w:hint="default" w:ascii="Times New Roman" w:hAnsi="Times New Roman" w:eastAsia="仿宋_GB2312" w:cs="Times New Roman"/>
          <w:color w:val="000000"/>
          <w:kern w:val="0"/>
          <w:sz w:val="32"/>
          <w:szCs w:val="32"/>
          <w:lang w:val="en-US" w:eastAsia="zh-CN" w:bidi="ar-SA"/>
        </w:rPr>
      </w:pPr>
    </w:p>
    <w:p w14:paraId="192A035D">
      <w:pPr>
        <w:pStyle w:val="23"/>
        <w:rPr>
          <w:rFonts w:hint="default" w:ascii="Times New Roman" w:hAnsi="Times New Roman" w:eastAsia="仿宋_GB2312" w:cs="Times New Roman"/>
          <w:color w:val="000000"/>
          <w:kern w:val="0"/>
          <w:sz w:val="32"/>
          <w:szCs w:val="32"/>
          <w:lang w:val="en-US" w:eastAsia="zh-CN" w:bidi="ar-SA"/>
        </w:rPr>
      </w:pPr>
    </w:p>
    <w:p w14:paraId="5B82FB08">
      <w:pPr>
        <w:pStyle w:val="23"/>
        <w:rPr>
          <w:rFonts w:hint="default" w:ascii="Times New Roman" w:hAnsi="Times New Roman" w:eastAsia="仿宋_GB2312" w:cs="Times New Roman"/>
          <w:color w:val="000000"/>
          <w:kern w:val="0"/>
          <w:sz w:val="32"/>
          <w:szCs w:val="32"/>
          <w:lang w:val="en-US" w:eastAsia="zh-CN" w:bidi="ar-SA"/>
        </w:rPr>
      </w:pPr>
    </w:p>
    <w:p w14:paraId="7175DEF2">
      <w:pPr>
        <w:pStyle w:val="23"/>
        <w:rPr>
          <w:rFonts w:hint="default" w:ascii="Times New Roman" w:hAnsi="Times New Roman" w:eastAsia="仿宋_GB2312" w:cs="Times New Roman"/>
          <w:color w:val="000000"/>
          <w:kern w:val="0"/>
          <w:sz w:val="32"/>
          <w:szCs w:val="32"/>
          <w:lang w:val="en-US" w:eastAsia="zh-CN" w:bidi="ar-SA"/>
        </w:rPr>
      </w:pPr>
    </w:p>
    <w:p w14:paraId="28657A30">
      <w:pPr>
        <w:pStyle w:val="23"/>
        <w:rPr>
          <w:rFonts w:hint="default" w:ascii="Times New Roman" w:hAnsi="Times New Roman" w:eastAsia="仿宋_GB2312" w:cs="Times New Roman"/>
          <w:color w:val="000000"/>
          <w:kern w:val="0"/>
          <w:sz w:val="32"/>
          <w:szCs w:val="32"/>
          <w:lang w:val="en-US" w:eastAsia="zh-CN" w:bidi="ar-SA"/>
        </w:rPr>
      </w:pPr>
    </w:p>
    <w:p w14:paraId="398CF9AD">
      <w:pPr>
        <w:pStyle w:val="23"/>
        <w:rPr>
          <w:rFonts w:hint="default" w:ascii="Times New Roman" w:hAnsi="Times New Roman" w:eastAsia="仿宋_GB2312" w:cs="Times New Roman"/>
          <w:color w:val="000000"/>
          <w:kern w:val="0"/>
          <w:sz w:val="32"/>
          <w:szCs w:val="32"/>
          <w:lang w:val="en-US" w:eastAsia="zh-CN" w:bidi="ar-SA"/>
        </w:rPr>
      </w:pPr>
    </w:p>
    <w:p w14:paraId="35A56B3C">
      <w:pPr>
        <w:pStyle w:val="23"/>
        <w:rPr>
          <w:rFonts w:hint="default" w:ascii="Times New Roman" w:hAnsi="Times New Roman" w:eastAsia="仿宋_GB2312" w:cs="Times New Roman"/>
          <w:color w:val="000000"/>
          <w:kern w:val="0"/>
          <w:sz w:val="32"/>
          <w:szCs w:val="32"/>
          <w:lang w:val="en-US" w:eastAsia="zh-CN" w:bidi="ar-SA"/>
        </w:rPr>
      </w:pPr>
    </w:p>
    <w:p w14:paraId="23DD17B3">
      <w:pPr>
        <w:pStyle w:val="23"/>
        <w:rPr>
          <w:rFonts w:hint="default" w:ascii="Times New Roman" w:hAnsi="Times New Roman" w:eastAsia="仿宋_GB2312" w:cs="Times New Roman"/>
          <w:color w:val="000000"/>
          <w:kern w:val="0"/>
          <w:sz w:val="32"/>
          <w:szCs w:val="32"/>
          <w:lang w:val="en-US" w:eastAsia="zh-CN" w:bidi="ar-SA"/>
        </w:rPr>
      </w:pPr>
    </w:p>
    <w:p w14:paraId="2B42980F">
      <w:pPr>
        <w:pStyle w:val="23"/>
        <w:rPr>
          <w:rFonts w:hint="default" w:ascii="Times New Roman" w:hAnsi="Times New Roman" w:eastAsia="仿宋_GB2312" w:cs="Times New Roman"/>
          <w:color w:val="000000"/>
          <w:kern w:val="0"/>
          <w:sz w:val="32"/>
          <w:szCs w:val="32"/>
          <w:lang w:val="en-US" w:eastAsia="zh-CN" w:bidi="ar-SA"/>
        </w:rPr>
      </w:pPr>
    </w:p>
    <w:p w14:paraId="29630968">
      <w:pPr>
        <w:pStyle w:val="23"/>
        <w:rPr>
          <w:rFonts w:hint="default" w:ascii="Times New Roman" w:hAnsi="Times New Roman" w:eastAsia="仿宋_GB2312" w:cs="Times New Roman"/>
          <w:color w:val="000000"/>
          <w:kern w:val="0"/>
          <w:sz w:val="32"/>
          <w:szCs w:val="32"/>
          <w:lang w:val="en-US" w:eastAsia="zh-CN" w:bidi="ar-SA"/>
        </w:rPr>
      </w:pPr>
    </w:p>
    <w:p w14:paraId="214A6584">
      <w:pPr>
        <w:pStyle w:val="23"/>
        <w:rPr>
          <w:rFonts w:hint="default" w:ascii="Times New Roman" w:hAnsi="Times New Roman" w:eastAsia="仿宋_GB2312" w:cs="Times New Roman"/>
          <w:color w:val="000000"/>
          <w:kern w:val="0"/>
          <w:sz w:val="32"/>
          <w:szCs w:val="32"/>
          <w:lang w:val="zh-CN" w:eastAsia="zh-CN" w:bidi="ar-SA"/>
        </w:rPr>
      </w:pPr>
    </w:p>
    <w:tbl>
      <w:tblPr>
        <w:tblStyle w:val="19"/>
        <w:tblW w:w="891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0"/>
        <w:gridCol w:w="1200"/>
        <w:gridCol w:w="1020"/>
        <w:gridCol w:w="840"/>
        <w:gridCol w:w="660"/>
        <w:gridCol w:w="1080"/>
        <w:gridCol w:w="570"/>
        <w:gridCol w:w="900"/>
        <w:gridCol w:w="1803"/>
      </w:tblGrid>
      <w:tr w14:paraId="25D6C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91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C983959">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部门预算项目支出绩效自评表（2023年度）</w:t>
            </w:r>
          </w:p>
        </w:tc>
      </w:tr>
      <w:tr w14:paraId="3DE36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6822D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687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1BF8AF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51098723T000009218842-优抚对象抚恤和生活补助（2023）</w:t>
            </w:r>
          </w:p>
        </w:tc>
      </w:tr>
      <w:tr w14:paraId="3BF03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7EB87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1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D7B7F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遂宁高新区退役军人服务中心</w:t>
            </w:r>
          </w:p>
        </w:tc>
        <w:tc>
          <w:tcPr>
            <w:tcW w:w="900" w:type="dxa"/>
            <w:tcBorders>
              <w:top w:val="nil"/>
              <w:left w:val="nil"/>
              <w:bottom w:val="nil"/>
              <w:right w:val="nil"/>
            </w:tcBorders>
            <w:shd w:val="clear" w:color="auto" w:fill="auto"/>
            <w:vAlign w:val="center"/>
          </w:tcPr>
          <w:p w14:paraId="4835BBC8">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1DD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遂宁高新区退役军人服务中心</w:t>
            </w:r>
          </w:p>
        </w:tc>
      </w:tr>
      <w:tr w14:paraId="3AEB1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B99EF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30431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41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4578D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27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4A625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4A186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836C8">
            <w:pPr>
              <w:rPr>
                <w:rFonts w:hint="default" w:ascii="Times New Roman" w:hAnsi="Times New Roman" w:eastAsia="宋体" w:cs="Times New Roman"/>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A4993">
            <w:pPr>
              <w:rPr>
                <w:rFonts w:hint="default" w:ascii="Times New Roman" w:hAnsi="Times New Roman" w:eastAsia="宋体" w:cs="Times New Roman"/>
                <w:i w:val="0"/>
                <w:iCs w:val="0"/>
                <w:color w:val="000000"/>
                <w:sz w:val="18"/>
                <w:szCs w:val="18"/>
                <w:u w:val="none"/>
              </w:rPr>
            </w:pPr>
          </w:p>
        </w:tc>
        <w:tc>
          <w:tcPr>
            <w:tcW w:w="41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202F0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为优抚对象发放抚恤补助，落实优抚政策，确保优抚对象合法权益得到保障。</w:t>
            </w:r>
          </w:p>
        </w:tc>
        <w:tc>
          <w:tcPr>
            <w:tcW w:w="27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561B2B">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对照年度目标，说明相关任务目标的完成情况（100字以内）</w:t>
            </w:r>
          </w:p>
        </w:tc>
      </w:tr>
      <w:tr w14:paraId="08DB3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6B6F7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5837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AAE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C9E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D95BA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CAB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0023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r>
      <w:tr w14:paraId="434CF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B5828">
            <w:pPr>
              <w:jc w:val="center"/>
              <w:rPr>
                <w:rFonts w:hint="default" w:ascii="Times New Roman" w:hAnsi="Times New Roman" w:eastAsia="宋体" w:cs="Times New Roman"/>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01BC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06D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6F39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34.65</w:t>
            </w: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5C89A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34.65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2A3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37C5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14:paraId="7C312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10F1A">
            <w:pPr>
              <w:jc w:val="center"/>
              <w:rPr>
                <w:rFonts w:hint="default" w:ascii="Times New Roman" w:hAnsi="Times New Roman" w:eastAsia="宋体" w:cs="Times New Roman"/>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FE81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9C2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144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34.65</w:t>
            </w: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C5926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34.65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BD1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787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14:paraId="4E349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8A0C1">
            <w:pPr>
              <w:jc w:val="center"/>
              <w:rPr>
                <w:rFonts w:hint="default" w:ascii="Times New Roman" w:hAnsi="Times New Roman" w:eastAsia="宋体" w:cs="Times New Roman"/>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FAB8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7FE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840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B7FB5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93B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1ACC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14:paraId="7D47A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37A21">
            <w:pPr>
              <w:jc w:val="center"/>
              <w:rPr>
                <w:rFonts w:hint="default" w:ascii="Times New Roman" w:hAnsi="Times New Roman" w:eastAsia="宋体" w:cs="Times New Roman"/>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D366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3A5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FADF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F53B0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DD0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0B27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14:paraId="5CA9D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C4B02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12F4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E7DE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A13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182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57E4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14F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3441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5DB6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r>
      <w:tr w14:paraId="6455C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10F89">
            <w:pPr>
              <w:jc w:val="center"/>
              <w:rPr>
                <w:rFonts w:hint="default" w:ascii="Times New Roman" w:hAnsi="Times New Roman" w:eastAsia="宋体" w:cs="Times New Roman"/>
                <w:i w:val="0"/>
                <w:iCs w:val="0"/>
                <w:color w:val="000000"/>
                <w:sz w:val="18"/>
                <w:szCs w:val="18"/>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5F9F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7BC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056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优抚对象人数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4AAE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6E6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279</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C10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B6FFB">
            <w:pPr>
              <w:jc w:val="center"/>
              <w:rPr>
                <w:rFonts w:hint="default" w:ascii="Times New Roman" w:hAnsi="Times New Roman" w:eastAsia="微软雅黑" w:cs="Times New Roman"/>
                <w:i/>
                <w:iCs/>
                <w:color w:val="000000"/>
                <w:sz w:val="16"/>
                <w:szCs w:val="16"/>
                <w:u w:val="none"/>
              </w:rPr>
            </w:pP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1DF7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14:paraId="1AACC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9F431">
            <w:pPr>
              <w:jc w:val="center"/>
              <w:rPr>
                <w:rFonts w:hint="default" w:ascii="Times New Roman" w:hAnsi="Times New Roman" w:eastAsia="宋体" w:cs="Times New Roman"/>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BB901">
            <w:pPr>
              <w:jc w:val="center"/>
              <w:rPr>
                <w:rFonts w:hint="default" w:ascii="Times New Roman" w:hAnsi="Times New Roman" w:eastAsia="宋体"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E55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2244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好</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CF8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C8CC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C315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1518A">
            <w:pPr>
              <w:jc w:val="center"/>
              <w:rPr>
                <w:rFonts w:hint="default" w:ascii="Times New Roman" w:hAnsi="Times New Roman" w:eastAsia="微软雅黑" w:cs="Times New Roman"/>
                <w:i/>
                <w:iCs/>
                <w:color w:val="000000"/>
                <w:sz w:val="16"/>
                <w:szCs w:val="16"/>
                <w:u w:val="none"/>
              </w:rPr>
            </w:pP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D3FF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14:paraId="0BF37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9CEB0">
            <w:pPr>
              <w:jc w:val="center"/>
              <w:rPr>
                <w:rFonts w:hint="default" w:ascii="Times New Roman" w:hAnsi="Times New Roman" w:eastAsia="宋体" w:cs="Times New Roman"/>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62147">
            <w:pPr>
              <w:jc w:val="center"/>
              <w:rPr>
                <w:rFonts w:hint="default" w:ascii="Times New Roman" w:hAnsi="Times New Roman" w:eastAsia="宋体"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915B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8D5A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及时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348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14C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B69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EA18">
            <w:pPr>
              <w:jc w:val="center"/>
              <w:rPr>
                <w:rFonts w:hint="default" w:ascii="Times New Roman" w:hAnsi="Times New Roman" w:eastAsia="微软雅黑" w:cs="Times New Roman"/>
                <w:i/>
                <w:iCs/>
                <w:color w:val="000000"/>
                <w:sz w:val="16"/>
                <w:szCs w:val="16"/>
                <w:u w:val="none"/>
              </w:rPr>
            </w:pP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414B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14:paraId="714C2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A0D9E">
            <w:pPr>
              <w:jc w:val="center"/>
              <w:rPr>
                <w:rFonts w:hint="default" w:ascii="Times New Roman" w:hAnsi="Times New Roman" w:eastAsia="宋体" w:cs="Times New Roman"/>
                <w:i w:val="0"/>
                <w:iCs w:val="0"/>
                <w:color w:val="000000"/>
                <w:sz w:val="18"/>
                <w:szCs w:val="18"/>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FB6AA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C56A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可持续发展指标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A13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262C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D0F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优</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5F41">
            <w:pPr>
              <w:jc w:val="center"/>
              <w:rPr>
                <w:rFonts w:hint="default" w:ascii="Times New Roman" w:hAnsi="Times New Roman" w:eastAsia="宋体" w:cs="Times New Roman"/>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44D4C">
            <w:pPr>
              <w:jc w:val="center"/>
              <w:rPr>
                <w:rFonts w:hint="default" w:ascii="Times New Roman" w:hAnsi="Times New Roman" w:eastAsia="微软雅黑" w:cs="Times New Roman"/>
                <w:i/>
                <w:iCs/>
                <w:color w:val="000000"/>
                <w:sz w:val="16"/>
                <w:szCs w:val="16"/>
                <w:u w:val="none"/>
              </w:rPr>
            </w:pP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8983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14:paraId="04C0D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7327F">
            <w:pPr>
              <w:jc w:val="center"/>
              <w:rPr>
                <w:rFonts w:hint="default" w:ascii="Times New Roman" w:hAnsi="Times New Roman" w:eastAsia="宋体" w:cs="Times New Roman"/>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6BF55">
            <w:pPr>
              <w:jc w:val="center"/>
              <w:rPr>
                <w:rFonts w:hint="default" w:ascii="Times New Roman" w:hAnsi="Times New Roman" w:eastAsia="宋体"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91D5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可持续影响指标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E60C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好</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335A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551E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优</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DC156">
            <w:pPr>
              <w:jc w:val="center"/>
              <w:rPr>
                <w:rFonts w:hint="default" w:ascii="Times New Roman" w:hAnsi="Times New Roman" w:eastAsia="宋体" w:cs="Times New Roman"/>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67D6">
            <w:pPr>
              <w:jc w:val="center"/>
              <w:rPr>
                <w:rFonts w:hint="default" w:ascii="Times New Roman" w:hAnsi="Times New Roman" w:eastAsia="微软雅黑" w:cs="Times New Roman"/>
                <w:i/>
                <w:iCs/>
                <w:color w:val="000000"/>
                <w:sz w:val="16"/>
                <w:szCs w:val="16"/>
                <w:u w:val="none"/>
              </w:rPr>
            </w:pP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658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14:paraId="24022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1C1D6">
            <w:pPr>
              <w:jc w:val="center"/>
              <w:rPr>
                <w:rFonts w:hint="default" w:ascii="Times New Roman" w:hAnsi="Times New Roman" w:eastAsia="宋体" w:cs="Times New Roman"/>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2D49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4EB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14C0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A45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8CFA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7D74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48A3">
            <w:pPr>
              <w:jc w:val="center"/>
              <w:rPr>
                <w:rFonts w:hint="default" w:ascii="Times New Roman" w:hAnsi="Times New Roman" w:eastAsia="微软雅黑" w:cs="Times New Roman"/>
                <w:i/>
                <w:iCs/>
                <w:color w:val="000000"/>
                <w:sz w:val="16"/>
                <w:szCs w:val="16"/>
                <w:u w:val="none"/>
              </w:rPr>
            </w:pP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AF2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14:paraId="59993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D0B51">
            <w:pPr>
              <w:jc w:val="center"/>
              <w:rPr>
                <w:rFonts w:hint="default" w:ascii="Times New Roman" w:hAnsi="Times New Roman" w:eastAsia="宋体" w:cs="Times New Roman"/>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8D54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5F6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3D0C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补助标准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045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2FE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400000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2B8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8F2D">
            <w:pPr>
              <w:jc w:val="center"/>
              <w:rPr>
                <w:rFonts w:hint="default" w:ascii="Times New Roman" w:hAnsi="Times New Roman" w:eastAsia="微软雅黑" w:cs="Times New Roman"/>
                <w:i/>
                <w:iCs/>
                <w:color w:val="000000"/>
                <w:sz w:val="16"/>
                <w:szCs w:val="16"/>
                <w:u w:val="none"/>
              </w:rPr>
            </w:pP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F062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bl>
    <w:p w14:paraId="4113A802">
      <w:pPr>
        <w:pStyle w:val="23"/>
        <w:rPr>
          <w:rFonts w:hint="default" w:ascii="Times New Roman" w:hAnsi="Times New Roman" w:cs="Times New Roman"/>
          <w:lang w:val="en-US" w:eastAsia="zh-CN"/>
        </w:rPr>
      </w:pPr>
    </w:p>
    <w:p w14:paraId="0A713244">
      <w:pPr>
        <w:spacing w:line="600" w:lineRule="exact"/>
        <w:jc w:val="center"/>
        <w:outlineLvl w:val="0"/>
        <w:rPr>
          <w:rFonts w:hint="default" w:ascii="Times New Roman" w:hAnsi="Times New Roman" w:eastAsia="仿宋_GB2312" w:cs="Times New Roman"/>
          <w:color w:val="auto"/>
          <w:sz w:val="32"/>
          <w:szCs w:val="24"/>
          <w:lang w:val="en-US"/>
        </w:rPr>
      </w:pPr>
    </w:p>
    <w:p w14:paraId="2FB2516E">
      <w:pPr>
        <w:pStyle w:val="11"/>
        <w:rPr>
          <w:rFonts w:hint="default" w:ascii="Times New Roman" w:hAnsi="Times New Roman" w:cs="Times New Roman"/>
          <w:lang w:val="en-US"/>
        </w:rPr>
      </w:pPr>
    </w:p>
    <w:tbl>
      <w:tblPr>
        <w:tblStyle w:val="19"/>
        <w:tblW w:w="884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0"/>
        <w:gridCol w:w="1200"/>
        <w:gridCol w:w="1020"/>
        <w:gridCol w:w="840"/>
        <w:gridCol w:w="660"/>
        <w:gridCol w:w="1080"/>
        <w:gridCol w:w="570"/>
        <w:gridCol w:w="900"/>
        <w:gridCol w:w="1739"/>
      </w:tblGrid>
      <w:tr w14:paraId="4C70C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8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A7CE9D7">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部门预算项目支出绩效自评表（2023年度）</w:t>
            </w:r>
          </w:p>
        </w:tc>
      </w:tr>
      <w:tr w14:paraId="0900E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FD5C5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680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4B44BE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51098723T000009215063-重点优抚对象代缴医疗保险、优抚对象医疗补助（2023））</w:t>
            </w:r>
          </w:p>
        </w:tc>
      </w:tr>
      <w:tr w14:paraId="564AB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C4091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1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94665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遂宁高新区退役军人服务中心</w:t>
            </w:r>
          </w:p>
        </w:tc>
        <w:tc>
          <w:tcPr>
            <w:tcW w:w="900" w:type="dxa"/>
            <w:tcBorders>
              <w:top w:val="nil"/>
              <w:left w:val="nil"/>
              <w:bottom w:val="nil"/>
              <w:right w:val="nil"/>
            </w:tcBorders>
            <w:shd w:val="clear" w:color="auto" w:fill="auto"/>
            <w:vAlign w:val="center"/>
          </w:tcPr>
          <w:p w14:paraId="3CBD6825">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182F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遂宁高新区退役军人服务中心</w:t>
            </w:r>
          </w:p>
        </w:tc>
      </w:tr>
      <w:tr w14:paraId="3349D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083ED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25BC0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41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188BD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26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8CFDC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4C835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4B8D9">
            <w:pPr>
              <w:rPr>
                <w:rFonts w:hint="default" w:ascii="Times New Roman" w:hAnsi="Times New Roman" w:eastAsia="宋体" w:cs="Times New Roman"/>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0A260">
            <w:pPr>
              <w:rPr>
                <w:rFonts w:hint="default" w:ascii="Times New Roman" w:hAnsi="Times New Roman" w:eastAsia="宋体" w:cs="Times New Roman"/>
                <w:i w:val="0"/>
                <w:iCs w:val="0"/>
                <w:color w:val="000000"/>
                <w:sz w:val="18"/>
                <w:szCs w:val="18"/>
                <w:u w:val="none"/>
              </w:rPr>
            </w:pPr>
          </w:p>
        </w:tc>
        <w:tc>
          <w:tcPr>
            <w:tcW w:w="41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9B66A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完成重点优抚对象医保代缴和优抚对象医疗补助</w:t>
            </w:r>
          </w:p>
        </w:tc>
        <w:tc>
          <w:tcPr>
            <w:tcW w:w="26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DAFD3B">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对照年度目标，说明相关任务目标的完成情况（100字以内）</w:t>
            </w:r>
          </w:p>
        </w:tc>
      </w:tr>
      <w:tr w14:paraId="298C5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C9B47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249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246A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93E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B36E1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37D8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BA57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r>
      <w:tr w14:paraId="61959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9889A">
            <w:pPr>
              <w:jc w:val="center"/>
              <w:rPr>
                <w:rFonts w:hint="default" w:ascii="Times New Roman" w:hAnsi="Times New Roman" w:eastAsia="宋体" w:cs="Times New Roman"/>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6A41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6186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04B5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7.18</w:t>
            </w: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45737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7.18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FBE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48C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14:paraId="4ED99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02627">
            <w:pPr>
              <w:jc w:val="center"/>
              <w:rPr>
                <w:rFonts w:hint="default" w:ascii="Times New Roman" w:hAnsi="Times New Roman" w:eastAsia="宋体" w:cs="Times New Roman"/>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8D7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E28F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C7B8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7.18</w:t>
            </w: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9E685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7.18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C1BC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2D1D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14:paraId="51365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96D84">
            <w:pPr>
              <w:jc w:val="center"/>
              <w:rPr>
                <w:rFonts w:hint="default" w:ascii="Times New Roman" w:hAnsi="Times New Roman" w:eastAsia="宋体" w:cs="Times New Roman"/>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8FF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A4A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0CF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F2AB6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874B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39B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14:paraId="32DAE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B6CBF">
            <w:pPr>
              <w:jc w:val="center"/>
              <w:rPr>
                <w:rFonts w:hint="default" w:ascii="Times New Roman" w:hAnsi="Times New Roman" w:eastAsia="宋体" w:cs="Times New Roman"/>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BFA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A95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C36D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8A8E8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FD5B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AB7A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14:paraId="2677D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0979F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0713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E14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7688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D56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D8C2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C94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A4F2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CCEE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r>
      <w:tr w14:paraId="37C0B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2854D">
            <w:pPr>
              <w:jc w:val="center"/>
              <w:rPr>
                <w:rFonts w:hint="default" w:ascii="Times New Roman" w:hAnsi="Times New Roman" w:eastAsia="宋体" w:cs="Times New Roman"/>
                <w:i w:val="0"/>
                <w:iCs w:val="0"/>
                <w:color w:val="000000"/>
                <w:sz w:val="18"/>
                <w:szCs w:val="18"/>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EC0BF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70B5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8F3C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重点优抚对象和优抚对象人数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0093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74A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8164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A725">
            <w:pPr>
              <w:jc w:val="center"/>
              <w:rPr>
                <w:rFonts w:hint="default" w:ascii="Times New Roman" w:hAnsi="Times New Roman" w:eastAsia="微软雅黑" w:cs="Times New Roman"/>
                <w:i/>
                <w:iCs/>
                <w:color w:val="000000"/>
                <w:sz w:val="16"/>
                <w:szCs w:val="16"/>
                <w:u w:val="none"/>
              </w:rPr>
            </w:pP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4BCA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14:paraId="5DCB6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834BB">
            <w:pPr>
              <w:jc w:val="center"/>
              <w:rPr>
                <w:rFonts w:hint="default" w:ascii="Times New Roman" w:hAnsi="Times New Roman" w:eastAsia="宋体" w:cs="Times New Roman"/>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013AF">
            <w:pPr>
              <w:jc w:val="center"/>
              <w:rPr>
                <w:rFonts w:hint="default" w:ascii="Times New Roman" w:hAnsi="Times New Roman" w:eastAsia="宋体"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799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AD73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好</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2EC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5173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4A3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A79B">
            <w:pPr>
              <w:jc w:val="center"/>
              <w:rPr>
                <w:rFonts w:hint="default" w:ascii="Times New Roman" w:hAnsi="Times New Roman" w:eastAsia="微软雅黑" w:cs="Times New Roman"/>
                <w:i/>
                <w:iCs/>
                <w:color w:val="000000"/>
                <w:sz w:val="16"/>
                <w:szCs w:val="16"/>
                <w:u w:val="none"/>
              </w:rPr>
            </w:pP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6A4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14:paraId="569C8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066A9">
            <w:pPr>
              <w:jc w:val="center"/>
              <w:rPr>
                <w:rFonts w:hint="default" w:ascii="Times New Roman" w:hAnsi="Times New Roman" w:eastAsia="宋体" w:cs="Times New Roman"/>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58548">
            <w:pPr>
              <w:jc w:val="center"/>
              <w:rPr>
                <w:rFonts w:hint="default" w:ascii="Times New Roman" w:hAnsi="Times New Roman" w:eastAsia="宋体"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FCE2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703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及时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6380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5288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32AD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65CA">
            <w:pPr>
              <w:jc w:val="center"/>
              <w:rPr>
                <w:rFonts w:hint="default" w:ascii="Times New Roman" w:hAnsi="Times New Roman" w:eastAsia="微软雅黑" w:cs="Times New Roman"/>
                <w:i/>
                <w:iCs/>
                <w:color w:val="000000"/>
                <w:sz w:val="16"/>
                <w:szCs w:val="16"/>
                <w:u w:val="none"/>
              </w:rPr>
            </w:pP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FE7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14:paraId="78A60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7306B">
            <w:pPr>
              <w:jc w:val="center"/>
              <w:rPr>
                <w:rFonts w:hint="default" w:ascii="Times New Roman" w:hAnsi="Times New Roman" w:eastAsia="宋体" w:cs="Times New Roman"/>
                <w:i w:val="0"/>
                <w:iCs w:val="0"/>
                <w:color w:val="000000"/>
                <w:sz w:val="18"/>
                <w:szCs w:val="18"/>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A7E65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8B2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可持续发展指标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025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483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788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优</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23050">
            <w:pPr>
              <w:jc w:val="center"/>
              <w:rPr>
                <w:rFonts w:hint="default" w:ascii="Times New Roman" w:hAnsi="Times New Roman" w:eastAsia="宋体" w:cs="Times New Roman"/>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BC250">
            <w:pPr>
              <w:jc w:val="center"/>
              <w:rPr>
                <w:rFonts w:hint="default" w:ascii="Times New Roman" w:hAnsi="Times New Roman" w:eastAsia="微软雅黑" w:cs="Times New Roman"/>
                <w:i/>
                <w:iCs/>
                <w:color w:val="000000"/>
                <w:sz w:val="16"/>
                <w:szCs w:val="16"/>
                <w:u w:val="none"/>
              </w:rPr>
            </w:pP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761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14:paraId="7ECFC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4C31B">
            <w:pPr>
              <w:jc w:val="center"/>
              <w:rPr>
                <w:rFonts w:hint="default" w:ascii="Times New Roman" w:hAnsi="Times New Roman" w:eastAsia="宋体" w:cs="Times New Roman"/>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3A69D">
            <w:pPr>
              <w:jc w:val="center"/>
              <w:rPr>
                <w:rFonts w:hint="default" w:ascii="Times New Roman" w:hAnsi="Times New Roman" w:eastAsia="宋体"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2DC4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可持续影响指标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48E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好</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818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B03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优</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18BC0">
            <w:pPr>
              <w:jc w:val="center"/>
              <w:rPr>
                <w:rFonts w:hint="default" w:ascii="Times New Roman" w:hAnsi="Times New Roman" w:eastAsia="宋体" w:cs="Times New Roman"/>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16058">
            <w:pPr>
              <w:jc w:val="center"/>
              <w:rPr>
                <w:rFonts w:hint="default" w:ascii="Times New Roman" w:hAnsi="Times New Roman" w:eastAsia="微软雅黑" w:cs="Times New Roman"/>
                <w:i/>
                <w:iCs/>
                <w:color w:val="000000"/>
                <w:sz w:val="16"/>
                <w:szCs w:val="16"/>
                <w:u w:val="none"/>
              </w:rPr>
            </w:pP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135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14:paraId="1B914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67564">
            <w:pPr>
              <w:jc w:val="center"/>
              <w:rPr>
                <w:rFonts w:hint="default" w:ascii="Times New Roman" w:hAnsi="Times New Roman" w:eastAsia="宋体" w:cs="Times New Roman"/>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920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3B1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212E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34C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0DD4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1660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F66A">
            <w:pPr>
              <w:jc w:val="center"/>
              <w:rPr>
                <w:rFonts w:hint="default" w:ascii="Times New Roman" w:hAnsi="Times New Roman" w:eastAsia="微软雅黑" w:cs="Times New Roman"/>
                <w:i/>
                <w:iCs/>
                <w:color w:val="000000"/>
                <w:sz w:val="16"/>
                <w:szCs w:val="16"/>
                <w:u w:val="none"/>
              </w:rPr>
            </w:pP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9B9B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14:paraId="332EA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081CB">
            <w:pPr>
              <w:jc w:val="center"/>
              <w:rPr>
                <w:rFonts w:hint="default" w:ascii="Times New Roman" w:hAnsi="Times New Roman" w:eastAsia="宋体" w:cs="Times New Roman"/>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EF5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8190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A65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补助标准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A188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D0E2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B62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B919A">
            <w:pPr>
              <w:jc w:val="center"/>
              <w:rPr>
                <w:rFonts w:hint="default" w:ascii="Times New Roman" w:hAnsi="Times New Roman" w:eastAsia="微软雅黑" w:cs="Times New Roman"/>
                <w:i/>
                <w:iCs/>
                <w:color w:val="000000"/>
                <w:sz w:val="16"/>
                <w:szCs w:val="16"/>
                <w:u w:val="none"/>
              </w:rPr>
            </w:pP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3B3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bl>
    <w:p w14:paraId="11DC316E">
      <w:pPr>
        <w:spacing w:line="600" w:lineRule="exact"/>
        <w:jc w:val="center"/>
        <w:outlineLvl w:val="0"/>
        <w:rPr>
          <w:rFonts w:hint="default" w:ascii="Times New Roman" w:hAnsi="Times New Roman" w:eastAsia="仿宋_GB2312" w:cs="Times New Roman"/>
          <w:color w:val="auto"/>
          <w:sz w:val="32"/>
          <w:szCs w:val="24"/>
          <w:lang w:val="en-US"/>
        </w:rPr>
      </w:pPr>
    </w:p>
    <w:tbl>
      <w:tblPr>
        <w:tblStyle w:val="19"/>
        <w:tblW w:w="8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0"/>
        <w:gridCol w:w="1200"/>
        <w:gridCol w:w="1020"/>
        <w:gridCol w:w="840"/>
        <w:gridCol w:w="660"/>
        <w:gridCol w:w="1080"/>
        <w:gridCol w:w="570"/>
        <w:gridCol w:w="900"/>
        <w:gridCol w:w="1530"/>
      </w:tblGrid>
      <w:tr w14:paraId="54B60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6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11EEF99">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部门预算项目支出绩效自评表（2023年度）</w:t>
            </w:r>
          </w:p>
        </w:tc>
      </w:tr>
      <w:tr w14:paraId="678F7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C1887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6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D9F8AD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51098723T000009219606-烈士褒扬及军人慰问（2023）</w:t>
            </w:r>
          </w:p>
        </w:tc>
      </w:tr>
      <w:tr w14:paraId="5E924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DAB93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1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1D3AE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遂宁高新区退役军人服务中心</w:t>
            </w:r>
          </w:p>
        </w:tc>
        <w:tc>
          <w:tcPr>
            <w:tcW w:w="900" w:type="dxa"/>
            <w:tcBorders>
              <w:top w:val="nil"/>
              <w:left w:val="nil"/>
              <w:bottom w:val="nil"/>
              <w:right w:val="nil"/>
            </w:tcBorders>
            <w:shd w:val="clear" w:color="auto" w:fill="auto"/>
            <w:vAlign w:val="center"/>
          </w:tcPr>
          <w:p w14:paraId="1A2B023D">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FF0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遂宁高新区退役军人服务中心</w:t>
            </w:r>
          </w:p>
        </w:tc>
      </w:tr>
      <w:tr w14:paraId="2A665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8D3BD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74479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41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7B390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55311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17108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41221">
            <w:pPr>
              <w:rPr>
                <w:rFonts w:hint="default" w:ascii="Times New Roman" w:hAnsi="Times New Roman" w:eastAsia="宋体" w:cs="Times New Roman"/>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9662E">
            <w:pPr>
              <w:rPr>
                <w:rFonts w:hint="default" w:ascii="Times New Roman" w:hAnsi="Times New Roman" w:eastAsia="宋体" w:cs="Times New Roman"/>
                <w:i w:val="0"/>
                <w:iCs w:val="0"/>
                <w:color w:val="000000"/>
                <w:sz w:val="18"/>
                <w:szCs w:val="18"/>
                <w:u w:val="none"/>
              </w:rPr>
            </w:pPr>
          </w:p>
        </w:tc>
        <w:tc>
          <w:tcPr>
            <w:tcW w:w="41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474F2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清明，9.30烈士纪念日烈属慰问工作，区内散葬烈士墓的维护修缮工作。弘扬烈士精神，抚恤优待烈士遗属。八一、春节慰问军事单位、对全区退役军人及现役军人家属发放八一慰问金；双拥工作经费：军政、军民团结持续提升。</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31F081">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对照年度目标，说明相关任务目标的完成情况（100字以内）</w:t>
            </w:r>
          </w:p>
        </w:tc>
      </w:tr>
      <w:tr w14:paraId="3F55A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B4E29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A504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A0E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3511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6AC0A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4DAA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D9C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r>
      <w:tr w14:paraId="0B9F5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51E86">
            <w:pPr>
              <w:jc w:val="center"/>
              <w:rPr>
                <w:rFonts w:hint="default" w:ascii="Times New Roman" w:hAnsi="Times New Roman" w:eastAsia="宋体" w:cs="Times New Roman"/>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35A3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830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22.00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505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18.57</w:t>
            </w: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A36A6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18.57</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EB7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A47B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14:paraId="29DC6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EAD5B">
            <w:pPr>
              <w:jc w:val="center"/>
              <w:rPr>
                <w:rFonts w:hint="default" w:ascii="Times New Roman" w:hAnsi="Times New Roman" w:eastAsia="宋体" w:cs="Times New Roman"/>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53B3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F791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22.00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5F0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18.57</w:t>
            </w: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F4D9F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18.57</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58F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B767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14:paraId="09132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1A996">
            <w:pPr>
              <w:jc w:val="center"/>
              <w:rPr>
                <w:rFonts w:hint="default" w:ascii="Times New Roman" w:hAnsi="Times New Roman" w:eastAsia="宋体" w:cs="Times New Roman"/>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1FE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B84E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4D07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9966E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475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758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14:paraId="2380C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89D7F">
            <w:pPr>
              <w:jc w:val="center"/>
              <w:rPr>
                <w:rFonts w:hint="default" w:ascii="Times New Roman" w:hAnsi="Times New Roman" w:eastAsia="宋体" w:cs="Times New Roman"/>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397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F0EC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4A28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38A13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AB53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22B3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14:paraId="5D356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68409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7BB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BFA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437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F1B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621E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0E83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DDB0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33E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r>
      <w:tr w14:paraId="550DB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F5FE3">
            <w:pPr>
              <w:jc w:val="center"/>
              <w:rPr>
                <w:rFonts w:hint="default" w:ascii="Times New Roman" w:hAnsi="Times New Roman" w:eastAsia="宋体" w:cs="Times New Roman"/>
                <w:i w:val="0"/>
                <w:iCs w:val="0"/>
                <w:color w:val="000000"/>
                <w:sz w:val="18"/>
                <w:szCs w:val="18"/>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64C19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73B1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4B8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慰问人数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3629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C1E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362E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63BE1">
            <w:pPr>
              <w:jc w:val="center"/>
              <w:rPr>
                <w:rFonts w:hint="default" w:ascii="Times New Roman" w:hAnsi="Times New Roman" w:eastAsia="微软雅黑" w:cs="Times New Roman"/>
                <w:i/>
                <w:iCs/>
                <w:color w:val="000000"/>
                <w:sz w:val="16"/>
                <w:szCs w:val="16"/>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663D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14:paraId="2871C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D411E">
            <w:pPr>
              <w:jc w:val="center"/>
              <w:rPr>
                <w:rFonts w:hint="default" w:ascii="Times New Roman" w:hAnsi="Times New Roman" w:eastAsia="宋体" w:cs="Times New Roman"/>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A816E">
            <w:pPr>
              <w:jc w:val="center"/>
              <w:rPr>
                <w:rFonts w:hint="default" w:ascii="Times New Roman" w:hAnsi="Times New Roman" w:eastAsia="宋体"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61E2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DC82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好</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8696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9A9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B548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9B7C9">
            <w:pPr>
              <w:jc w:val="center"/>
              <w:rPr>
                <w:rFonts w:hint="default" w:ascii="Times New Roman" w:hAnsi="Times New Roman" w:eastAsia="微软雅黑" w:cs="Times New Roman"/>
                <w:i/>
                <w:iCs/>
                <w:color w:val="000000"/>
                <w:sz w:val="16"/>
                <w:szCs w:val="16"/>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9E1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14:paraId="6C159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36A27">
            <w:pPr>
              <w:jc w:val="center"/>
              <w:rPr>
                <w:rFonts w:hint="default" w:ascii="Times New Roman" w:hAnsi="Times New Roman" w:eastAsia="宋体" w:cs="Times New Roman"/>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EB546">
            <w:pPr>
              <w:jc w:val="center"/>
              <w:rPr>
                <w:rFonts w:hint="default" w:ascii="Times New Roman" w:hAnsi="Times New Roman" w:eastAsia="宋体"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169C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5448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及时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DB14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C3A5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3CD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BC177">
            <w:pPr>
              <w:jc w:val="center"/>
              <w:rPr>
                <w:rFonts w:hint="default" w:ascii="Times New Roman" w:hAnsi="Times New Roman" w:eastAsia="微软雅黑" w:cs="Times New Roman"/>
                <w:i/>
                <w:iCs/>
                <w:color w:val="000000"/>
                <w:sz w:val="16"/>
                <w:szCs w:val="16"/>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2DD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14:paraId="66872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457D1">
            <w:pPr>
              <w:jc w:val="center"/>
              <w:rPr>
                <w:rFonts w:hint="default" w:ascii="Times New Roman" w:hAnsi="Times New Roman" w:eastAsia="宋体" w:cs="Times New Roman"/>
                <w:i w:val="0"/>
                <w:iCs w:val="0"/>
                <w:color w:val="000000"/>
                <w:sz w:val="18"/>
                <w:szCs w:val="18"/>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A9141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FF2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可持续发展指标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0FE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8AF5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C69B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优</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05BF">
            <w:pPr>
              <w:jc w:val="center"/>
              <w:rPr>
                <w:rFonts w:hint="default" w:ascii="Times New Roman" w:hAnsi="Times New Roman" w:eastAsia="宋体" w:cs="Times New Roman"/>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A97C">
            <w:pPr>
              <w:jc w:val="center"/>
              <w:rPr>
                <w:rFonts w:hint="default" w:ascii="Times New Roman" w:hAnsi="Times New Roman" w:eastAsia="微软雅黑" w:cs="Times New Roman"/>
                <w:i/>
                <w:iCs/>
                <w:color w:val="000000"/>
                <w:sz w:val="16"/>
                <w:szCs w:val="16"/>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6308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14:paraId="6B36B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AC118">
            <w:pPr>
              <w:jc w:val="center"/>
              <w:rPr>
                <w:rFonts w:hint="default" w:ascii="Times New Roman" w:hAnsi="Times New Roman" w:eastAsia="宋体" w:cs="Times New Roman"/>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6149A">
            <w:pPr>
              <w:jc w:val="center"/>
              <w:rPr>
                <w:rFonts w:hint="default" w:ascii="Times New Roman" w:hAnsi="Times New Roman" w:eastAsia="宋体"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265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可持续影响指标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C260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好</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7366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230A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优</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33C3B">
            <w:pPr>
              <w:jc w:val="center"/>
              <w:rPr>
                <w:rFonts w:hint="default" w:ascii="Times New Roman" w:hAnsi="Times New Roman" w:eastAsia="宋体" w:cs="Times New Roman"/>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36F16">
            <w:pPr>
              <w:jc w:val="center"/>
              <w:rPr>
                <w:rFonts w:hint="default" w:ascii="Times New Roman" w:hAnsi="Times New Roman" w:eastAsia="微软雅黑" w:cs="Times New Roman"/>
                <w:i/>
                <w:iCs/>
                <w:color w:val="000000"/>
                <w:sz w:val="16"/>
                <w:szCs w:val="16"/>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C903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14:paraId="7B95A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6995B">
            <w:pPr>
              <w:jc w:val="center"/>
              <w:rPr>
                <w:rFonts w:hint="default" w:ascii="Times New Roman" w:hAnsi="Times New Roman" w:eastAsia="宋体" w:cs="Times New Roman"/>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8688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7603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934B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EE9B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30F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B680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AC0A">
            <w:pPr>
              <w:jc w:val="center"/>
              <w:rPr>
                <w:rFonts w:hint="default" w:ascii="Times New Roman" w:hAnsi="Times New Roman" w:eastAsia="微软雅黑" w:cs="Times New Roman"/>
                <w:i/>
                <w:iCs/>
                <w:color w:val="000000"/>
                <w:sz w:val="16"/>
                <w:szCs w:val="16"/>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5422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14:paraId="1C8EA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B7BF8">
            <w:pPr>
              <w:jc w:val="center"/>
              <w:rPr>
                <w:rFonts w:hint="default" w:ascii="Times New Roman" w:hAnsi="Times New Roman" w:eastAsia="宋体" w:cs="Times New Roman"/>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8FE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5982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8F1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补助标准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C21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55E7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220000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3B8B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364F">
            <w:pPr>
              <w:jc w:val="center"/>
              <w:rPr>
                <w:rFonts w:hint="default" w:ascii="Times New Roman" w:hAnsi="Times New Roman" w:eastAsia="微软雅黑" w:cs="Times New Roman"/>
                <w:i/>
                <w:iCs/>
                <w:color w:val="000000"/>
                <w:sz w:val="16"/>
                <w:szCs w:val="16"/>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50E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bl>
    <w:p w14:paraId="45F436DC">
      <w:pPr>
        <w:spacing w:line="600" w:lineRule="exact"/>
        <w:jc w:val="center"/>
        <w:outlineLvl w:val="0"/>
        <w:rPr>
          <w:rFonts w:hint="default" w:ascii="Times New Roman" w:hAnsi="Times New Roman" w:eastAsia="仿宋_GB2312" w:cs="Times New Roman"/>
          <w:color w:val="auto"/>
          <w:sz w:val="32"/>
          <w:szCs w:val="24"/>
          <w:lang w:val="en-US"/>
        </w:rPr>
      </w:pPr>
    </w:p>
    <w:tbl>
      <w:tblPr>
        <w:tblStyle w:val="19"/>
        <w:tblW w:w="8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0"/>
        <w:gridCol w:w="1200"/>
        <w:gridCol w:w="1020"/>
        <w:gridCol w:w="840"/>
        <w:gridCol w:w="660"/>
        <w:gridCol w:w="1080"/>
        <w:gridCol w:w="570"/>
        <w:gridCol w:w="900"/>
        <w:gridCol w:w="1530"/>
      </w:tblGrid>
      <w:tr w14:paraId="0ADE0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6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50FCA55">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部门预算项目支出绩效自评表（2023年度）</w:t>
            </w:r>
          </w:p>
        </w:tc>
      </w:tr>
      <w:tr w14:paraId="367A0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99A40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6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30D89C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51098723T000009219301-国防、双拥工作经费（2023）</w:t>
            </w:r>
          </w:p>
        </w:tc>
      </w:tr>
      <w:tr w14:paraId="55BBD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06B77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1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02962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遂宁高新区退役军人服务中心</w:t>
            </w:r>
          </w:p>
        </w:tc>
        <w:tc>
          <w:tcPr>
            <w:tcW w:w="900" w:type="dxa"/>
            <w:tcBorders>
              <w:top w:val="nil"/>
              <w:left w:val="nil"/>
              <w:bottom w:val="nil"/>
              <w:right w:val="nil"/>
            </w:tcBorders>
            <w:shd w:val="clear" w:color="auto" w:fill="auto"/>
            <w:vAlign w:val="center"/>
          </w:tcPr>
          <w:p w14:paraId="65AC8FAE">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F179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遂宁高新区退役军人服务中心</w:t>
            </w:r>
          </w:p>
        </w:tc>
      </w:tr>
      <w:tr w14:paraId="67297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EC53C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9DC94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41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4A0D2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976BF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3AF43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FBD89">
            <w:pPr>
              <w:rPr>
                <w:rFonts w:hint="default" w:ascii="Times New Roman" w:hAnsi="Times New Roman" w:eastAsia="宋体" w:cs="Times New Roman"/>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FE6EF">
            <w:pPr>
              <w:rPr>
                <w:rFonts w:hint="default" w:ascii="Times New Roman" w:hAnsi="Times New Roman" w:eastAsia="宋体" w:cs="Times New Roman"/>
                <w:i w:val="0"/>
                <w:iCs w:val="0"/>
                <w:color w:val="000000"/>
                <w:sz w:val="18"/>
                <w:szCs w:val="18"/>
                <w:u w:val="none"/>
              </w:rPr>
            </w:pPr>
          </w:p>
        </w:tc>
        <w:tc>
          <w:tcPr>
            <w:tcW w:w="41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94141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按照文件要求，做好国防、双拥宣传工作。</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3D2B95">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对照年度目标，说明相关任务目标的完成情况（100字以内）</w:t>
            </w:r>
          </w:p>
        </w:tc>
      </w:tr>
      <w:tr w14:paraId="7F16B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9EDFA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8788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A1B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545F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90583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4B1E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11B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r>
      <w:tr w14:paraId="45D75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B0ABD">
            <w:pPr>
              <w:jc w:val="center"/>
              <w:rPr>
                <w:rFonts w:hint="default" w:ascii="Times New Roman" w:hAnsi="Times New Roman" w:eastAsia="宋体" w:cs="Times New Roman"/>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8FFD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934D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37F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18.45</w:t>
            </w: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F264C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18.45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DDE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F620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14:paraId="06522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9C616">
            <w:pPr>
              <w:jc w:val="center"/>
              <w:rPr>
                <w:rFonts w:hint="default" w:ascii="Times New Roman" w:hAnsi="Times New Roman" w:eastAsia="宋体" w:cs="Times New Roman"/>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6BCE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7B9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F3C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18.45</w:t>
            </w: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EBC9C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18.45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93D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B064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14:paraId="457EC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22C3D">
            <w:pPr>
              <w:jc w:val="center"/>
              <w:rPr>
                <w:rFonts w:hint="default" w:ascii="Times New Roman" w:hAnsi="Times New Roman" w:eastAsia="宋体" w:cs="Times New Roman"/>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F06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D921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3769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7FEA3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7F32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C76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14:paraId="3A92E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F2877">
            <w:pPr>
              <w:jc w:val="center"/>
              <w:rPr>
                <w:rFonts w:hint="default" w:ascii="Times New Roman" w:hAnsi="Times New Roman" w:eastAsia="宋体" w:cs="Times New Roman"/>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F0B2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CEC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20E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4696B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64A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515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14:paraId="020EC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2AB53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176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634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85D6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9FDF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1C0C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701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00A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811D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r>
      <w:tr w14:paraId="4EA53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DC778">
            <w:pPr>
              <w:jc w:val="center"/>
              <w:rPr>
                <w:rFonts w:hint="default" w:ascii="Times New Roman" w:hAnsi="Times New Roman" w:eastAsia="宋体" w:cs="Times New Roman"/>
                <w:i w:val="0"/>
                <w:iCs w:val="0"/>
                <w:color w:val="000000"/>
                <w:sz w:val="18"/>
                <w:szCs w:val="18"/>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6E7CF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B41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4357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国防、双拥宣传数量</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C38B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430B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109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CF18">
            <w:pPr>
              <w:jc w:val="center"/>
              <w:rPr>
                <w:rFonts w:hint="default" w:ascii="Times New Roman" w:hAnsi="Times New Roman" w:eastAsia="微软雅黑" w:cs="Times New Roman"/>
                <w:i/>
                <w:iCs/>
                <w:color w:val="000000"/>
                <w:sz w:val="16"/>
                <w:szCs w:val="16"/>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2A7A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14:paraId="571FB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C3A15">
            <w:pPr>
              <w:jc w:val="center"/>
              <w:rPr>
                <w:rFonts w:hint="default" w:ascii="Times New Roman" w:hAnsi="Times New Roman" w:eastAsia="宋体" w:cs="Times New Roman"/>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6DABF">
            <w:pPr>
              <w:jc w:val="center"/>
              <w:rPr>
                <w:rFonts w:hint="default" w:ascii="Times New Roman" w:hAnsi="Times New Roman" w:eastAsia="宋体"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A19D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19A2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好</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4CE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5217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50D2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43FE">
            <w:pPr>
              <w:jc w:val="center"/>
              <w:rPr>
                <w:rFonts w:hint="default" w:ascii="Times New Roman" w:hAnsi="Times New Roman" w:eastAsia="微软雅黑" w:cs="Times New Roman"/>
                <w:i/>
                <w:iCs/>
                <w:color w:val="000000"/>
                <w:sz w:val="16"/>
                <w:szCs w:val="16"/>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3CD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14:paraId="28D93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5FED1">
            <w:pPr>
              <w:jc w:val="center"/>
              <w:rPr>
                <w:rFonts w:hint="default" w:ascii="Times New Roman" w:hAnsi="Times New Roman" w:eastAsia="宋体" w:cs="Times New Roman"/>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BBF39">
            <w:pPr>
              <w:jc w:val="center"/>
              <w:rPr>
                <w:rFonts w:hint="default" w:ascii="Times New Roman" w:hAnsi="Times New Roman" w:eastAsia="宋体"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A173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EBCA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及时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66D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FBCB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4D8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FECBB">
            <w:pPr>
              <w:jc w:val="center"/>
              <w:rPr>
                <w:rFonts w:hint="default" w:ascii="Times New Roman" w:hAnsi="Times New Roman" w:eastAsia="微软雅黑" w:cs="Times New Roman"/>
                <w:i/>
                <w:iCs/>
                <w:color w:val="000000"/>
                <w:sz w:val="16"/>
                <w:szCs w:val="16"/>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2BD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14:paraId="28286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648AA">
            <w:pPr>
              <w:jc w:val="center"/>
              <w:rPr>
                <w:rFonts w:hint="default" w:ascii="Times New Roman" w:hAnsi="Times New Roman" w:eastAsia="宋体" w:cs="Times New Roman"/>
                <w:i w:val="0"/>
                <w:iCs w:val="0"/>
                <w:color w:val="000000"/>
                <w:sz w:val="18"/>
                <w:szCs w:val="18"/>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3DEC3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1331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可持续发展指标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2AF0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E03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D517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优</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03950">
            <w:pPr>
              <w:jc w:val="center"/>
              <w:rPr>
                <w:rFonts w:hint="default" w:ascii="Times New Roman" w:hAnsi="Times New Roman" w:eastAsia="宋体" w:cs="Times New Roman"/>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EF664">
            <w:pPr>
              <w:jc w:val="center"/>
              <w:rPr>
                <w:rFonts w:hint="default" w:ascii="Times New Roman" w:hAnsi="Times New Roman" w:eastAsia="微软雅黑" w:cs="Times New Roman"/>
                <w:i/>
                <w:iCs/>
                <w:color w:val="000000"/>
                <w:sz w:val="16"/>
                <w:szCs w:val="16"/>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111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14:paraId="2F82E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F97C5">
            <w:pPr>
              <w:jc w:val="center"/>
              <w:rPr>
                <w:rFonts w:hint="default" w:ascii="Times New Roman" w:hAnsi="Times New Roman" w:eastAsia="宋体" w:cs="Times New Roman"/>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9D211">
            <w:pPr>
              <w:jc w:val="center"/>
              <w:rPr>
                <w:rFonts w:hint="default" w:ascii="Times New Roman" w:hAnsi="Times New Roman" w:eastAsia="宋体"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6DA2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可持续影响指标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991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好</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0254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C3D2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优</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AB869">
            <w:pPr>
              <w:jc w:val="center"/>
              <w:rPr>
                <w:rFonts w:hint="default" w:ascii="Times New Roman" w:hAnsi="Times New Roman" w:eastAsia="宋体" w:cs="Times New Roman"/>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D6130">
            <w:pPr>
              <w:jc w:val="center"/>
              <w:rPr>
                <w:rFonts w:hint="default" w:ascii="Times New Roman" w:hAnsi="Times New Roman" w:eastAsia="微软雅黑" w:cs="Times New Roman"/>
                <w:i/>
                <w:iCs/>
                <w:color w:val="000000"/>
                <w:sz w:val="16"/>
                <w:szCs w:val="16"/>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F73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14:paraId="672D5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ACBBF">
            <w:pPr>
              <w:jc w:val="center"/>
              <w:rPr>
                <w:rFonts w:hint="default" w:ascii="Times New Roman" w:hAnsi="Times New Roman" w:eastAsia="宋体" w:cs="Times New Roman"/>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7D7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95A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D687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9047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C02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ABB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ABB26">
            <w:pPr>
              <w:jc w:val="center"/>
              <w:rPr>
                <w:rFonts w:hint="default" w:ascii="Times New Roman" w:hAnsi="Times New Roman" w:eastAsia="微软雅黑" w:cs="Times New Roman"/>
                <w:i/>
                <w:iCs/>
                <w:color w:val="000000"/>
                <w:sz w:val="16"/>
                <w:szCs w:val="16"/>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014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14:paraId="5C537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3BCCF">
            <w:pPr>
              <w:jc w:val="center"/>
              <w:rPr>
                <w:rFonts w:hint="default" w:ascii="Times New Roman" w:hAnsi="Times New Roman" w:eastAsia="宋体" w:cs="Times New Roman"/>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9F2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17B5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3C7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补助标准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873A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6EAD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110000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0FC6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996B2">
            <w:pPr>
              <w:jc w:val="center"/>
              <w:rPr>
                <w:rFonts w:hint="default" w:ascii="Times New Roman" w:hAnsi="Times New Roman" w:eastAsia="微软雅黑" w:cs="Times New Roman"/>
                <w:i/>
                <w:iCs/>
                <w:color w:val="000000"/>
                <w:sz w:val="16"/>
                <w:szCs w:val="16"/>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C12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bl>
    <w:p w14:paraId="797BF1E7">
      <w:pPr>
        <w:pStyle w:val="23"/>
        <w:rPr>
          <w:rFonts w:hint="default" w:ascii="Times New Roman" w:hAnsi="Times New Roman" w:eastAsia="仿宋_GB2312" w:cs="Times New Roman"/>
          <w:color w:val="auto"/>
          <w:sz w:val="32"/>
          <w:szCs w:val="24"/>
          <w:lang w:val="en-US"/>
        </w:rPr>
      </w:pPr>
    </w:p>
    <w:p w14:paraId="06696720">
      <w:pPr>
        <w:spacing w:line="600" w:lineRule="exact"/>
        <w:jc w:val="center"/>
        <w:outlineLvl w:val="0"/>
        <w:rPr>
          <w:rFonts w:hint="default" w:ascii="Times New Roman" w:hAnsi="Times New Roman" w:eastAsia="仿宋_GB2312" w:cs="Times New Roman"/>
          <w:color w:val="auto"/>
          <w:sz w:val="32"/>
          <w:szCs w:val="24"/>
          <w:lang w:val="en-US"/>
        </w:rPr>
      </w:pPr>
    </w:p>
    <w:tbl>
      <w:tblPr>
        <w:tblStyle w:val="19"/>
        <w:tblW w:w="88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67"/>
        <w:gridCol w:w="996"/>
        <w:gridCol w:w="824"/>
        <w:gridCol w:w="653"/>
        <w:gridCol w:w="1044"/>
        <w:gridCol w:w="666"/>
        <w:gridCol w:w="873"/>
        <w:gridCol w:w="861"/>
        <w:gridCol w:w="1796"/>
      </w:tblGrid>
      <w:tr w14:paraId="767E4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8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3E24561">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部门预算项目支出绩效自评表（2023年度）</w:t>
            </w:r>
          </w:p>
        </w:tc>
      </w:tr>
      <w:tr w14:paraId="6D74B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B1DF4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66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54874D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51098723T000009219454-村（社区）退役军人服务站站长补贴（2023））</w:t>
            </w:r>
          </w:p>
        </w:tc>
      </w:tr>
      <w:tr w14:paraId="37975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121F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0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079B6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遂宁高新区退役军人服务中心</w:t>
            </w:r>
          </w:p>
        </w:tc>
        <w:tc>
          <w:tcPr>
            <w:tcW w:w="735" w:type="dxa"/>
            <w:tcBorders>
              <w:top w:val="nil"/>
              <w:left w:val="nil"/>
              <w:bottom w:val="nil"/>
              <w:right w:val="nil"/>
            </w:tcBorders>
            <w:shd w:val="clear" w:color="auto" w:fill="auto"/>
            <w:vAlign w:val="center"/>
          </w:tcPr>
          <w:p w14:paraId="47DAE6E2">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12FB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遂宁高新区退役军人服务中心</w:t>
            </w:r>
          </w:p>
        </w:tc>
      </w:tr>
      <w:tr w14:paraId="2D208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3F9D4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7E098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40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33D6A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13207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1F817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E65AE">
            <w:pPr>
              <w:rPr>
                <w:rFonts w:hint="default" w:ascii="Times New Roman" w:hAnsi="Times New Roman" w:eastAsia="宋体" w:cs="Times New Roman"/>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C2667">
            <w:pPr>
              <w:rPr>
                <w:rFonts w:hint="default" w:ascii="Times New Roman" w:hAnsi="Times New Roman" w:eastAsia="宋体" w:cs="Times New Roman"/>
                <w:i w:val="0"/>
                <w:iCs w:val="0"/>
                <w:color w:val="000000"/>
                <w:sz w:val="18"/>
                <w:szCs w:val="18"/>
                <w:u w:val="none"/>
              </w:rPr>
            </w:pPr>
          </w:p>
        </w:tc>
        <w:tc>
          <w:tcPr>
            <w:tcW w:w="40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360DE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保障2个乡镇（街道）、20个村（社区）退役军人正常工作运行，保证基层服务站正常运营。</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19EFF4">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对照年度目标，说明相关任务目标的完成情况（100字以内）</w:t>
            </w:r>
          </w:p>
        </w:tc>
      </w:tr>
      <w:tr w14:paraId="7560C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C2BDF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488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26B8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4DE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14579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E8D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C604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r>
      <w:tr w14:paraId="5F92C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6F3C3">
            <w:pPr>
              <w:jc w:val="center"/>
              <w:rPr>
                <w:rFonts w:hint="default" w:ascii="Times New Roman" w:hAnsi="Times New Roman" w:eastAsia="宋体"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0C0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A81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5D8D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7.20</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56427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7.20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292C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0389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14:paraId="43002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DEDC4">
            <w:pPr>
              <w:jc w:val="center"/>
              <w:rPr>
                <w:rFonts w:hint="default" w:ascii="Times New Roman" w:hAnsi="Times New Roman" w:eastAsia="宋体"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FA3F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C1EF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5F9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7.20</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6E2A3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7.20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0C9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F8D4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14:paraId="14403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C07A0">
            <w:pPr>
              <w:jc w:val="center"/>
              <w:rPr>
                <w:rFonts w:hint="default" w:ascii="Times New Roman" w:hAnsi="Times New Roman" w:eastAsia="宋体"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EC6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BBD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6BC9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D597C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215D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0C98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14:paraId="5FE1B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8D741">
            <w:pPr>
              <w:jc w:val="center"/>
              <w:rPr>
                <w:rFonts w:hint="default" w:ascii="Times New Roman" w:hAnsi="Times New Roman" w:eastAsia="宋体"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180E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C1F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AB1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DB191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0F0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8D3D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14:paraId="44CFA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274C4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D7C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1B4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9A50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3FF7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6144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84D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DD5B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93F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r>
      <w:tr w14:paraId="26CB7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C7381">
            <w:pPr>
              <w:jc w:val="center"/>
              <w:rPr>
                <w:rFonts w:hint="default" w:ascii="Times New Roman" w:hAnsi="Times New Roman" w:eastAsia="宋体" w:cs="Times New Roman"/>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B5865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DC50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7A4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退役军人服务站个数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BEDE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300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7BF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24E43">
            <w:pPr>
              <w:jc w:val="center"/>
              <w:rPr>
                <w:rFonts w:hint="default" w:ascii="Times New Roman" w:hAnsi="Times New Roman" w:eastAsia="微软雅黑" w:cs="Times New Roman"/>
                <w:i/>
                <w:iCs/>
                <w:color w:val="000000"/>
                <w:sz w:val="16"/>
                <w:szCs w:val="16"/>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8BED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14:paraId="0D59C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56CEF">
            <w:pPr>
              <w:jc w:val="center"/>
              <w:rPr>
                <w:rFonts w:hint="default" w:ascii="Times New Roman" w:hAnsi="Times New Roman" w:eastAsia="宋体" w:cs="Times New Roman"/>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25B30">
            <w:pPr>
              <w:jc w:val="center"/>
              <w:rPr>
                <w:rFonts w:hint="default" w:ascii="Times New Roman" w:hAnsi="Times New Roman" w:eastAsia="宋体" w:cs="Times New Roman"/>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EE5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31AD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58AF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653B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7DD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EBB2">
            <w:pPr>
              <w:jc w:val="center"/>
              <w:rPr>
                <w:rFonts w:hint="default" w:ascii="Times New Roman" w:hAnsi="Times New Roman" w:eastAsia="微软雅黑" w:cs="Times New Roman"/>
                <w:i/>
                <w:iCs/>
                <w:color w:val="000000"/>
                <w:sz w:val="16"/>
                <w:szCs w:val="16"/>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F5D1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14:paraId="19F8D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2F65D">
            <w:pPr>
              <w:jc w:val="center"/>
              <w:rPr>
                <w:rFonts w:hint="default" w:ascii="Times New Roman" w:hAnsi="Times New Roman" w:eastAsia="宋体" w:cs="Times New Roman"/>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6AD3F">
            <w:pPr>
              <w:jc w:val="center"/>
              <w:rPr>
                <w:rFonts w:hint="default" w:ascii="Times New Roman" w:hAnsi="Times New Roman" w:eastAsia="宋体" w:cs="Times New Roman"/>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C68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0AD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及时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BE6B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2D0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EBE2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F00F2">
            <w:pPr>
              <w:jc w:val="center"/>
              <w:rPr>
                <w:rFonts w:hint="default" w:ascii="Times New Roman" w:hAnsi="Times New Roman" w:eastAsia="微软雅黑" w:cs="Times New Roman"/>
                <w:i/>
                <w:iCs/>
                <w:color w:val="000000"/>
                <w:sz w:val="16"/>
                <w:szCs w:val="16"/>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8AA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14:paraId="496E6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F2351">
            <w:pPr>
              <w:jc w:val="center"/>
              <w:rPr>
                <w:rFonts w:hint="default" w:ascii="Times New Roman" w:hAnsi="Times New Roman" w:eastAsia="宋体" w:cs="Times New Roman"/>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A7CCD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E8B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可持续发展指标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B0EE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C1B9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F41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优</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ABEF3">
            <w:pPr>
              <w:jc w:val="center"/>
              <w:rPr>
                <w:rFonts w:hint="default" w:ascii="Times New Roman" w:hAnsi="Times New Roman" w:eastAsia="宋体" w:cs="Times New Roman"/>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829BD">
            <w:pPr>
              <w:jc w:val="center"/>
              <w:rPr>
                <w:rFonts w:hint="default" w:ascii="Times New Roman" w:hAnsi="Times New Roman" w:eastAsia="微软雅黑" w:cs="Times New Roman"/>
                <w:i/>
                <w:iCs/>
                <w:color w:val="000000"/>
                <w:sz w:val="16"/>
                <w:szCs w:val="16"/>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76FE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14:paraId="57A24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8C953">
            <w:pPr>
              <w:jc w:val="center"/>
              <w:rPr>
                <w:rFonts w:hint="default" w:ascii="Times New Roman" w:hAnsi="Times New Roman" w:eastAsia="宋体" w:cs="Times New Roman"/>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9E070">
            <w:pPr>
              <w:jc w:val="center"/>
              <w:rPr>
                <w:rFonts w:hint="default" w:ascii="Times New Roman" w:hAnsi="Times New Roman" w:eastAsia="宋体" w:cs="Times New Roman"/>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9B9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可持续影响指标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02DE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41E1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EFBD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优</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97DE">
            <w:pPr>
              <w:jc w:val="center"/>
              <w:rPr>
                <w:rFonts w:hint="default" w:ascii="Times New Roman" w:hAnsi="Times New Roman" w:eastAsia="宋体" w:cs="Times New Roman"/>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4119">
            <w:pPr>
              <w:jc w:val="center"/>
              <w:rPr>
                <w:rFonts w:hint="default" w:ascii="Times New Roman" w:hAnsi="Times New Roman" w:eastAsia="微软雅黑" w:cs="Times New Roman"/>
                <w:i/>
                <w:iCs/>
                <w:color w:val="000000"/>
                <w:sz w:val="16"/>
                <w:szCs w:val="16"/>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D6AB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14:paraId="0B3C8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FC4F9">
            <w:pPr>
              <w:jc w:val="center"/>
              <w:rPr>
                <w:rFonts w:hint="default" w:ascii="Times New Roman" w:hAnsi="Times New Roman" w:eastAsia="宋体"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A1F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43EC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FEF4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8ABB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AEDD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199F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8AA9A">
            <w:pPr>
              <w:jc w:val="center"/>
              <w:rPr>
                <w:rFonts w:hint="default" w:ascii="Times New Roman" w:hAnsi="Times New Roman" w:eastAsia="微软雅黑" w:cs="Times New Roman"/>
                <w:i/>
                <w:iCs/>
                <w:color w:val="000000"/>
                <w:sz w:val="16"/>
                <w:szCs w:val="16"/>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05F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14:paraId="650E9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3CBBE">
            <w:pPr>
              <w:jc w:val="center"/>
              <w:rPr>
                <w:rFonts w:hint="default" w:ascii="Times New Roman" w:hAnsi="Times New Roman" w:eastAsia="宋体"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842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E48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0226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补助标准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B6F6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A2E5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72000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5FD7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元</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94220">
            <w:pPr>
              <w:jc w:val="center"/>
              <w:rPr>
                <w:rFonts w:hint="default" w:ascii="Times New Roman" w:hAnsi="Times New Roman" w:eastAsia="微软雅黑" w:cs="Times New Roman"/>
                <w:i/>
                <w:iCs/>
                <w:color w:val="000000"/>
                <w:sz w:val="16"/>
                <w:szCs w:val="16"/>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C4E2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bl>
    <w:p w14:paraId="789B412C">
      <w:pPr>
        <w:spacing w:line="600" w:lineRule="exact"/>
        <w:jc w:val="both"/>
        <w:outlineLvl w:val="0"/>
        <w:rPr>
          <w:rFonts w:hint="default" w:ascii="Times New Roman" w:hAnsi="Times New Roman" w:eastAsia="仿宋_GB2312" w:cs="Times New Roman"/>
          <w:color w:val="auto"/>
          <w:sz w:val="32"/>
          <w:szCs w:val="24"/>
          <w:lang w:val="en-US"/>
        </w:rPr>
      </w:pPr>
    </w:p>
    <w:p w14:paraId="29FC24F5">
      <w:pPr>
        <w:spacing w:line="600" w:lineRule="exact"/>
        <w:jc w:val="center"/>
        <w:outlineLvl w:val="0"/>
        <w:rPr>
          <w:rFonts w:hint="default" w:ascii="Times New Roman" w:hAnsi="Times New Roman" w:eastAsia="黑体" w:cs="Times New Roman"/>
          <w:b w:val="0"/>
          <w:color w:val="auto"/>
          <w:sz w:val="32"/>
          <w:szCs w:val="32"/>
          <w:highlight w:val="none"/>
        </w:rPr>
      </w:pPr>
      <w:r>
        <w:rPr>
          <w:rFonts w:hint="default" w:ascii="Times New Roman" w:hAnsi="Times New Roman" w:eastAsia="黑体" w:cs="Times New Roman"/>
          <w:color w:val="auto"/>
          <w:sz w:val="32"/>
          <w:szCs w:val="32"/>
          <w:highlight w:val="none"/>
        </w:rPr>
        <w:t>第</w:t>
      </w:r>
      <w:r>
        <w:rPr>
          <w:rStyle w:val="32"/>
          <w:rFonts w:hint="default" w:ascii="Times New Roman" w:hAnsi="Times New Roman" w:eastAsia="黑体" w:cs="Times New Roman"/>
          <w:b w:val="0"/>
          <w:color w:val="auto"/>
          <w:sz w:val="32"/>
          <w:szCs w:val="32"/>
          <w:highlight w:val="none"/>
        </w:rPr>
        <w:t>五部分 附表</w:t>
      </w:r>
      <w:bookmarkEnd w:id="98"/>
      <w:bookmarkEnd w:id="102"/>
      <w:bookmarkEnd w:id="103"/>
      <w:bookmarkStart w:id="112" w:name="_Toc15396619"/>
    </w:p>
    <w:p w14:paraId="5B96BE1D">
      <w:pPr>
        <w:pStyle w:val="6"/>
        <w:rPr>
          <w:rFonts w:hint="default" w:ascii="Times New Roman" w:hAnsi="Times New Roman" w:eastAsia="仿宋_GB2312" w:cs="Times New Roman"/>
          <w:color w:val="auto"/>
          <w:sz w:val="32"/>
          <w:szCs w:val="32"/>
          <w:highlight w:val="none"/>
        </w:rPr>
      </w:pPr>
      <w:bookmarkStart w:id="113" w:name="_Toc12193"/>
      <w:r>
        <w:rPr>
          <w:rFonts w:hint="default" w:ascii="Times New Roman" w:hAnsi="Times New Roman" w:eastAsia="仿宋_GB2312" w:cs="Times New Roman"/>
          <w:b w:val="0"/>
          <w:color w:val="auto"/>
          <w:sz w:val="32"/>
          <w:szCs w:val="32"/>
          <w:highlight w:val="none"/>
        </w:rPr>
        <w:t>一、收</w:t>
      </w:r>
      <w:r>
        <w:rPr>
          <w:rStyle w:val="33"/>
          <w:rFonts w:hint="default" w:ascii="Times New Roman" w:hAnsi="Times New Roman" w:eastAsia="仿宋_GB2312" w:cs="Times New Roman"/>
          <w:b w:val="0"/>
          <w:bCs w:val="0"/>
          <w:color w:val="auto"/>
          <w:sz w:val="32"/>
          <w:szCs w:val="32"/>
          <w:highlight w:val="none"/>
        </w:rPr>
        <w:t>入支出决算总表</w:t>
      </w:r>
      <w:bookmarkEnd w:id="112"/>
      <w:bookmarkEnd w:id="113"/>
    </w:p>
    <w:p w14:paraId="5ED48464">
      <w:pPr>
        <w:pStyle w:val="6"/>
        <w:rPr>
          <w:rFonts w:hint="default" w:ascii="Times New Roman" w:hAnsi="Times New Roman" w:eastAsia="仿宋_GB2312" w:cs="Times New Roman"/>
          <w:color w:val="auto"/>
          <w:sz w:val="32"/>
          <w:szCs w:val="32"/>
          <w:highlight w:val="none"/>
        </w:rPr>
      </w:pPr>
      <w:bookmarkStart w:id="114" w:name="_Toc15396620"/>
      <w:bookmarkStart w:id="115" w:name="_Toc2844"/>
      <w:r>
        <w:rPr>
          <w:rFonts w:hint="default" w:ascii="Times New Roman" w:hAnsi="Times New Roman" w:eastAsia="仿宋_GB2312" w:cs="Times New Roman"/>
          <w:b w:val="0"/>
          <w:color w:val="auto"/>
          <w:sz w:val="32"/>
          <w:szCs w:val="32"/>
          <w:highlight w:val="none"/>
        </w:rPr>
        <w:t>二、收</w:t>
      </w:r>
      <w:r>
        <w:rPr>
          <w:rStyle w:val="33"/>
          <w:rFonts w:hint="default" w:ascii="Times New Roman" w:hAnsi="Times New Roman" w:eastAsia="仿宋_GB2312" w:cs="Times New Roman"/>
          <w:b w:val="0"/>
          <w:bCs w:val="0"/>
          <w:color w:val="auto"/>
          <w:sz w:val="32"/>
          <w:szCs w:val="32"/>
          <w:highlight w:val="none"/>
        </w:rPr>
        <w:t>入决算表</w:t>
      </w:r>
      <w:bookmarkEnd w:id="114"/>
      <w:bookmarkEnd w:id="115"/>
    </w:p>
    <w:p w14:paraId="37278D36">
      <w:pPr>
        <w:pStyle w:val="6"/>
        <w:rPr>
          <w:rFonts w:hint="default" w:ascii="Times New Roman" w:hAnsi="Times New Roman" w:eastAsia="仿宋_GB2312" w:cs="Times New Roman"/>
          <w:color w:val="auto"/>
          <w:sz w:val="32"/>
          <w:szCs w:val="32"/>
          <w:highlight w:val="none"/>
        </w:rPr>
      </w:pPr>
      <w:bookmarkStart w:id="116" w:name="_Toc15396621"/>
      <w:bookmarkStart w:id="117" w:name="_Toc6085"/>
      <w:r>
        <w:rPr>
          <w:rStyle w:val="33"/>
          <w:rFonts w:hint="default" w:ascii="Times New Roman" w:hAnsi="Times New Roman" w:eastAsia="仿宋_GB2312" w:cs="Times New Roman"/>
          <w:b w:val="0"/>
          <w:bCs w:val="0"/>
          <w:color w:val="auto"/>
          <w:sz w:val="32"/>
          <w:szCs w:val="32"/>
          <w:highlight w:val="none"/>
        </w:rPr>
        <w:t>三、</w:t>
      </w:r>
      <w:r>
        <w:rPr>
          <w:rFonts w:hint="default" w:ascii="Times New Roman" w:hAnsi="Times New Roman" w:eastAsia="仿宋_GB2312" w:cs="Times New Roman"/>
          <w:b w:val="0"/>
          <w:color w:val="auto"/>
          <w:sz w:val="32"/>
          <w:szCs w:val="32"/>
          <w:highlight w:val="none"/>
        </w:rPr>
        <w:t>支</w:t>
      </w:r>
      <w:r>
        <w:rPr>
          <w:rStyle w:val="33"/>
          <w:rFonts w:hint="default" w:ascii="Times New Roman" w:hAnsi="Times New Roman" w:eastAsia="仿宋_GB2312" w:cs="Times New Roman"/>
          <w:b w:val="0"/>
          <w:bCs w:val="0"/>
          <w:color w:val="auto"/>
          <w:sz w:val="32"/>
          <w:szCs w:val="32"/>
          <w:highlight w:val="none"/>
        </w:rPr>
        <w:t>出决算表</w:t>
      </w:r>
      <w:bookmarkEnd w:id="116"/>
      <w:bookmarkEnd w:id="117"/>
    </w:p>
    <w:p w14:paraId="682B79C5">
      <w:pPr>
        <w:pStyle w:val="6"/>
        <w:rPr>
          <w:rFonts w:hint="default" w:ascii="Times New Roman" w:hAnsi="Times New Roman" w:eastAsia="仿宋_GB2312" w:cs="Times New Roman"/>
          <w:b w:val="0"/>
          <w:color w:val="auto"/>
          <w:sz w:val="32"/>
          <w:szCs w:val="32"/>
          <w:highlight w:val="none"/>
        </w:rPr>
      </w:pPr>
      <w:bookmarkStart w:id="118" w:name="_Toc7790"/>
      <w:bookmarkStart w:id="119" w:name="_Toc15396622"/>
      <w:r>
        <w:rPr>
          <w:rStyle w:val="33"/>
          <w:rFonts w:hint="default" w:ascii="Times New Roman" w:hAnsi="Times New Roman" w:eastAsia="仿宋_GB2312" w:cs="Times New Roman"/>
          <w:b w:val="0"/>
          <w:bCs w:val="0"/>
          <w:color w:val="auto"/>
          <w:sz w:val="32"/>
          <w:szCs w:val="32"/>
          <w:highlight w:val="none"/>
        </w:rPr>
        <w:t>四、</w:t>
      </w:r>
      <w:r>
        <w:rPr>
          <w:rFonts w:hint="default" w:ascii="Times New Roman" w:hAnsi="Times New Roman" w:eastAsia="仿宋_GB2312" w:cs="Times New Roman"/>
          <w:b w:val="0"/>
          <w:color w:val="auto"/>
          <w:sz w:val="32"/>
          <w:szCs w:val="32"/>
          <w:highlight w:val="none"/>
        </w:rPr>
        <w:t>财</w:t>
      </w:r>
      <w:r>
        <w:rPr>
          <w:rStyle w:val="33"/>
          <w:rFonts w:hint="default" w:ascii="Times New Roman" w:hAnsi="Times New Roman" w:eastAsia="仿宋_GB2312" w:cs="Times New Roman"/>
          <w:b w:val="0"/>
          <w:bCs w:val="0"/>
          <w:color w:val="auto"/>
          <w:sz w:val="32"/>
          <w:szCs w:val="32"/>
          <w:highlight w:val="none"/>
        </w:rPr>
        <w:t>政拨款收入支出决算总表</w:t>
      </w:r>
      <w:bookmarkEnd w:id="118"/>
      <w:bookmarkEnd w:id="119"/>
    </w:p>
    <w:p w14:paraId="5AF1DF22">
      <w:pPr>
        <w:pStyle w:val="6"/>
        <w:rPr>
          <w:rStyle w:val="33"/>
          <w:rFonts w:hint="default" w:ascii="Times New Roman" w:hAnsi="Times New Roman" w:eastAsia="仿宋_GB2312" w:cs="Times New Roman"/>
          <w:b w:val="0"/>
          <w:bCs w:val="0"/>
          <w:color w:val="auto"/>
          <w:sz w:val="32"/>
          <w:szCs w:val="32"/>
          <w:highlight w:val="none"/>
        </w:rPr>
      </w:pPr>
      <w:bookmarkStart w:id="120" w:name="_Toc9912"/>
      <w:bookmarkStart w:id="121" w:name="_Toc15396623"/>
      <w:r>
        <w:rPr>
          <w:rStyle w:val="33"/>
          <w:rFonts w:hint="default" w:ascii="Times New Roman" w:hAnsi="Times New Roman" w:eastAsia="仿宋_GB2312" w:cs="Times New Roman"/>
          <w:b w:val="0"/>
          <w:bCs w:val="0"/>
          <w:color w:val="auto"/>
          <w:sz w:val="32"/>
          <w:szCs w:val="32"/>
          <w:highlight w:val="none"/>
        </w:rPr>
        <w:t>五、</w:t>
      </w:r>
      <w:r>
        <w:rPr>
          <w:rFonts w:hint="default" w:ascii="Times New Roman" w:hAnsi="Times New Roman" w:eastAsia="仿宋_GB2312" w:cs="Times New Roman"/>
          <w:b w:val="0"/>
          <w:color w:val="auto"/>
          <w:sz w:val="32"/>
          <w:szCs w:val="32"/>
          <w:highlight w:val="none"/>
        </w:rPr>
        <w:t>财</w:t>
      </w:r>
      <w:r>
        <w:rPr>
          <w:rStyle w:val="33"/>
          <w:rFonts w:hint="default" w:ascii="Times New Roman" w:hAnsi="Times New Roman" w:eastAsia="仿宋_GB2312" w:cs="Times New Roman"/>
          <w:b w:val="0"/>
          <w:bCs w:val="0"/>
          <w:color w:val="auto"/>
          <w:sz w:val="32"/>
          <w:szCs w:val="32"/>
          <w:highlight w:val="none"/>
        </w:rPr>
        <w:t>政拨款支出决算明细表</w:t>
      </w:r>
      <w:bookmarkEnd w:id="120"/>
      <w:bookmarkEnd w:id="121"/>
      <w:bookmarkStart w:id="122" w:name="_Toc15396624"/>
    </w:p>
    <w:p w14:paraId="71206D25">
      <w:pPr>
        <w:pStyle w:val="6"/>
        <w:rPr>
          <w:rFonts w:hint="default" w:ascii="Times New Roman" w:hAnsi="Times New Roman" w:eastAsia="仿宋_GB2312" w:cs="Times New Roman"/>
          <w:color w:val="auto"/>
          <w:sz w:val="32"/>
          <w:szCs w:val="32"/>
          <w:highlight w:val="none"/>
        </w:rPr>
      </w:pPr>
      <w:bookmarkStart w:id="123" w:name="_Toc4723"/>
      <w:r>
        <w:rPr>
          <w:rStyle w:val="33"/>
          <w:rFonts w:hint="default" w:ascii="Times New Roman" w:hAnsi="Times New Roman" w:eastAsia="仿宋_GB2312" w:cs="Times New Roman"/>
          <w:b w:val="0"/>
          <w:bCs w:val="0"/>
          <w:color w:val="auto"/>
          <w:sz w:val="32"/>
          <w:szCs w:val="32"/>
          <w:highlight w:val="none"/>
        </w:rPr>
        <w:t>六、</w:t>
      </w:r>
      <w:r>
        <w:rPr>
          <w:rFonts w:hint="default" w:ascii="Times New Roman" w:hAnsi="Times New Roman" w:eastAsia="仿宋_GB2312" w:cs="Times New Roman"/>
          <w:b w:val="0"/>
          <w:color w:val="auto"/>
          <w:sz w:val="32"/>
          <w:szCs w:val="32"/>
          <w:highlight w:val="none"/>
        </w:rPr>
        <w:t>一</w:t>
      </w:r>
      <w:r>
        <w:rPr>
          <w:rStyle w:val="33"/>
          <w:rFonts w:hint="default" w:ascii="Times New Roman" w:hAnsi="Times New Roman" w:eastAsia="仿宋_GB2312" w:cs="Times New Roman"/>
          <w:b w:val="0"/>
          <w:bCs w:val="0"/>
          <w:color w:val="auto"/>
          <w:sz w:val="32"/>
          <w:szCs w:val="32"/>
          <w:highlight w:val="none"/>
        </w:rPr>
        <w:t>般公共预算财政拨款支出决算表</w:t>
      </w:r>
      <w:bookmarkEnd w:id="122"/>
      <w:bookmarkEnd w:id="123"/>
    </w:p>
    <w:p w14:paraId="47FB27CD">
      <w:pPr>
        <w:pStyle w:val="6"/>
        <w:rPr>
          <w:rFonts w:hint="default" w:ascii="Times New Roman" w:hAnsi="Times New Roman" w:eastAsia="仿宋_GB2312" w:cs="Times New Roman"/>
          <w:color w:val="auto"/>
          <w:sz w:val="32"/>
          <w:szCs w:val="32"/>
          <w:highlight w:val="none"/>
        </w:rPr>
      </w:pPr>
      <w:bookmarkStart w:id="124" w:name="_Toc29991"/>
      <w:bookmarkStart w:id="125" w:name="_Toc15396625"/>
      <w:r>
        <w:rPr>
          <w:rStyle w:val="33"/>
          <w:rFonts w:hint="default" w:ascii="Times New Roman" w:hAnsi="Times New Roman" w:eastAsia="仿宋_GB2312" w:cs="Times New Roman"/>
          <w:b w:val="0"/>
          <w:bCs w:val="0"/>
          <w:color w:val="auto"/>
          <w:sz w:val="32"/>
          <w:szCs w:val="32"/>
          <w:highlight w:val="none"/>
        </w:rPr>
        <w:t>七、</w:t>
      </w:r>
      <w:r>
        <w:rPr>
          <w:rFonts w:hint="default" w:ascii="Times New Roman" w:hAnsi="Times New Roman" w:eastAsia="仿宋_GB2312" w:cs="Times New Roman"/>
          <w:b w:val="0"/>
          <w:color w:val="auto"/>
          <w:sz w:val="32"/>
          <w:szCs w:val="32"/>
          <w:highlight w:val="none"/>
        </w:rPr>
        <w:t>一</w:t>
      </w:r>
      <w:r>
        <w:rPr>
          <w:rStyle w:val="33"/>
          <w:rFonts w:hint="default" w:ascii="Times New Roman" w:hAnsi="Times New Roman" w:eastAsia="仿宋_GB2312" w:cs="Times New Roman"/>
          <w:b w:val="0"/>
          <w:bCs w:val="0"/>
          <w:color w:val="auto"/>
          <w:sz w:val="32"/>
          <w:szCs w:val="32"/>
          <w:highlight w:val="none"/>
        </w:rPr>
        <w:t>般公共预算财政拨款支出决算明细表</w:t>
      </w:r>
      <w:bookmarkEnd w:id="124"/>
      <w:bookmarkEnd w:id="125"/>
    </w:p>
    <w:p w14:paraId="31F5FC84">
      <w:pPr>
        <w:pStyle w:val="6"/>
        <w:rPr>
          <w:rFonts w:hint="default" w:ascii="Times New Roman" w:hAnsi="Times New Roman" w:eastAsia="仿宋_GB2312" w:cs="Times New Roman"/>
          <w:color w:val="auto"/>
          <w:sz w:val="32"/>
          <w:szCs w:val="32"/>
          <w:highlight w:val="none"/>
        </w:rPr>
      </w:pPr>
      <w:bookmarkStart w:id="126" w:name="_Toc15396626"/>
      <w:bookmarkStart w:id="127" w:name="_Toc78"/>
      <w:r>
        <w:rPr>
          <w:rStyle w:val="33"/>
          <w:rFonts w:hint="default" w:ascii="Times New Roman" w:hAnsi="Times New Roman" w:eastAsia="仿宋_GB2312" w:cs="Times New Roman"/>
          <w:b w:val="0"/>
          <w:bCs w:val="0"/>
          <w:color w:val="auto"/>
          <w:sz w:val="32"/>
          <w:szCs w:val="32"/>
          <w:highlight w:val="none"/>
        </w:rPr>
        <w:t>八、</w:t>
      </w:r>
      <w:r>
        <w:rPr>
          <w:rFonts w:hint="default" w:ascii="Times New Roman" w:hAnsi="Times New Roman" w:eastAsia="仿宋_GB2312" w:cs="Times New Roman"/>
          <w:b w:val="0"/>
          <w:color w:val="auto"/>
          <w:sz w:val="32"/>
          <w:szCs w:val="32"/>
          <w:highlight w:val="none"/>
        </w:rPr>
        <w:t>一</w:t>
      </w:r>
      <w:r>
        <w:rPr>
          <w:rStyle w:val="33"/>
          <w:rFonts w:hint="default" w:ascii="Times New Roman" w:hAnsi="Times New Roman" w:eastAsia="仿宋_GB2312" w:cs="Times New Roman"/>
          <w:b w:val="0"/>
          <w:bCs w:val="0"/>
          <w:color w:val="auto"/>
          <w:sz w:val="32"/>
          <w:szCs w:val="32"/>
          <w:highlight w:val="none"/>
        </w:rPr>
        <w:t>般公共预算财政拨款基本支出决算表</w:t>
      </w:r>
      <w:bookmarkEnd w:id="126"/>
      <w:bookmarkEnd w:id="127"/>
    </w:p>
    <w:p w14:paraId="0F670F7D">
      <w:pPr>
        <w:pStyle w:val="6"/>
        <w:rPr>
          <w:rFonts w:hint="default" w:ascii="Times New Roman" w:hAnsi="Times New Roman" w:eastAsia="仿宋_GB2312" w:cs="Times New Roman"/>
          <w:color w:val="auto"/>
          <w:sz w:val="32"/>
          <w:szCs w:val="32"/>
          <w:highlight w:val="none"/>
        </w:rPr>
      </w:pPr>
      <w:bookmarkStart w:id="128" w:name="_Toc5698"/>
      <w:bookmarkStart w:id="129" w:name="_Toc15396627"/>
      <w:r>
        <w:rPr>
          <w:rStyle w:val="33"/>
          <w:rFonts w:hint="default" w:ascii="Times New Roman" w:hAnsi="Times New Roman" w:eastAsia="仿宋_GB2312" w:cs="Times New Roman"/>
          <w:b w:val="0"/>
          <w:bCs w:val="0"/>
          <w:color w:val="auto"/>
          <w:sz w:val="32"/>
          <w:szCs w:val="32"/>
          <w:highlight w:val="none"/>
        </w:rPr>
        <w:t>九、</w:t>
      </w:r>
      <w:r>
        <w:rPr>
          <w:rFonts w:hint="default" w:ascii="Times New Roman" w:hAnsi="Times New Roman" w:eastAsia="仿宋_GB2312" w:cs="Times New Roman"/>
          <w:b w:val="0"/>
          <w:color w:val="auto"/>
          <w:sz w:val="32"/>
          <w:szCs w:val="32"/>
          <w:highlight w:val="none"/>
        </w:rPr>
        <w:t>一</w:t>
      </w:r>
      <w:r>
        <w:rPr>
          <w:rStyle w:val="33"/>
          <w:rFonts w:hint="default" w:ascii="Times New Roman" w:hAnsi="Times New Roman" w:eastAsia="仿宋_GB2312" w:cs="Times New Roman"/>
          <w:b w:val="0"/>
          <w:bCs w:val="0"/>
          <w:color w:val="auto"/>
          <w:sz w:val="32"/>
          <w:szCs w:val="32"/>
          <w:highlight w:val="none"/>
        </w:rPr>
        <w:t>般公共预算财政拨款项目支出决算表</w:t>
      </w:r>
      <w:bookmarkEnd w:id="128"/>
      <w:bookmarkEnd w:id="129"/>
    </w:p>
    <w:p w14:paraId="57FB9CD3">
      <w:pPr>
        <w:pStyle w:val="6"/>
        <w:rPr>
          <w:rFonts w:hint="default" w:ascii="Times New Roman" w:hAnsi="Times New Roman" w:eastAsia="仿宋_GB2312" w:cs="Times New Roman"/>
          <w:color w:val="auto"/>
          <w:sz w:val="32"/>
          <w:szCs w:val="32"/>
          <w:highlight w:val="none"/>
        </w:rPr>
      </w:pPr>
      <w:bookmarkStart w:id="130" w:name="_Toc15396628"/>
      <w:bookmarkStart w:id="131" w:name="_Toc31388"/>
      <w:r>
        <w:rPr>
          <w:rStyle w:val="33"/>
          <w:rFonts w:hint="default" w:ascii="Times New Roman" w:hAnsi="Times New Roman" w:eastAsia="仿宋_GB2312" w:cs="Times New Roman"/>
          <w:b w:val="0"/>
          <w:bCs w:val="0"/>
          <w:color w:val="auto"/>
          <w:sz w:val="32"/>
          <w:szCs w:val="32"/>
          <w:highlight w:val="none"/>
        </w:rPr>
        <w:t>十、</w:t>
      </w:r>
      <w:bookmarkEnd w:id="130"/>
      <w:r>
        <w:rPr>
          <w:rFonts w:hint="default" w:ascii="Times New Roman" w:hAnsi="Times New Roman" w:eastAsia="仿宋_GB2312" w:cs="Times New Roman"/>
          <w:b w:val="0"/>
          <w:color w:val="auto"/>
          <w:sz w:val="32"/>
          <w:szCs w:val="32"/>
          <w:highlight w:val="none"/>
        </w:rPr>
        <w:t>政</w:t>
      </w:r>
      <w:r>
        <w:rPr>
          <w:rStyle w:val="33"/>
          <w:rFonts w:hint="default" w:ascii="Times New Roman" w:hAnsi="Times New Roman" w:eastAsia="仿宋_GB2312" w:cs="Times New Roman"/>
          <w:b w:val="0"/>
          <w:bCs w:val="0"/>
          <w:color w:val="auto"/>
          <w:sz w:val="32"/>
          <w:szCs w:val="32"/>
          <w:highlight w:val="none"/>
        </w:rPr>
        <w:t>府性基金预算财政拨款收入支出决算表</w:t>
      </w:r>
      <w:bookmarkEnd w:id="131"/>
    </w:p>
    <w:p w14:paraId="34E7D114">
      <w:pPr>
        <w:pStyle w:val="6"/>
        <w:rPr>
          <w:rFonts w:hint="default" w:ascii="Times New Roman" w:hAnsi="Times New Roman" w:eastAsia="仿宋_GB2312" w:cs="Times New Roman"/>
          <w:color w:val="auto"/>
          <w:sz w:val="32"/>
          <w:szCs w:val="32"/>
          <w:highlight w:val="none"/>
        </w:rPr>
      </w:pPr>
      <w:bookmarkStart w:id="132" w:name="_Toc15396629"/>
      <w:bookmarkStart w:id="133" w:name="_Toc13722"/>
      <w:r>
        <w:rPr>
          <w:rStyle w:val="33"/>
          <w:rFonts w:hint="default" w:ascii="Times New Roman" w:hAnsi="Times New Roman" w:eastAsia="仿宋_GB2312" w:cs="Times New Roman"/>
          <w:b w:val="0"/>
          <w:bCs w:val="0"/>
          <w:color w:val="auto"/>
          <w:sz w:val="32"/>
          <w:szCs w:val="32"/>
          <w:highlight w:val="none"/>
        </w:rPr>
        <w:t>十一、</w:t>
      </w:r>
      <w:bookmarkEnd w:id="132"/>
      <w:r>
        <w:rPr>
          <w:rFonts w:hint="default" w:ascii="Times New Roman" w:hAnsi="Times New Roman" w:eastAsia="仿宋_GB2312" w:cs="Times New Roman"/>
          <w:b w:val="0"/>
          <w:color w:val="auto"/>
          <w:sz w:val="32"/>
          <w:szCs w:val="32"/>
          <w:highlight w:val="none"/>
        </w:rPr>
        <w:t>国</w:t>
      </w:r>
      <w:r>
        <w:rPr>
          <w:rStyle w:val="33"/>
          <w:rFonts w:hint="default" w:ascii="Times New Roman" w:hAnsi="Times New Roman" w:eastAsia="仿宋_GB2312" w:cs="Times New Roman"/>
          <w:b w:val="0"/>
          <w:bCs w:val="0"/>
          <w:color w:val="auto"/>
          <w:sz w:val="32"/>
          <w:szCs w:val="32"/>
          <w:highlight w:val="none"/>
        </w:rPr>
        <w:t>有资本经营预算</w:t>
      </w:r>
      <w:r>
        <w:rPr>
          <w:rStyle w:val="33"/>
          <w:rFonts w:hint="default" w:ascii="Times New Roman" w:hAnsi="Times New Roman" w:eastAsia="仿宋_GB2312" w:cs="Times New Roman"/>
          <w:b w:val="0"/>
          <w:bCs w:val="0"/>
          <w:color w:val="auto"/>
          <w:sz w:val="32"/>
          <w:szCs w:val="32"/>
          <w:highlight w:val="none"/>
          <w:lang w:eastAsia="zh-CN"/>
        </w:rPr>
        <w:t>财政拨款收入</w:t>
      </w:r>
      <w:r>
        <w:rPr>
          <w:rStyle w:val="33"/>
          <w:rFonts w:hint="default" w:ascii="Times New Roman" w:hAnsi="Times New Roman" w:eastAsia="仿宋_GB2312" w:cs="Times New Roman"/>
          <w:b w:val="0"/>
          <w:bCs w:val="0"/>
          <w:color w:val="auto"/>
          <w:sz w:val="32"/>
          <w:szCs w:val="32"/>
          <w:highlight w:val="none"/>
        </w:rPr>
        <w:t>支出决算表</w:t>
      </w:r>
      <w:bookmarkEnd w:id="133"/>
    </w:p>
    <w:p w14:paraId="0E19957F">
      <w:pPr>
        <w:pStyle w:val="6"/>
        <w:rPr>
          <w:rFonts w:hint="default" w:ascii="Times New Roman" w:hAnsi="Times New Roman" w:eastAsia="仿宋_GB2312" w:cs="Times New Roman"/>
          <w:color w:val="auto"/>
          <w:sz w:val="32"/>
          <w:szCs w:val="32"/>
          <w:highlight w:val="none"/>
        </w:rPr>
      </w:pPr>
      <w:bookmarkStart w:id="134" w:name="_Toc15396630"/>
      <w:bookmarkStart w:id="135" w:name="_Toc31854"/>
      <w:r>
        <w:rPr>
          <w:rStyle w:val="33"/>
          <w:rFonts w:hint="default" w:ascii="Times New Roman" w:hAnsi="Times New Roman" w:eastAsia="仿宋_GB2312" w:cs="Times New Roman"/>
          <w:b w:val="0"/>
          <w:bCs w:val="0"/>
          <w:color w:val="auto"/>
          <w:sz w:val="32"/>
          <w:szCs w:val="32"/>
          <w:highlight w:val="none"/>
        </w:rPr>
        <w:t>十二、</w:t>
      </w:r>
      <w:bookmarkEnd w:id="134"/>
      <w:r>
        <w:rPr>
          <w:rStyle w:val="33"/>
          <w:rFonts w:hint="default" w:ascii="Times New Roman" w:hAnsi="Times New Roman" w:eastAsia="仿宋_GB2312" w:cs="Times New Roman"/>
          <w:b w:val="0"/>
          <w:bCs w:val="0"/>
          <w:color w:val="auto"/>
          <w:sz w:val="32"/>
          <w:szCs w:val="32"/>
          <w:highlight w:val="none"/>
          <w:lang w:eastAsia="zh-CN"/>
        </w:rPr>
        <w:t>国有资本经营预算财政拨款支出决算表</w:t>
      </w:r>
      <w:bookmarkEnd w:id="135"/>
    </w:p>
    <w:p w14:paraId="1E600A57">
      <w:pPr>
        <w:pStyle w:val="6"/>
        <w:rPr>
          <w:rFonts w:hint="default" w:ascii="Times New Roman" w:hAnsi="Times New Roman" w:eastAsia="仿宋_GB2312" w:cs="Times New Roman"/>
          <w:color w:val="auto"/>
          <w:sz w:val="32"/>
          <w:szCs w:val="32"/>
          <w:highlight w:val="none"/>
          <w:lang w:eastAsia="zh-CN"/>
        </w:rPr>
      </w:pPr>
      <w:bookmarkStart w:id="136" w:name="_Toc15396631"/>
      <w:bookmarkStart w:id="137" w:name="_Toc28856"/>
      <w:r>
        <w:rPr>
          <w:rStyle w:val="33"/>
          <w:rFonts w:hint="default" w:ascii="Times New Roman" w:hAnsi="Times New Roman" w:eastAsia="仿宋_GB2312" w:cs="Times New Roman"/>
          <w:b w:val="0"/>
          <w:bCs w:val="0"/>
          <w:color w:val="auto"/>
          <w:sz w:val="32"/>
          <w:szCs w:val="32"/>
          <w:highlight w:val="none"/>
        </w:rPr>
        <w:t>十三、</w:t>
      </w:r>
      <w:bookmarkEnd w:id="136"/>
      <w:r>
        <w:rPr>
          <w:rStyle w:val="33"/>
          <w:rFonts w:hint="default" w:ascii="Times New Roman" w:hAnsi="Times New Roman" w:eastAsia="仿宋_GB2312" w:cs="Times New Roman"/>
          <w:b w:val="0"/>
          <w:bCs w:val="0"/>
          <w:color w:val="auto"/>
          <w:sz w:val="32"/>
          <w:szCs w:val="32"/>
          <w:highlight w:val="none"/>
          <w:lang w:eastAsia="zh-CN"/>
        </w:rPr>
        <w:t>财政拨款“三公”经费支出决算表</w:t>
      </w:r>
      <w:bookmarkEnd w:id="137"/>
    </w:p>
    <w:sectPr>
      <w:footerReference r:id="rId9" w:type="first"/>
      <w:footerReference r:id="rId8" w:type="default"/>
      <w:pgSz w:w="11906" w:h="16838"/>
      <w:pgMar w:top="2098" w:right="1474" w:bottom="1984" w:left="1587"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Cambria">
    <w:altName w:val="DejaVu Math TeX Gyre"/>
    <w:panose1 w:val="02040503050406030204"/>
    <w:charset w:val="00"/>
    <w:family w:val="roman"/>
    <w:pitch w:val="default"/>
    <w:sig w:usb0="00000000" w:usb1="00000000" w:usb2="02000000" w:usb3="00000000" w:csb0="2000019F" w:csb1="00000000"/>
  </w:font>
  <w:font w:name="Calibri Light">
    <w:altName w:val="NumberOnly"/>
    <w:panose1 w:val="020F0302020204030204"/>
    <w:charset w:val="00"/>
    <w:family w:val="swiss"/>
    <w:pitch w:val="default"/>
    <w:sig w:usb0="00000000" w:usb1="00000000"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egoe UI">
    <w:panose1 w:val="020B0502040204020203"/>
    <w:charset w:val="00"/>
    <w:family w:val="auto"/>
    <w:pitch w:val="default"/>
    <w:sig w:usb0="E10022FF" w:usb1="C000E47F" w:usb2="00000029" w:usb3="00000000" w:csb0="200001DF" w:csb1="20000000"/>
  </w:font>
  <w:font w:name="DejaVu Math TeX Gyre">
    <w:panose1 w:val="02000503000000000000"/>
    <w:charset w:val="00"/>
    <w:family w:val="auto"/>
    <w:pitch w:val="default"/>
    <w:sig w:usb0="A10000EF" w:usb1="4201F9EE" w:usb2="02000000" w:usb3="00000000" w:csb0="60000193" w:csb1="0DD40000"/>
  </w:font>
  <w:font w:name="NumberOnly">
    <w:panose1 w:val="020B0500000000000000"/>
    <w:charset w:val="00"/>
    <w:family w:val="auto"/>
    <w:pitch w:val="default"/>
    <w:sig w:usb0="8000002F" w:usb1="10000048" w:usb2="00000000" w:usb3="00000000" w:csb0="00000111" w:csb1="40000000"/>
  </w:font>
  <w:font w:name="MT Extra">
    <w:panose1 w:val="05050102010205020202"/>
    <w:charset w:val="00"/>
    <w:family w:val="auto"/>
    <w:pitch w:val="default"/>
    <w:sig w:usb0="80000000" w:usb1="00000000" w:usb2="00000000" w:usb3="00000000" w:csb0="00000000" w:csb1="00000000"/>
  </w:font>
  <w:font w:name="Segoe UI Symbol">
    <w:panose1 w:val="020B0502040204020203"/>
    <w:charset w:val="00"/>
    <w:family w:val="auto"/>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66BD2134">
        <w:pPr>
          <w:pStyle w:val="14"/>
          <w:jc w:val="center"/>
        </w:pPr>
        <w:r>
          <w:fldChar w:fldCharType="begin"/>
        </w:r>
        <w:r>
          <w:instrText xml:space="preserve">PAGE   \* MERGEFORMAT</w:instrText>
        </w:r>
        <w:r>
          <w:fldChar w:fldCharType="separate"/>
        </w:r>
        <w:r>
          <w:rPr>
            <w:lang w:val="zh-CN"/>
          </w:rPr>
          <w:t>8</w:t>
        </w:r>
        <w:r>
          <w:fldChar w:fldCharType="end"/>
        </w:r>
      </w:p>
    </w:sdtContent>
  </w:sdt>
  <w:p w14:paraId="2E0EB0E4">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1158A">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CF189">
    <w:pPr>
      <w:pStyle w:val="1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2561"/>
                          </w:sdtPr>
                          <w:sdtContent>
                            <w:p w14:paraId="1A9C3D54">
                              <w:pPr>
                                <w:pStyle w:val="14"/>
                                <w:jc w:val="center"/>
                              </w:pPr>
                              <w:r>
                                <w:fldChar w:fldCharType="begin"/>
                              </w:r>
                              <w:r>
                                <w:instrText xml:space="preserve">PAGE   \* MERGEFORMAT</w:instrText>
                              </w:r>
                              <w:r>
                                <w:fldChar w:fldCharType="separate"/>
                              </w:r>
                              <w:r>
                                <w:rPr>
                                  <w:lang w:val="zh-CN"/>
                                </w:rPr>
                                <w:t>8</w:t>
                              </w:r>
                              <w:r>
                                <w:fldChar w:fldCharType="end"/>
                              </w:r>
                            </w:p>
                          </w:sdtContent>
                        </w:sdt>
                        <w:p w14:paraId="3A650E4A">
                          <w:pPr>
                            <w:pStyle w:val="1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52561"/>
                    </w:sdtPr>
                    <w:sdtContent>
                      <w:p w14:paraId="1A9C3D54">
                        <w:pPr>
                          <w:pStyle w:val="14"/>
                          <w:jc w:val="center"/>
                        </w:pPr>
                        <w:r>
                          <w:fldChar w:fldCharType="begin"/>
                        </w:r>
                        <w:r>
                          <w:instrText xml:space="preserve">PAGE   \* MERGEFORMAT</w:instrText>
                        </w:r>
                        <w:r>
                          <w:fldChar w:fldCharType="separate"/>
                        </w:r>
                        <w:r>
                          <w:rPr>
                            <w:lang w:val="zh-CN"/>
                          </w:rPr>
                          <w:t>8</w:t>
                        </w:r>
                        <w:r>
                          <w:fldChar w:fldCharType="end"/>
                        </w:r>
                      </w:p>
                    </w:sdtContent>
                  </w:sdt>
                  <w:p w14:paraId="3A650E4A">
                    <w:pPr>
                      <w:pStyle w:val="11"/>
                    </w:pPr>
                  </w:p>
                </w:txbxContent>
              </v:textbox>
            </v:shape>
          </w:pict>
        </mc:Fallback>
      </mc:AlternateContent>
    </w:r>
  </w:p>
  <w:p w14:paraId="4EA1F1CB">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39326">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CE762B">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2CE762B">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02BCD">
    <w:pPr>
      <w:pStyle w:val="1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1277"/>
                          </w:sdtPr>
                          <w:sdtContent>
                            <w:p w14:paraId="199E75A0">
                              <w:pPr>
                                <w:pStyle w:val="14"/>
                                <w:jc w:val="center"/>
                              </w:pPr>
                              <w:r>
                                <w:fldChar w:fldCharType="begin"/>
                              </w:r>
                              <w:r>
                                <w:instrText xml:space="preserve">PAGE   \* MERGEFORMAT</w:instrText>
                              </w:r>
                              <w:r>
                                <w:fldChar w:fldCharType="separate"/>
                              </w:r>
                              <w:r>
                                <w:rPr>
                                  <w:lang w:val="zh-CN"/>
                                </w:rPr>
                                <w:t>8</w:t>
                              </w:r>
                              <w:r>
                                <w:fldChar w:fldCharType="end"/>
                              </w:r>
                            </w:p>
                          </w:sdtContent>
                        </w:sdt>
                        <w:p w14:paraId="706EA7CF">
                          <w:pPr>
                            <w:pStyle w:val="1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147451277"/>
                    </w:sdtPr>
                    <w:sdtContent>
                      <w:p w14:paraId="199E75A0">
                        <w:pPr>
                          <w:pStyle w:val="14"/>
                          <w:jc w:val="center"/>
                        </w:pPr>
                        <w:r>
                          <w:fldChar w:fldCharType="begin"/>
                        </w:r>
                        <w:r>
                          <w:instrText xml:space="preserve">PAGE   \* MERGEFORMAT</w:instrText>
                        </w:r>
                        <w:r>
                          <w:fldChar w:fldCharType="separate"/>
                        </w:r>
                        <w:r>
                          <w:rPr>
                            <w:lang w:val="zh-CN"/>
                          </w:rPr>
                          <w:t>8</w:t>
                        </w:r>
                        <w:r>
                          <w:fldChar w:fldCharType="end"/>
                        </w:r>
                      </w:p>
                    </w:sdtContent>
                  </w:sdt>
                  <w:p w14:paraId="706EA7CF">
                    <w:pPr>
                      <w:pStyle w:val="11"/>
                    </w:pPr>
                  </w:p>
                </w:txbxContent>
              </v:textbox>
            </v:shape>
          </w:pict>
        </mc:Fallback>
      </mc:AlternateContent>
    </w:r>
  </w:p>
  <w:p w14:paraId="267E77A0">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9EAF4">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2125CD">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C2125CD">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741ED">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33CAB5"/>
    <w:multiLevelType w:val="singleLevel"/>
    <w:tmpl w:val="9D33CAB5"/>
    <w:lvl w:ilvl="0" w:tentative="0">
      <w:start w:val="2"/>
      <w:numFmt w:val="decimal"/>
      <w:lvlText w:val="%1."/>
      <w:lvlJc w:val="left"/>
      <w:pPr>
        <w:tabs>
          <w:tab w:val="left" w:pos="312"/>
        </w:tabs>
      </w:pPr>
    </w:lvl>
  </w:abstractNum>
  <w:abstractNum w:abstractNumId="1">
    <w:nsid w:val="B7C08B1F"/>
    <w:multiLevelType w:val="singleLevel"/>
    <w:tmpl w:val="B7C08B1F"/>
    <w:lvl w:ilvl="0" w:tentative="0">
      <w:start w:val="1"/>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1272550B"/>
    <w:multiLevelType w:val="multilevel"/>
    <w:tmpl w:val="1272550B"/>
    <w:lvl w:ilvl="0" w:tentative="0">
      <w:start w:val="1"/>
      <w:numFmt w:val="japaneseCounting"/>
      <w:lvlText w:val="%1、"/>
      <w:lvlJc w:val="left"/>
      <w:pPr>
        <w:ind w:left="135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1ABACE1B"/>
    <w:multiLevelType w:val="singleLevel"/>
    <w:tmpl w:val="1ABACE1B"/>
    <w:lvl w:ilvl="0" w:tentative="0">
      <w:start w:val="2"/>
      <w:numFmt w:val="chineseCounting"/>
      <w:suff w:val="nothing"/>
      <w:lvlText w:val="（%1）"/>
      <w:lvlJc w:val="left"/>
      <w:rPr>
        <w:rFonts w:hint="eastAsia"/>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hYzRhMmU1MzlmZWQ2MDliYTdkNjhiYzk2Zjk3NWYifQ=="/>
  </w:docVars>
  <w:rsids>
    <w:rsidRoot w:val="00F1361C"/>
    <w:rsid w:val="00020F38"/>
    <w:rsid w:val="000222C6"/>
    <w:rsid w:val="0002549F"/>
    <w:rsid w:val="0002561E"/>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530C"/>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22102"/>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2474"/>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12DE3"/>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75CA9"/>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1A73D87"/>
    <w:rsid w:val="01AF0E8E"/>
    <w:rsid w:val="01C0309B"/>
    <w:rsid w:val="01D02219"/>
    <w:rsid w:val="01DC37E8"/>
    <w:rsid w:val="01F62F61"/>
    <w:rsid w:val="02084681"/>
    <w:rsid w:val="020C62E0"/>
    <w:rsid w:val="020E2058"/>
    <w:rsid w:val="02143E91"/>
    <w:rsid w:val="021D04ED"/>
    <w:rsid w:val="02203B3A"/>
    <w:rsid w:val="023B0973"/>
    <w:rsid w:val="02441F1E"/>
    <w:rsid w:val="02497BFD"/>
    <w:rsid w:val="026659F0"/>
    <w:rsid w:val="028E197E"/>
    <w:rsid w:val="029C58B6"/>
    <w:rsid w:val="02FF5E45"/>
    <w:rsid w:val="031713E0"/>
    <w:rsid w:val="031F3DF1"/>
    <w:rsid w:val="035937A7"/>
    <w:rsid w:val="036F2FCB"/>
    <w:rsid w:val="03991DF6"/>
    <w:rsid w:val="039A7DB6"/>
    <w:rsid w:val="03A528BE"/>
    <w:rsid w:val="03A82039"/>
    <w:rsid w:val="03E13EF3"/>
    <w:rsid w:val="03E219EE"/>
    <w:rsid w:val="03EA08A3"/>
    <w:rsid w:val="04754611"/>
    <w:rsid w:val="047A39D5"/>
    <w:rsid w:val="04C41803"/>
    <w:rsid w:val="04E94D00"/>
    <w:rsid w:val="05092FAB"/>
    <w:rsid w:val="05157BA2"/>
    <w:rsid w:val="0526590B"/>
    <w:rsid w:val="053F6FB9"/>
    <w:rsid w:val="05510172"/>
    <w:rsid w:val="05926C4E"/>
    <w:rsid w:val="05A86320"/>
    <w:rsid w:val="05AF3B52"/>
    <w:rsid w:val="05EB778A"/>
    <w:rsid w:val="05F61781"/>
    <w:rsid w:val="05FC4166"/>
    <w:rsid w:val="05FE0636"/>
    <w:rsid w:val="063F1FB7"/>
    <w:rsid w:val="066E0107"/>
    <w:rsid w:val="066E57BB"/>
    <w:rsid w:val="06D82C35"/>
    <w:rsid w:val="070635F8"/>
    <w:rsid w:val="07183FBD"/>
    <w:rsid w:val="07550729"/>
    <w:rsid w:val="076C4208"/>
    <w:rsid w:val="07996F6E"/>
    <w:rsid w:val="07CD4764"/>
    <w:rsid w:val="07F9321E"/>
    <w:rsid w:val="080041F1"/>
    <w:rsid w:val="080C0DE8"/>
    <w:rsid w:val="08335203"/>
    <w:rsid w:val="084037EA"/>
    <w:rsid w:val="08624EAC"/>
    <w:rsid w:val="086D2DDE"/>
    <w:rsid w:val="087D7F38"/>
    <w:rsid w:val="088E3EF3"/>
    <w:rsid w:val="089963F4"/>
    <w:rsid w:val="08D50255"/>
    <w:rsid w:val="08DF178D"/>
    <w:rsid w:val="09120680"/>
    <w:rsid w:val="094445B2"/>
    <w:rsid w:val="09570789"/>
    <w:rsid w:val="09776735"/>
    <w:rsid w:val="09C86F91"/>
    <w:rsid w:val="09E33DCA"/>
    <w:rsid w:val="0A0A24A8"/>
    <w:rsid w:val="0A1E12A6"/>
    <w:rsid w:val="0A2032A3"/>
    <w:rsid w:val="0A5B7E05"/>
    <w:rsid w:val="0A5D1DCF"/>
    <w:rsid w:val="0A60541B"/>
    <w:rsid w:val="0A652A31"/>
    <w:rsid w:val="0A876E4C"/>
    <w:rsid w:val="0AB1211B"/>
    <w:rsid w:val="0AC96892"/>
    <w:rsid w:val="0AD53972"/>
    <w:rsid w:val="0AE71698"/>
    <w:rsid w:val="0B293A5F"/>
    <w:rsid w:val="0B420FC5"/>
    <w:rsid w:val="0B6363AB"/>
    <w:rsid w:val="0B6F59B6"/>
    <w:rsid w:val="0B757C76"/>
    <w:rsid w:val="0BB579E9"/>
    <w:rsid w:val="0BC32105"/>
    <w:rsid w:val="0BFF2A12"/>
    <w:rsid w:val="0C0A6830"/>
    <w:rsid w:val="0C6F7B97"/>
    <w:rsid w:val="0C790A16"/>
    <w:rsid w:val="0CA371A7"/>
    <w:rsid w:val="0CC2416B"/>
    <w:rsid w:val="0D447276"/>
    <w:rsid w:val="0D605732"/>
    <w:rsid w:val="0D896A37"/>
    <w:rsid w:val="0DC7755F"/>
    <w:rsid w:val="0DDC74AE"/>
    <w:rsid w:val="0DE16873"/>
    <w:rsid w:val="0DFA5B87"/>
    <w:rsid w:val="0E115B3D"/>
    <w:rsid w:val="0E321D7B"/>
    <w:rsid w:val="0E576B35"/>
    <w:rsid w:val="0E601824"/>
    <w:rsid w:val="0E67321C"/>
    <w:rsid w:val="0E6E4AAD"/>
    <w:rsid w:val="0E7B0A75"/>
    <w:rsid w:val="0EA7186A"/>
    <w:rsid w:val="0EAF6971"/>
    <w:rsid w:val="0EC03646"/>
    <w:rsid w:val="0F07055B"/>
    <w:rsid w:val="0F14245D"/>
    <w:rsid w:val="0F1B4006"/>
    <w:rsid w:val="0F39623B"/>
    <w:rsid w:val="0F7421F9"/>
    <w:rsid w:val="0F8120BC"/>
    <w:rsid w:val="0F814AA6"/>
    <w:rsid w:val="0F96368D"/>
    <w:rsid w:val="0F98263C"/>
    <w:rsid w:val="0FC24482"/>
    <w:rsid w:val="0FC91F59"/>
    <w:rsid w:val="0FDF3286"/>
    <w:rsid w:val="0FE5264B"/>
    <w:rsid w:val="0FFE370C"/>
    <w:rsid w:val="10077B30"/>
    <w:rsid w:val="100E0101"/>
    <w:rsid w:val="101860EC"/>
    <w:rsid w:val="101C0036"/>
    <w:rsid w:val="10284C2D"/>
    <w:rsid w:val="103233B6"/>
    <w:rsid w:val="104A6951"/>
    <w:rsid w:val="105E41AB"/>
    <w:rsid w:val="10973B61"/>
    <w:rsid w:val="10C055FF"/>
    <w:rsid w:val="10CF50A9"/>
    <w:rsid w:val="10E30B54"/>
    <w:rsid w:val="11530C9E"/>
    <w:rsid w:val="11731ED8"/>
    <w:rsid w:val="118107EC"/>
    <w:rsid w:val="119F4A7B"/>
    <w:rsid w:val="11A42091"/>
    <w:rsid w:val="11B2173C"/>
    <w:rsid w:val="11F76665"/>
    <w:rsid w:val="11F8062F"/>
    <w:rsid w:val="12372F05"/>
    <w:rsid w:val="123C051C"/>
    <w:rsid w:val="12485112"/>
    <w:rsid w:val="128323D8"/>
    <w:rsid w:val="12866948"/>
    <w:rsid w:val="12C05C9C"/>
    <w:rsid w:val="12E81804"/>
    <w:rsid w:val="12F52B79"/>
    <w:rsid w:val="12F928B1"/>
    <w:rsid w:val="13196AAF"/>
    <w:rsid w:val="132A4818"/>
    <w:rsid w:val="132F1E2E"/>
    <w:rsid w:val="1336476B"/>
    <w:rsid w:val="13547AE7"/>
    <w:rsid w:val="13555C49"/>
    <w:rsid w:val="136E2957"/>
    <w:rsid w:val="13A10F7E"/>
    <w:rsid w:val="13D50BC4"/>
    <w:rsid w:val="13E1581F"/>
    <w:rsid w:val="13FA068E"/>
    <w:rsid w:val="141379A2"/>
    <w:rsid w:val="14213E6D"/>
    <w:rsid w:val="14333BA0"/>
    <w:rsid w:val="14507177"/>
    <w:rsid w:val="14925103"/>
    <w:rsid w:val="14997EA7"/>
    <w:rsid w:val="14F450DE"/>
    <w:rsid w:val="15202011"/>
    <w:rsid w:val="15325C06"/>
    <w:rsid w:val="15475B55"/>
    <w:rsid w:val="1565422D"/>
    <w:rsid w:val="15982039"/>
    <w:rsid w:val="15BB3E4D"/>
    <w:rsid w:val="15DD3DC4"/>
    <w:rsid w:val="15DF5D8E"/>
    <w:rsid w:val="15F07F9B"/>
    <w:rsid w:val="16591BC5"/>
    <w:rsid w:val="165D0448"/>
    <w:rsid w:val="167069E6"/>
    <w:rsid w:val="167D7355"/>
    <w:rsid w:val="167F4E7B"/>
    <w:rsid w:val="16BB723D"/>
    <w:rsid w:val="170830C2"/>
    <w:rsid w:val="177C5CA8"/>
    <w:rsid w:val="178161EA"/>
    <w:rsid w:val="17852965"/>
    <w:rsid w:val="178E7A6B"/>
    <w:rsid w:val="17A50911"/>
    <w:rsid w:val="17EA0A1A"/>
    <w:rsid w:val="18057602"/>
    <w:rsid w:val="1824217E"/>
    <w:rsid w:val="18272DAA"/>
    <w:rsid w:val="18352A53"/>
    <w:rsid w:val="18383533"/>
    <w:rsid w:val="18876269"/>
    <w:rsid w:val="18B76B4E"/>
    <w:rsid w:val="18BF3C55"/>
    <w:rsid w:val="18BF7FD5"/>
    <w:rsid w:val="19566367"/>
    <w:rsid w:val="19662322"/>
    <w:rsid w:val="197B5DCD"/>
    <w:rsid w:val="19A94192"/>
    <w:rsid w:val="19B1359D"/>
    <w:rsid w:val="1A0A6A8E"/>
    <w:rsid w:val="1A28286A"/>
    <w:rsid w:val="1A3F6D02"/>
    <w:rsid w:val="1A4E703E"/>
    <w:rsid w:val="1A7B1DFD"/>
    <w:rsid w:val="1A824F3A"/>
    <w:rsid w:val="1A9829AF"/>
    <w:rsid w:val="1A9A12E3"/>
    <w:rsid w:val="1B0167A6"/>
    <w:rsid w:val="1B18764C"/>
    <w:rsid w:val="1B302BE8"/>
    <w:rsid w:val="1B373F76"/>
    <w:rsid w:val="1B421AAC"/>
    <w:rsid w:val="1B4475DC"/>
    <w:rsid w:val="1B455566"/>
    <w:rsid w:val="1B8151F1"/>
    <w:rsid w:val="1BBB4679"/>
    <w:rsid w:val="1BE721BF"/>
    <w:rsid w:val="1BE8440E"/>
    <w:rsid w:val="1BFE2CE6"/>
    <w:rsid w:val="1C1E6EE4"/>
    <w:rsid w:val="1C4701E9"/>
    <w:rsid w:val="1C6074FD"/>
    <w:rsid w:val="1C6C5EA1"/>
    <w:rsid w:val="1C71170A"/>
    <w:rsid w:val="1C9D42AD"/>
    <w:rsid w:val="1CA76EDA"/>
    <w:rsid w:val="1CAB4C1C"/>
    <w:rsid w:val="1CEA406B"/>
    <w:rsid w:val="1D155CEE"/>
    <w:rsid w:val="1D50131F"/>
    <w:rsid w:val="1D9C4564"/>
    <w:rsid w:val="1DD67A76"/>
    <w:rsid w:val="1DD957B9"/>
    <w:rsid w:val="1DF148B0"/>
    <w:rsid w:val="1DFC3255"/>
    <w:rsid w:val="1DFD058F"/>
    <w:rsid w:val="1E2C58E8"/>
    <w:rsid w:val="1E311151"/>
    <w:rsid w:val="1E360515"/>
    <w:rsid w:val="1EA00084"/>
    <w:rsid w:val="1EDF6DFF"/>
    <w:rsid w:val="1EE73F05"/>
    <w:rsid w:val="1F047B3B"/>
    <w:rsid w:val="1F0B3750"/>
    <w:rsid w:val="1F307B3F"/>
    <w:rsid w:val="1F42113B"/>
    <w:rsid w:val="1F686DF4"/>
    <w:rsid w:val="1F882FF2"/>
    <w:rsid w:val="1F99255E"/>
    <w:rsid w:val="1FA15E62"/>
    <w:rsid w:val="1FB77434"/>
    <w:rsid w:val="1FF35744"/>
    <w:rsid w:val="1FF47676"/>
    <w:rsid w:val="1FF70178"/>
    <w:rsid w:val="20124FB2"/>
    <w:rsid w:val="20344F28"/>
    <w:rsid w:val="203E56EF"/>
    <w:rsid w:val="206231BF"/>
    <w:rsid w:val="20713A86"/>
    <w:rsid w:val="20747733"/>
    <w:rsid w:val="20AD0837"/>
    <w:rsid w:val="20C462AC"/>
    <w:rsid w:val="20D61B3B"/>
    <w:rsid w:val="20DF4E94"/>
    <w:rsid w:val="21174379"/>
    <w:rsid w:val="213571AA"/>
    <w:rsid w:val="214271D1"/>
    <w:rsid w:val="216536A1"/>
    <w:rsid w:val="217E28FF"/>
    <w:rsid w:val="21A63C04"/>
    <w:rsid w:val="21AF0D0A"/>
    <w:rsid w:val="21CE01EE"/>
    <w:rsid w:val="21E07116"/>
    <w:rsid w:val="21E169EA"/>
    <w:rsid w:val="21ED35E0"/>
    <w:rsid w:val="22335D6C"/>
    <w:rsid w:val="224551CB"/>
    <w:rsid w:val="226118D9"/>
    <w:rsid w:val="226A69DF"/>
    <w:rsid w:val="22E449E3"/>
    <w:rsid w:val="22F97D63"/>
    <w:rsid w:val="232625C2"/>
    <w:rsid w:val="2355768F"/>
    <w:rsid w:val="23627FFE"/>
    <w:rsid w:val="236819A8"/>
    <w:rsid w:val="236C6787"/>
    <w:rsid w:val="23860B96"/>
    <w:rsid w:val="23A203FB"/>
    <w:rsid w:val="23C860B3"/>
    <w:rsid w:val="23D5432C"/>
    <w:rsid w:val="240371BF"/>
    <w:rsid w:val="24207BC1"/>
    <w:rsid w:val="242A57C5"/>
    <w:rsid w:val="2432085F"/>
    <w:rsid w:val="2443573A"/>
    <w:rsid w:val="244D65B8"/>
    <w:rsid w:val="247845B6"/>
    <w:rsid w:val="247B3126"/>
    <w:rsid w:val="248101C8"/>
    <w:rsid w:val="248D5F2E"/>
    <w:rsid w:val="24C90335"/>
    <w:rsid w:val="24F9229C"/>
    <w:rsid w:val="24FD3B3B"/>
    <w:rsid w:val="25034EC9"/>
    <w:rsid w:val="258C3110"/>
    <w:rsid w:val="25D16D75"/>
    <w:rsid w:val="25D725DE"/>
    <w:rsid w:val="261A696E"/>
    <w:rsid w:val="265956E8"/>
    <w:rsid w:val="26713510"/>
    <w:rsid w:val="2680112D"/>
    <w:rsid w:val="2685203A"/>
    <w:rsid w:val="26867B60"/>
    <w:rsid w:val="26AD0106"/>
    <w:rsid w:val="26AF70B6"/>
    <w:rsid w:val="26B10B83"/>
    <w:rsid w:val="26E36D60"/>
    <w:rsid w:val="2702368A"/>
    <w:rsid w:val="2714160F"/>
    <w:rsid w:val="271D7B28"/>
    <w:rsid w:val="27225ADA"/>
    <w:rsid w:val="27736336"/>
    <w:rsid w:val="277B693B"/>
    <w:rsid w:val="277F2F2D"/>
    <w:rsid w:val="27A26C1B"/>
    <w:rsid w:val="27A72484"/>
    <w:rsid w:val="27CB6172"/>
    <w:rsid w:val="27D8263D"/>
    <w:rsid w:val="27E42766"/>
    <w:rsid w:val="27F60D15"/>
    <w:rsid w:val="28033B5E"/>
    <w:rsid w:val="28164F13"/>
    <w:rsid w:val="28285372"/>
    <w:rsid w:val="2875390D"/>
    <w:rsid w:val="2879797C"/>
    <w:rsid w:val="28CC03F4"/>
    <w:rsid w:val="28F263D7"/>
    <w:rsid w:val="2900009D"/>
    <w:rsid w:val="29080D00"/>
    <w:rsid w:val="291122AA"/>
    <w:rsid w:val="292673D8"/>
    <w:rsid w:val="292F0982"/>
    <w:rsid w:val="29610315"/>
    <w:rsid w:val="29817476"/>
    <w:rsid w:val="29A70519"/>
    <w:rsid w:val="29FD04D3"/>
    <w:rsid w:val="2A027585"/>
    <w:rsid w:val="2A331DAD"/>
    <w:rsid w:val="2A3A0118"/>
    <w:rsid w:val="2A8A2314"/>
    <w:rsid w:val="2A9A62D0"/>
    <w:rsid w:val="2ACF35D9"/>
    <w:rsid w:val="2AD76BDC"/>
    <w:rsid w:val="2AEF5F8D"/>
    <w:rsid w:val="2AF459E0"/>
    <w:rsid w:val="2AF666D8"/>
    <w:rsid w:val="2AFB6D6E"/>
    <w:rsid w:val="2B0B4AD7"/>
    <w:rsid w:val="2B147E30"/>
    <w:rsid w:val="2BC730F4"/>
    <w:rsid w:val="2BCA04EF"/>
    <w:rsid w:val="2BEC66B7"/>
    <w:rsid w:val="2C027C88"/>
    <w:rsid w:val="2C043A01"/>
    <w:rsid w:val="2C2C73FB"/>
    <w:rsid w:val="2C3F712F"/>
    <w:rsid w:val="2C4209CD"/>
    <w:rsid w:val="2C5373DC"/>
    <w:rsid w:val="2C8A61B5"/>
    <w:rsid w:val="2CA0434D"/>
    <w:rsid w:val="2CB01DDA"/>
    <w:rsid w:val="2CBA6005"/>
    <w:rsid w:val="2CC94C4A"/>
    <w:rsid w:val="2CD0422B"/>
    <w:rsid w:val="2CDE06F5"/>
    <w:rsid w:val="2CE850D0"/>
    <w:rsid w:val="2CFC6DCE"/>
    <w:rsid w:val="2D35408E"/>
    <w:rsid w:val="2D5B6187"/>
    <w:rsid w:val="2D642AF0"/>
    <w:rsid w:val="2D714B70"/>
    <w:rsid w:val="2D79041E"/>
    <w:rsid w:val="2D8A6187"/>
    <w:rsid w:val="2D913DED"/>
    <w:rsid w:val="2DAC4350"/>
    <w:rsid w:val="2DAE631A"/>
    <w:rsid w:val="2DC55411"/>
    <w:rsid w:val="2DCC2C44"/>
    <w:rsid w:val="2DCC67A0"/>
    <w:rsid w:val="2DEA30CA"/>
    <w:rsid w:val="2DF04E50"/>
    <w:rsid w:val="2DF86427"/>
    <w:rsid w:val="2E23315A"/>
    <w:rsid w:val="2E5F5866"/>
    <w:rsid w:val="2E717347"/>
    <w:rsid w:val="2E76495E"/>
    <w:rsid w:val="2E8928E3"/>
    <w:rsid w:val="2EA43279"/>
    <w:rsid w:val="2ED718A0"/>
    <w:rsid w:val="2EE40036"/>
    <w:rsid w:val="2F040D46"/>
    <w:rsid w:val="2F524A74"/>
    <w:rsid w:val="2FD162F0"/>
    <w:rsid w:val="2FEF6776"/>
    <w:rsid w:val="303845C1"/>
    <w:rsid w:val="3038636F"/>
    <w:rsid w:val="30564A47"/>
    <w:rsid w:val="305807BF"/>
    <w:rsid w:val="307A6987"/>
    <w:rsid w:val="30817D16"/>
    <w:rsid w:val="30913CD1"/>
    <w:rsid w:val="30A33C04"/>
    <w:rsid w:val="30B33C47"/>
    <w:rsid w:val="30E20088"/>
    <w:rsid w:val="311961A0"/>
    <w:rsid w:val="3135465C"/>
    <w:rsid w:val="31774C75"/>
    <w:rsid w:val="31853836"/>
    <w:rsid w:val="319F7F4E"/>
    <w:rsid w:val="31DB16A7"/>
    <w:rsid w:val="31F6028F"/>
    <w:rsid w:val="31FE5396"/>
    <w:rsid w:val="32004673"/>
    <w:rsid w:val="329D7D2E"/>
    <w:rsid w:val="32D14858"/>
    <w:rsid w:val="32D54B9D"/>
    <w:rsid w:val="32DC7485"/>
    <w:rsid w:val="3304709D"/>
    <w:rsid w:val="3321758E"/>
    <w:rsid w:val="335F1E64"/>
    <w:rsid w:val="33860D5D"/>
    <w:rsid w:val="339064C2"/>
    <w:rsid w:val="33A12EF5"/>
    <w:rsid w:val="33A67A93"/>
    <w:rsid w:val="33D95773"/>
    <w:rsid w:val="33E92BAA"/>
    <w:rsid w:val="33F1229C"/>
    <w:rsid w:val="341E0396"/>
    <w:rsid w:val="34474DD2"/>
    <w:rsid w:val="34572B3B"/>
    <w:rsid w:val="34C53F49"/>
    <w:rsid w:val="35092088"/>
    <w:rsid w:val="352670DE"/>
    <w:rsid w:val="355A0B35"/>
    <w:rsid w:val="358362DE"/>
    <w:rsid w:val="35C30488"/>
    <w:rsid w:val="35E120F0"/>
    <w:rsid w:val="35ED6974"/>
    <w:rsid w:val="360F7B72"/>
    <w:rsid w:val="36121410"/>
    <w:rsid w:val="36135942"/>
    <w:rsid w:val="36191883"/>
    <w:rsid w:val="361A2073"/>
    <w:rsid w:val="36296198"/>
    <w:rsid w:val="36895383"/>
    <w:rsid w:val="36985DB9"/>
    <w:rsid w:val="36AA5135"/>
    <w:rsid w:val="36F82DF8"/>
    <w:rsid w:val="37197167"/>
    <w:rsid w:val="371B60A2"/>
    <w:rsid w:val="371C0798"/>
    <w:rsid w:val="37500442"/>
    <w:rsid w:val="3757357E"/>
    <w:rsid w:val="376C68FE"/>
    <w:rsid w:val="376D39B2"/>
    <w:rsid w:val="3784633D"/>
    <w:rsid w:val="37E16F03"/>
    <w:rsid w:val="37EE37B7"/>
    <w:rsid w:val="38287FF3"/>
    <w:rsid w:val="38293B60"/>
    <w:rsid w:val="382947EF"/>
    <w:rsid w:val="38341B11"/>
    <w:rsid w:val="384A193E"/>
    <w:rsid w:val="389D4EC8"/>
    <w:rsid w:val="38BE13DB"/>
    <w:rsid w:val="38CD161E"/>
    <w:rsid w:val="38D469F0"/>
    <w:rsid w:val="38D51C69"/>
    <w:rsid w:val="38F117B0"/>
    <w:rsid w:val="39331DC9"/>
    <w:rsid w:val="39513FFD"/>
    <w:rsid w:val="39730417"/>
    <w:rsid w:val="3987299A"/>
    <w:rsid w:val="39A16D33"/>
    <w:rsid w:val="39A27252"/>
    <w:rsid w:val="39B7492C"/>
    <w:rsid w:val="39DE30C4"/>
    <w:rsid w:val="3A0F6392"/>
    <w:rsid w:val="3A4A1178"/>
    <w:rsid w:val="3A577D39"/>
    <w:rsid w:val="3A597AE6"/>
    <w:rsid w:val="3A5C534F"/>
    <w:rsid w:val="3ABC194A"/>
    <w:rsid w:val="3AD259C0"/>
    <w:rsid w:val="3AD826CC"/>
    <w:rsid w:val="3AD94E1B"/>
    <w:rsid w:val="3AE113B1"/>
    <w:rsid w:val="3AE140A2"/>
    <w:rsid w:val="3AF45588"/>
    <w:rsid w:val="3B081C60"/>
    <w:rsid w:val="3B292881"/>
    <w:rsid w:val="3B3F4A55"/>
    <w:rsid w:val="3B443E1A"/>
    <w:rsid w:val="3B514788"/>
    <w:rsid w:val="3B547DD5"/>
    <w:rsid w:val="3BB56710"/>
    <w:rsid w:val="3BCB0097"/>
    <w:rsid w:val="3BDD7DCA"/>
    <w:rsid w:val="3BDF7FE6"/>
    <w:rsid w:val="3BF03FA1"/>
    <w:rsid w:val="3BFD046C"/>
    <w:rsid w:val="3C485B8B"/>
    <w:rsid w:val="3C495460"/>
    <w:rsid w:val="3C616C4D"/>
    <w:rsid w:val="3C6978B0"/>
    <w:rsid w:val="3C6F6638"/>
    <w:rsid w:val="3CA15A6E"/>
    <w:rsid w:val="3CC316B6"/>
    <w:rsid w:val="3CD967E3"/>
    <w:rsid w:val="3CE84C78"/>
    <w:rsid w:val="3CF03B2D"/>
    <w:rsid w:val="3D186F6A"/>
    <w:rsid w:val="3D477BF1"/>
    <w:rsid w:val="3D4F6AA6"/>
    <w:rsid w:val="3D98044D"/>
    <w:rsid w:val="3D98207C"/>
    <w:rsid w:val="3DB45C3B"/>
    <w:rsid w:val="3DDD67A7"/>
    <w:rsid w:val="3DE6565C"/>
    <w:rsid w:val="3E0930F8"/>
    <w:rsid w:val="3E0C4C45"/>
    <w:rsid w:val="3E0D2837"/>
    <w:rsid w:val="3E1D6BA4"/>
    <w:rsid w:val="3E5325C6"/>
    <w:rsid w:val="3E5A7DF8"/>
    <w:rsid w:val="3E78745D"/>
    <w:rsid w:val="3EB94B1E"/>
    <w:rsid w:val="3EE15E23"/>
    <w:rsid w:val="3EF711ED"/>
    <w:rsid w:val="3F220ECC"/>
    <w:rsid w:val="3F2C52F0"/>
    <w:rsid w:val="3F2D72BA"/>
    <w:rsid w:val="3F3D5750"/>
    <w:rsid w:val="3F4639C7"/>
    <w:rsid w:val="3F553510"/>
    <w:rsid w:val="3F724E63"/>
    <w:rsid w:val="3FBB48C6"/>
    <w:rsid w:val="3FDA4D4C"/>
    <w:rsid w:val="3FE43E1D"/>
    <w:rsid w:val="3FFD0A3B"/>
    <w:rsid w:val="40303488"/>
    <w:rsid w:val="405D772B"/>
    <w:rsid w:val="405F2098"/>
    <w:rsid w:val="408847A8"/>
    <w:rsid w:val="40905D53"/>
    <w:rsid w:val="40980764"/>
    <w:rsid w:val="40A635A6"/>
    <w:rsid w:val="40AC5AB2"/>
    <w:rsid w:val="40C61775"/>
    <w:rsid w:val="40C63523"/>
    <w:rsid w:val="41320BB8"/>
    <w:rsid w:val="41395AA3"/>
    <w:rsid w:val="41575755"/>
    <w:rsid w:val="416A2100"/>
    <w:rsid w:val="417B60BB"/>
    <w:rsid w:val="41840C58"/>
    <w:rsid w:val="41CF1D02"/>
    <w:rsid w:val="42002A64"/>
    <w:rsid w:val="42194C89"/>
    <w:rsid w:val="423250BD"/>
    <w:rsid w:val="423B3A9C"/>
    <w:rsid w:val="42422DD9"/>
    <w:rsid w:val="427F7E2D"/>
    <w:rsid w:val="42957651"/>
    <w:rsid w:val="42A96C58"/>
    <w:rsid w:val="42B702DA"/>
    <w:rsid w:val="42EE5551"/>
    <w:rsid w:val="42F00D2B"/>
    <w:rsid w:val="43095949"/>
    <w:rsid w:val="436E4F2D"/>
    <w:rsid w:val="43707776"/>
    <w:rsid w:val="437D25BE"/>
    <w:rsid w:val="43913221"/>
    <w:rsid w:val="43993170"/>
    <w:rsid w:val="439D67BD"/>
    <w:rsid w:val="43B34232"/>
    <w:rsid w:val="43B65AD0"/>
    <w:rsid w:val="43CF573E"/>
    <w:rsid w:val="43D917BF"/>
    <w:rsid w:val="43E51F12"/>
    <w:rsid w:val="43E837B0"/>
    <w:rsid w:val="43FE4D82"/>
    <w:rsid w:val="44366C11"/>
    <w:rsid w:val="445A4676"/>
    <w:rsid w:val="44DC50C3"/>
    <w:rsid w:val="44E268DA"/>
    <w:rsid w:val="44ED72D0"/>
    <w:rsid w:val="45097E82"/>
    <w:rsid w:val="45196E05"/>
    <w:rsid w:val="45232CF2"/>
    <w:rsid w:val="45280308"/>
    <w:rsid w:val="454113CA"/>
    <w:rsid w:val="45462E84"/>
    <w:rsid w:val="455F79AE"/>
    <w:rsid w:val="457059EE"/>
    <w:rsid w:val="457B2B2E"/>
    <w:rsid w:val="457F3A8E"/>
    <w:rsid w:val="45A24357"/>
    <w:rsid w:val="45CF4C28"/>
    <w:rsid w:val="45D25D77"/>
    <w:rsid w:val="46115240"/>
    <w:rsid w:val="462B22D9"/>
    <w:rsid w:val="464F7B16"/>
    <w:rsid w:val="46531B52"/>
    <w:rsid w:val="46560EA5"/>
    <w:rsid w:val="466F1F67"/>
    <w:rsid w:val="4679274F"/>
    <w:rsid w:val="469A5235"/>
    <w:rsid w:val="46A15647"/>
    <w:rsid w:val="46AF66A9"/>
    <w:rsid w:val="46BF4C9C"/>
    <w:rsid w:val="46C663AB"/>
    <w:rsid w:val="47163D7B"/>
    <w:rsid w:val="473A07C7"/>
    <w:rsid w:val="47484C91"/>
    <w:rsid w:val="4760647F"/>
    <w:rsid w:val="479B1265"/>
    <w:rsid w:val="47A367A5"/>
    <w:rsid w:val="47BF72D3"/>
    <w:rsid w:val="47C00CCC"/>
    <w:rsid w:val="47E30E5E"/>
    <w:rsid w:val="47E81725"/>
    <w:rsid w:val="483B0352"/>
    <w:rsid w:val="484F3DFE"/>
    <w:rsid w:val="48F36E7F"/>
    <w:rsid w:val="4938343A"/>
    <w:rsid w:val="493C0826"/>
    <w:rsid w:val="495C4A24"/>
    <w:rsid w:val="496F0BFB"/>
    <w:rsid w:val="49942410"/>
    <w:rsid w:val="4999117F"/>
    <w:rsid w:val="49B10676"/>
    <w:rsid w:val="49DA10FE"/>
    <w:rsid w:val="49E36EF3"/>
    <w:rsid w:val="4A2863B3"/>
    <w:rsid w:val="4A301A0D"/>
    <w:rsid w:val="4A627F82"/>
    <w:rsid w:val="4A6D4A0F"/>
    <w:rsid w:val="4AE178D7"/>
    <w:rsid w:val="4AE90539"/>
    <w:rsid w:val="4B0557C9"/>
    <w:rsid w:val="4B0A0F03"/>
    <w:rsid w:val="4B0E749A"/>
    <w:rsid w:val="4B1C45AB"/>
    <w:rsid w:val="4B2C6678"/>
    <w:rsid w:val="4B4439C2"/>
    <w:rsid w:val="4B4B4D50"/>
    <w:rsid w:val="4B4E2A92"/>
    <w:rsid w:val="4B4F25DA"/>
    <w:rsid w:val="4B502367"/>
    <w:rsid w:val="4B524331"/>
    <w:rsid w:val="4B5C51AF"/>
    <w:rsid w:val="4B7E5126"/>
    <w:rsid w:val="4B935D79"/>
    <w:rsid w:val="4BE068DB"/>
    <w:rsid w:val="4BEB6533"/>
    <w:rsid w:val="4BFB49C8"/>
    <w:rsid w:val="4C0A4C0B"/>
    <w:rsid w:val="4C1800C1"/>
    <w:rsid w:val="4C2630C7"/>
    <w:rsid w:val="4C5D2DE6"/>
    <w:rsid w:val="4C651E42"/>
    <w:rsid w:val="4C74133D"/>
    <w:rsid w:val="4C7B2763"/>
    <w:rsid w:val="4CB132D9"/>
    <w:rsid w:val="4CF3744D"/>
    <w:rsid w:val="4D2E492A"/>
    <w:rsid w:val="4D53613E"/>
    <w:rsid w:val="4D577224"/>
    <w:rsid w:val="4D64334A"/>
    <w:rsid w:val="4DBD039A"/>
    <w:rsid w:val="4DD94895"/>
    <w:rsid w:val="4DE4148C"/>
    <w:rsid w:val="4E0D09E3"/>
    <w:rsid w:val="4E453CD9"/>
    <w:rsid w:val="4E5E4D9B"/>
    <w:rsid w:val="4E61488B"/>
    <w:rsid w:val="4E6879C7"/>
    <w:rsid w:val="4E8A09EF"/>
    <w:rsid w:val="4EAB630A"/>
    <w:rsid w:val="4EB96475"/>
    <w:rsid w:val="4ECE2238"/>
    <w:rsid w:val="4F223BE7"/>
    <w:rsid w:val="4F3B7593"/>
    <w:rsid w:val="4F443F90"/>
    <w:rsid w:val="4F4B78DE"/>
    <w:rsid w:val="4F563CC4"/>
    <w:rsid w:val="4F5C39D0"/>
    <w:rsid w:val="4FA42C81"/>
    <w:rsid w:val="4FB8672C"/>
    <w:rsid w:val="4FCD042A"/>
    <w:rsid w:val="4FDF015D"/>
    <w:rsid w:val="50072B3F"/>
    <w:rsid w:val="508F3931"/>
    <w:rsid w:val="50FE4613"/>
    <w:rsid w:val="51105DB1"/>
    <w:rsid w:val="51183CA5"/>
    <w:rsid w:val="51226553"/>
    <w:rsid w:val="512B7F95"/>
    <w:rsid w:val="513812B8"/>
    <w:rsid w:val="513A16A7"/>
    <w:rsid w:val="51493AE0"/>
    <w:rsid w:val="514A5AAA"/>
    <w:rsid w:val="517174DB"/>
    <w:rsid w:val="5176064D"/>
    <w:rsid w:val="519B00B4"/>
    <w:rsid w:val="51A0391C"/>
    <w:rsid w:val="51D5604D"/>
    <w:rsid w:val="51E101BC"/>
    <w:rsid w:val="52287E02"/>
    <w:rsid w:val="5248023B"/>
    <w:rsid w:val="526E7576"/>
    <w:rsid w:val="527E1EAF"/>
    <w:rsid w:val="528172AA"/>
    <w:rsid w:val="52FE08FA"/>
    <w:rsid w:val="53476745"/>
    <w:rsid w:val="535B3F9E"/>
    <w:rsid w:val="535B7AFB"/>
    <w:rsid w:val="535C003B"/>
    <w:rsid w:val="537B22D7"/>
    <w:rsid w:val="537E6D0A"/>
    <w:rsid w:val="538C7084"/>
    <w:rsid w:val="539D45B7"/>
    <w:rsid w:val="53B611D5"/>
    <w:rsid w:val="53C515D4"/>
    <w:rsid w:val="53FA7313"/>
    <w:rsid w:val="540C5E54"/>
    <w:rsid w:val="543C792C"/>
    <w:rsid w:val="544E58B1"/>
    <w:rsid w:val="549534E0"/>
    <w:rsid w:val="54A31759"/>
    <w:rsid w:val="54A51975"/>
    <w:rsid w:val="54C85664"/>
    <w:rsid w:val="54F40207"/>
    <w:rsid w:val="550A5C7C"/>
    <w:rsid w:val="5527238A"/>
    <w:rsid w:val="55393E6B"/>
    <w:rsid w:val="5558300C"/>
    <w:rsid w:val="55A75279"/>
    <w:rsid w:val="55D87FDF"/>
    <w:rsid w:val="55E96C70"/>
    <w:rsid w:val="55F45FE4"/>
    <w:rsid w:val="56267F20"/>
    <w:rsid w:val="564927D4"/>
    <w:rsid w:val="56504935"/>
    <w:rsid w:val="56C34335"/>
    <w:rsid w:val="56C854A7"/>
    <w:rsid w:val="56D45015"/>
    <w:rsid w:val="56D54068"/>
    <w:rsid w:val="56FA587C"/>
    <w:rsid w:val="57030BD5"/>
    <w:rsid w:val="573A0471"/>
    <w:rsid w:val="5753390A"/>
    <w:rsid w:val="57827D4C"/>
    <w:rsid w:val="57A31A70"/>
    <w:rsid w:val="57E75E01"/>
    <w:rsid w:val="58240E03"/>
    <w:rsid w:val="586E6522"/>
    <w:rsid w:val="58AD704A"/>
    <w:rsid w:val="58C779E0"/>
    <w:rsid w:val="58CE0D6F"/>
    <w:rsid w:val="58FA39E0"/>
    <w:rsid w:val="59034EBC"/>
    <w:rsid w:val="591075D9"/>
    <w:rsid w:val="59123351"/>
    <w:rsid w:val="592117E6"/>
    <w:rsid w:val="59212B72"/>
    <w:rsid w:val="596D2336"/>
    <w:rsid w:val="597A0D44"/>
    <w:rsid w:val="59965D30"/>
    <w:rsid w:val="599B50F5"/>
    <w:rsid w:val="59B63A4F"/>
    <w:rsid w:val="59C12681"/>
    <w:rsid w:val="59C75EEA"/>
    <w:rsid w:val="59C77C98"/>
    <w:rsid w:val="59CA59DA"/>
    <w:rsid w:val="5A0802B0"/>
    <w:rsid w:val="5A1D5B0A"/>
    <w:rsid w:val="5A2E5F69"/>
    <w:rsid w:val="5A6269F6"/>
    <w:rsid w:val="5A67147B"/>
    <w:rsid w:val="5A6E45B7"/>
    <w:rsid w:val="5A8B33BB"/>
    <w:rsid w:val="5AB3021C"/>
    <w:rsid w:val="5ABD553F"/>
    <w:rsid w:val="5ABF4E13"/>
    <w:rsid w:val="5AD36B10"/>
    <w:rsid w:val="5AD84127"/>
    <w:rsid w:val="5ADA7E9F"/>
    <w:rsid w:val="5ADF1011"/>
    <w:rsid w:val="5AEB5C08"/>
    <w:rsid w:val="5AF92295"/>
    <w:rsid w:val="5B4377F2"/>
    <w:rsid w:val="5B4812AC"/>
    <w:rsid w:val="5B48305A"/>
    <w:rsid w:val="5B4E4733"/>
    <w:rsid w:val="5B871DD5"/>
    <w:rsid w:val="5BCD17B1"/>
    <w:rsid w:val="5C1318BA"/>
    <w:rsid w:val="5C190541"/>
    <w:rsid w:val="5C3830CF"/>
    <w:rsid w:val="5C427AAA"/>
    <w:rsid w:val="5C4E46A0"/>
    <w:rsid w:val="5C793EFB"/>
    <w:rsid w:val="5C875E04"/>
    <w:rsid w:val="5C961BA3"/>
    <w:rsid w:val="5CD71FC4"/>
    <w:rsid w:val="5D101956"/>
    <w:rsid w:val="5D380EAD"/>
    <w:rsid w:val="5D54237B"/>
    <w:rsid w:val="5D5F468B"/>
    <w:rsid w:val="5D9500AD"/>
    <w:rsid w:val="5D972077"/>
    <w:rsid w:val="5DBB5D65"/>
    <w:rsid w:val="5DC32E6C"/>
    <w:rsid w:val="5DC82230"/>
    <w:rsid w:val="5DFE3EA4"/>
    <w:rsid w:val="5E0D6B87"/>
    <w:rsid w:val="5E2118DD"/>
    <w:rsid w:val="5E56783C"/>
    <w:rsid w:val="5E5E4943"/>
    <w:rsid w:val="5E802B0B"/>
    <w:rsid w:val="5EAC1B52"/>
    <w:rsid w:val="5ED2780B"/>
    <w:rsid w:val="5EDC2437"/>
    <w:rsid w:val="5EE53042"/>
    <w:rsid w:val="5EE611DF"/>
    <w:rsid w:val="5EF37781"/>
    <w:rsid w:val="5F28567D"/>
    <w:rsid w:val="5F2D4A41"/>
    <w:rsid w:val="5F2E2567"/>
    <w:rsid w:val="5F893C41"/>
    <w:rsid w:val="5F913BAF"/>
    <w:rsid w:val="5FD44EBD"/>
    <w:rsid w:val="5FDE5D3B"/>
    <w:rsid w:val="6017749F"/>
    <w:rsid w:val="60522285"/>
    <w:rsid w:val="60830691"/>
    <w:rsid w:val="60844B35"/>
    <w:rsid w:val="609B59DA"/>
    <w:rsid w:val="609D79A4"/>
    <w:rsid w:val="60AC7BE7"/>
    <w:rsid w:val="60BB7E2A"/>
    <w:rsid w:val="60DF4DDA"/>
    <w:rsid w:val="60E20A32"/>
    <w:rsid w:val="60E77880"/>
    <w:rsid w:val="61314591"/>
    <w:rsid w:val="614248F6"/>
    <w:rsid w:val="61534507"/>
    <w:rsid w:val="618648DC"/>
    <w:rsid w:val="61882403"/>
    <w:rsid w:val="61970898"/>
    <w:rsid w:val="61BE6C8E"/>
    <w:rsid w:val="621B3277"/>
    <w:rsid w:val="62223F30"/>
    <w:rsid w:val="62270A4D"/>
    <w:rsid w:val="62353C0D"/>
    <w:rsid w:val="623B2D26"/>
    <w:rsid w:val="626D2C51"/>
    <w:rsid w:val="62782477"/>
    <w:rsid w:val="629E7A04"/>
    <w:rsid w:val="629F60AF"/>
    <w:rsid w:val="62BD2580"/>
    <w:rsid w:val="62C456BC"/>
    <w:rsid w:val="62E92EFF"/>
    <w:rsid w:val="62ED5E34"/>
    <w:rsid w:val="62F955A4"/>
    <w:rsid w:val="631405DE"/>
    <w:rsid w:val="63323318"/>
    <w:rsid w:val="63501A16"/>
    <w:rsid w:val="63640C4D"/>
    <w:rsid w:val="63780255"/>
    <w:rsid w:val="638B442C"/>
    <w:rsid w:val="63C139AA"/>
    <w:rsid w:val="63EC5FEE"/>
    <w:rsid w:val="640F57C6"/>
    <w:rsid w:val="6416019A"/>
    <w:rsid w:val="641C6E32"/>
    <w:rsid w:val="6424218B"/>
    <w:rsid w:val="64283A29"/>
    <w:rsid w:val="643E324C"/>
    <w:rsid w:val="64520AA6"/>
    <w:rsid w:val="64630F05"/>
    <w:rsid w:val="647C5B23"/>
    <w:rsid w:val="648F1CFA"/>
    <w:rsid w:val="64B21544"/>
    <w:rsid w:val="65031DA0"/>
    <w:rsid w:val="65053D6A"/>
    <w:rsid w:val="652A1A23"/>
    <w:rsid w:val="6571289C"/>
    <w:rsid w:val="65EB2F60"/>
    <w:rsid w:val="65FC1E5E"/>
    <w:rsid w:val="65FD725F"/>
    <w:rsid w:val="660C7A0C"/>
    <w:rsid w:val="66256220"/>
    <w:rsid w:val="66287D10"/>
    <w:rsid w:val="663366B5"/>
    <w:rsid w:val="66342B59"/>
    <w:rsid w:val="66625D89"/>
    <w:rsid w:val="667740A0"/>
    <w:rsid w:val="6678574A"/>
    <w:rsid w:val="669B0EEA"/>
    <w:rsid w:val="669E4EAC"/>
    <w:rsid w:val="66AA4BC9"/>
    <w:rsid w:val="66DD4F9F"/>
    <w:rsid w:val="66E75E1D"/>
    <w:rsid w:val="670A5668"/>
    <w:rsid w:val="670D6F06"/>
    <w:rsid w:val="67236729"/>
    <w:rsid w:val="672A5D0A"/>
    <w:rsid w:val="675F3C06"/>
    <w:rsid w:val="676A061C"/>
    <w:rsid w:val="676F196F"/>
    <w:rsid w:val="677E25E3"/>
    <w:rsid w:val="67A91CD4"/>
    <w:rsid w:val="67B6134C"/>
    <w:rsid w:val="67EB5499"/>
    <w:rsid w:val="67FD51CC"/>
    <w:rsid w:val="68077DF9"/>
    <w:rsid w:val="680B1697"/>
    <w:rsid w:val="681349F0"/>
    <w:rsid w:val="681D13CB"/>
    <w:rsid w:val="681F15E7"/>
    <w:rsid w:val="68A85138"/>
    <w:rsid w:val="68F6059A"/>
    <w:rsid w:val="68F71C1C"/>
    <w:rsid w:val="6905258B"/>
    <w:rsid w:val="693023D5"/>
    <w:rsid w:val="695232F6"/>
    <w:rsid w:val="696A6892"/>
    <w:rsid w:val="697251FF"/>
    <w:rsid w:val="697A2F79"/>
    <w:rsid w:val="69801C11"/>
    <w:rsid w:val="69AD1CD1"/>
    <w:rsid w:val="69B813AB"/>
    <w:rsid w:val="69C47F64"/>
    <w:rsid w:val="69E0792C"/>
    <w:rsid w:val="69F12B0F"/>
    <w:rsid w:val="6A102F95"/>
    <w:rsid w:val="6A2C1D99"/>
    <w:rsid w:val="6A4964A7"/>
    <w:rsid w:val="6A667059"/>
    <w:rsid w:val="6A794FDE"/>
    <w:rsid w:val="6AA33E09"/>
    <w:rsid w:val="6ADA17F5"/>
    <w:rsid w:val="6B19231D"/>
    <w:rsid w:val="6B2931F4"/>
    <w:rsid w:val="6B4D1FC7"/>
    <w:rsid w:val="6B952D51"/>
    <w:rsid w:val="6B9B33DA"/>
    <w:rsid w:val="6BA90BFA"/>
    <w:rsid w:val="6BBD5219"/>
    <w:rsid w:val="6BDC0B2D"/>
    <w:rsid w:val="6C022DB1"/>
    <w:rsid w:val="6C3867D3"/>
    <w:rsid w:val="6C4A05C8"/>
    <w:rsid w:val="6C951E77"/>
    <w:rsid w:val="6CC671FC"/>
    <w:rsid w:val="6CF92406"/>
    <w:rsid w:val="6D0A4613"/>
    <w:rsid w:val="6D1E0A69"/>
    <w:rsid w:val="6D2A6A64"/>
    <w:rsid w:val="6D6830E8"/>
    <w:rsid w:val="6D7460C3"/>
    <w:rsid w:val="6D7952F5"/>
    <w:rsid w:val="6D8819DC"/>
    <w:rsid w:val="6D940381"/>
    <w:rsid w:val="6D9739CD"/>
    <w:rsid w:val="6E531FEA"/>
    <w:rsid w:val="6E677844"/>
    <w:rsid w:val="6E71147C"/>
    <w:rsid w:val="6E7E3605"/>
    <w:rsid w:val="6E821BA6"/>
    <w:rsid w:val="6EAB5982"/>
    <w:rsid w:val="6EAE7221"/>
    <w:rsid w:val="6EB1286D"/>
    <w:rsid w:val="6ED21161"/>
    <w:rsid w:val="6EE42C42"/>
    <w:rsid w:val="6EF47329"/>
    <w:rsid w:val="6F1F1ECC"/>
    <w:rsid w:val="6F362B4C"/>
    <w:rsid w:val="6F451829"/>
    <w:rsid w:val="6F635077"/>
    <w:rsid w:val="6F9401C4"/>
    <w:rsid w:val="6F975F07"/>
    <w:rsid w:val="6FE27182"/>
    <w:rsid w:val="6FF5CC65"/>
    <w:rsid w:val="6FFE1AE2"/>
    <w:rsid w:val="700F3CEF"/>
    <w:rsid w:val="704F058F"/>
    <w:rsid w:val="70983CE4"/>
    <w:rsid w:val="70F133F4"/>
    <w:rsid w:val="711F5FB5"/>
    <w:rsid w:val="712B2DAA"/>
    <w:rsid w:val="712F289B"/>
    <w:rsid w:val="715C0E4B"/>
    <w:rsid w:val="716A5681"/>
    <w:rsid w:val="716D33C3"/>
    <w:rsid w:val="718B55F7"/>
    <w:rsid w:val="71990D7A"/>
    <w:rsid w:val="71A144CE"/>
    <w:rsid w:val="71C172BE"/>
    <w:rsid w:val="71C50B09"/>
    <w:rsid w:val="71DD0AEE"/>
    <w:rsid w:val="720930EC"/>
    <w:rsid w:val="72227D09"/>
    <w:rsid w:val="7249798C"/>
    <w:rsid w:val="726803A5"/>
    <w:rsid w:val="72734D90"/>
    <w:rsid w:val="72A746B3"/>
    <w:rsid w:val="72B50014"/>
    <w:rsid w:val="72F003FB"/>
    <w:rsid w:val="731F06ED"/>
    <w:rsid w:val="73691968"/>
    <w:rsid w:val="73AD73D5"/>
    <w:rsid w:val="73B6EB34"/>
    <w:rsid w:val="73FE7DF3"/>
    <w:rsid w:val="74070338"/>
    <w:rsid w:val="741216EE"/>
    <w:rsid w:val="742C6D8D"/>
    <w:rsid w:val="74471CA9"/>
    <w:rsid w:val="744731E5"/>
    <w:rsid w:val="7447614D"/>
    <w:rsid w:val="74784559"/>
    <w:rsid w:val="74884070"/>
    <w:rsid w:val="749A44CF"/>
    <w:rsid w:val="74BC6411"/>
    <w:rsid w:val="74E108D2"/>
    <w:rsid w:val="74F57957"/>
    <w:rsid w:val="75190A13"/>
    <w:rsid w:val="751F6782"/>
    <w:rsid w:val="75436915"/>
    <w:rsid w:val="757E2BAF"/>
    <w:rsid w:val="75930F1E"/>
    <w:rsid w:val="759A04FF"/>
    <w:rsid w:val="75B01AD0"/>
    <w:rsid w:val="75C8506C"/>
    <w:rsid w:val="75D4756D"/>
    <w:rsid w:val="75F53987"/>
    <w:rsid w:val="7621652A"/>
    <w:rsid w:val="763149BF"/>
    <w:rsid w:val="763B75EC"/>
    <w:rsid w:val="764566BC"/>
    <w:rsid w:val="766703E1"/>
    <w:rsid w:val="767E572A"/>
    <w:rsid w:val="76960CC6"/>
    <w:rsid w:val="76E3355F"/>
    <w:rsid w:val="76E3553C"/>
    <w:rsid w:val="76F679B7"/>
    <w:rsid w:val="772938E8"/>
    <w:rsid w:val="772E00F7"/>
    <w:rsid w:val="77613082"/>
    <w:rsid w:val="776A30AF"/>
    <w:rsid w:val="777234E1"/>
    <w:rsid w:val="778769C8"/>
    <w:rsid w:val="779C40BA"/>
    <w:rsid w:val="77BC29AE"/>
    <w:rsid w:val="77EE48D3"/>
    <w:rsid w:val="77F55EC0"/>
    <w:rsid w:val="77F71C38"/>
    <w:rsid w:val="78126A72"/>
    <w:rsid w:val="78174B98"/>
    <w:rsid w:val="78336FF1"/>
    <w:rsid w:val="784A6467"/>
    <w:rsid w:val="78600961"/>
    <w:rsid w:val="78612A25"/>
    <w:rsid w:val="78986F77"/>
    <w:rsid w:val="78992CEF"/>
    <w:rsid w:val="789D458E"/>
    <w:rsid w:val="78FB3062"/>
    <w:rsid w:val="79002D6F"/>
    <w:rsid w:val="790C34C1"/>
    <w:rsid w:val="794F33AE"/>
    <w:rsid w:val="797A667D"/>
    <w:rsid w:val="79B7167F"/>
    <w:rsid w:val="79EE5BA4"/>
    <w:rsid w:val="7A37456E"/>
    <w:rsid w:val="7A5B64AE"/>
    <w:rsid w:val="7A635363"/>
    <w:rsid w:val="7A835C56"/>
    <w:rsid w:val="7A894339"/>
    <w:rsid w:val="7AA53BCD"/>
    <w:rsid w:val="7ACA53E2"/>
    <w:rsid w:val="7AFB1A3F"/>
    <w:rsid w:val="7AFE508C"/>
    <w:rsid w:val="7AFE61F7"/>
    <w:rsid w:val="7B087CB8"/>
    <w:rsid w:val="7B0D52CF"/>
    <w:rsid w:val="7B2C7E4B"/>
    <w:rsid w:val="7BD52290"/>
    <w:rsid w:val="7BEE5100"/>
    <w:rsid w:val="7C1F52BA"/>
    <w:rsid w:val="7C3C389B"/>
    <w:rsid w:val="7C4E296A"/>
    <w:rsid w:val="7C920181"/>
    <w:rsid w:val="7CC25F85"/>
    <w:rsid w:val="7CDB7433"/>
    <w:rsid w:val="7D1E1A15"/>
    <w:rsid w:val="7D7D2BE0"/>
    <w:rsid w:val="7E290672"/>
    <w:rsid w:val="7E2D1F10"/>
    <w:rsid w:val="7E431733"/>
    <w:rsid w:val="7E5020A2"/>
    <w:rsid w:val="7E746940"/>
    <w:rsid w:val="7E9941A9"/>
    <w:rsid w:val="7EA6028A"/>
    <w:rsid w:val="7EAD4DFF"/>
    <w:rsid w:val="7EB554BC"/>
    <w:rsid w:val="7EB63962"/>
    <w:rsid w:val="7EEF11D3"/>
    <w:rsid w:val="7EF07617"/>
    <w:rsid w:val="7F032DB7"/>
    <w:rsid w:val="7F037914"/>
    <w:rsid w:val="7F086BAC"/>
    <w:rsid w:val="7F4C286A"/>
    <w:rsid w:val="7F6F47AA"/>
    <w:rsid w:val="7FA30C79"/>
    <w:rsid w:val="7FB7269E"/>
    <w:rsid w:val="7FC96657"/>
    <w:rsid w:val="7FEE0DF2"/>
    <w:rsid w:val="7FF56A5D"/>
    <w:rsid w:val="7FF6736A"/>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6"/>
    <w:autoRedefine/>
    <w:unhideWhenUsed/>
    <w:qFormat/>
    <w:uiPriority w:val="9"/>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before="280" w:after="290" w:line="376" w:lineRule="auto"/>
      <w:outlineLvl w:val="3"/>
    </w:pPr>
    <w:rPr>
      <w:rFonts w:ascii="Calibri Light" w:hAnsi="Calibri Light"/>
      <w:b/>
      <w:bCs/>
      <w:sz w:val="28"/>
      <w:szCs w:val="28"/>
    </w:rPr>
  </w:style>
  <w:style w:type="character" w:default="1" w:styleId="20">
    <w:name w:val="Default Paragraph Font"/>
    <w:autoRedefine/>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autoRedefine/>
    <w:unhideWhenUsed/>
    <w:qFormat/>
    <w:uiPriority w:val="99"/>
    <w:pPr>
      <w:ind w:firstLine="420" w:firstLineChars="200"/>
    </w:pPr>
  </w:style>
  <w:style w:type="paragraph" w:styleId="4">
    <w:name w:val="Body Text Indent"/>
    <w:basedOn w:val="1"/>
    <w:next w:val="3"/>
    <w:autoRedefine/>
    <w:qFormat/>
    <w:uiPriority w:val="0"/>
    <w:pPr>
      <w:spacing w:after="120"/>
      <w:ind w:leftChars="200"/>
    </w:pPr>
    <w:rPr>
      <w:rFonts w:ascii="仿宋_GB2312"/>
      <w:szCs w:val="32"/>
    </w:rPr>
  </w:style>
  <w:style w:type="paragraph" w:styleId="9">
    <w:name w:val="Normal Indent"/>
    <w:basedOn w:val="1"/>
    <w:qFormat/>
    <w:uiPriority w:val="0"/>
    <w:pPr>
      <w:ind w:firstLine="420" w:firstLineChars="200"/>
    </w:pPr>
  </w:style>
  <w:style w:type="paragraph" w:styleId="10">
    <w:name w:val="Salutation"/>
    <w:basedOn w:val="1"/>
    <w:next w:val="1"/>
    <w:qFormat/>
    <w:uiPriority w:val="0"/>
    <w:rPr>
      <w:rFonts w:ascii="Times New Roman" w:hAnsi="Times New Roman"/>
    </w:rPr>
  </w:style>
  <w:style w:type="paragraph" w:styleId="11">
    <w:name w:val="Body Text"/>
    <w:basedOn w:val="1"/>
    <w:link w:val="30"/>
    <w:autoRedefine/>
    <w:qFormat/>
    <w:uiPriority w:val="99"/>
    <w:pPr>
      <w:spacing w:beforeLines="30"/>
    </w:pPr>
    <w:rPr>
      <w:rFonts w:ascii="仿宋_GB2312" w:eastAsia="仿宋_GB2312"/>
      <w:kern w:val="0"/>
      <w:sz w:val="30"/>
    </w:rPr>
  </w:style>
  <w:style w:type="paragraph" w:styleId="12">
    <w:name w:val="toc 3"/>
    <w:basedOn w:val="1"/>
    <w:next w:val="1"/>
    <w:unhideWhenUsed/>
    <w:qFormat/>
    <w:uiPriority w:val="39"/>
    <w:pPr>
      <w:tabs>
        <w:tab w:val="right" w:leader="dot" w:pos="8296"/>
      </w:tabs>
      <w:ind w:left="840" w:leftChars="400"/>
    </w:pPr>
  </w:style>
  <w:style w:type="paragraph" w:styleId="13">
    <w:name w:val="Balloon Text"/>
    <w:basedOn w:val="1"/>
    <w:link w:val="35"/>
    <w:semiHidden/>
    <w:unhideWhenUsed/>
    <w:qFormat/>
    <w:uiPriority w:val="99"/>
    <w:rPr>
      <w:sz w:val="18"/>
      <w:szCs w:val="18"/>
    </w:rPr>
  </w:style>
  <w:style w:type="paragraph" w:styleId="14">
    <w:name w:val="footer"/>
    <w:basedOn w:val="1"/>
    <w:link w:val="28"/>
    <w:autoRedefine/>
    <w:qFormat/>
    <w:uiPriority w:val="99"/>
    <w:pPr>
      <w:tabs>
        <w:tab w:val="center" w:pos="4153"/>
        <w:tab w:val="right" w:pos="8306"/>
      </w:tabs>
      <w:snapToGrid w:val="0"/>
      <w:jc w:val="left"/>
    </w:pPr>
    <w:rPr>
      <w:rFonts w:ascii="Calibri" w:hAnsi="Calibri"/>
      <w:kern w:val="0"/>
      <w:sz w:val="18"/>
      <w:szCs w:val="18"/>
    </w:rPr>
  </w:style>
  <w:style w:type="paragraph" w:styleId="15">
    <w:name w:val="header"/>
    <w:basedOn w:val="1"/>
    <w:link w:val="26"/>
    <w:autoRedefine/>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6">
    <w:name w:val="toc 1"/>
    <w:basedOn w:val="1"/>
    <w:next w:val="1"/>
    <w:autoRedefine/>
    <w:unhideWhenUsed/>
    <w:qFormat/>
    <w:uiPriority w:val="39"/>
    <w:pPr>
      <w:tabs>
        <w:tab w:val="right" w:leader="dot" w:pos="8296"/>
      </w:tabs>
      <w:spacing w:before="93"/>
      <w:jc w:val="center"/>
    </w:pPr>
    <w:rPr>
      <w:rFonts w:ascii="仿宋" w:hAnsi="仿宋" w:eastAsia="仿宋"/>
      <w:sz w:val="28"/>
      <w:szCs w:val="28"/>
    </w:rPr>
  </w:style>
  <w:style w:type="paragraph" w:styleId="17">
    <w:name w:val="toc 2"/>
    <w:basedOn w:val="1"/>
    <w:next w:val="1"/>
    <w:autoRedefine/>
    <w:unhideWhenUsed/>
    <w:qFormat/>
    <w:uiPriority w:val="39"/>
    <w:pPr>
      <w:tabs>
        <w:tab w:val="right" w:leader="dot" w:pos="8296"/>
      </w:tabs>
      <w:ind w:left="420" w:leftChars="200"/>
    </w:pPr>
  </w:style>
  <w:style w:type="paragraph" w:styleId="18">
    <w:name w:val="Normal (Web)"/>
    <w:basedOn w:val="1"/>
    <w:autoRedefine/>
    <w:unhideWhenUsed/>
    <w:qFormat/>
    <w:uiPriority w:val="99"/>
    <w:pPr>
      <w:spacing w:before="100" w:beforeAutospacing="1" w:after="100" w:afterAutospacing="1"/>
      <w:jc w:val="left"/>
    </w:pPr>
    <w:rPr>
      <w:kern w:val="0"/>
      <w:sz w:val="24"/>
      <w:szCs w:val="24"/>
    </w:rPr>
  </w:style>
  <w:style w:type="character" w:styleId="21">
    <w:name w:val="Strong"/>
    <w:basedOn w:val="20"/>
    <w:autoRedefine/>
    <w:qFormat/>
    <w:uiPriority w:val="99"/>
    <w:rPr>
      <w:b/>
    </w:rPr>
  </w:style>
  <w:style w:type="character" w:styleId="22">
    <w:name w:val="Hyperlink"/>
    <w:basedOn w:val="20"/>
    <w:autoRedefine/>
    <w:unhideWhenUsed/>
    <w:qFormat/>
    <w:uiPriority w:val="99"/>
    <w:rPr>
      <w:color w:val="0000FF" w:themeColor="hyperlink"/>
      <w:u w:val="single"/>
      <w14:textFill>
        <w14:solidFill>
          <w14:schemeClr w14:val="hlink"/>
        </w14:solidFill>
      </w14:textFill>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4">
    <w:name w:val="标题 5（有编号）（绿盟科技）"/>
    <w:next w:val="1"/>
    <w:autoRedefine/>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5">
    <w:name w:val="Header Char"/>
    <w:basedOn w:val="20"/>
    <w:semiHidden/>
    <w:qFormat/>
    <w:uiPriority w:val="99"/>
    <w:rPr>
      <w:rFonts w:ascii="Times New Roman" w:hAnsi="Times New Roman"/>
      <w:sz w:val="18"/>
      <w:szCs w:val="18"/>
    </w:rPr>
  </w:style>
  <w:style w:type="character" w:customStyle="1" w:styleId="26">
    <w:name w:val="页眉 Char"/>
    <w:link w:val="15"/>
    <w:autoRedefine/>
    <w:semiHidden/>
    <w:qFormat/>
    <w:locked/>
    <w:uiPriority w:val="99"/>
    <w:rPr>
      <w:sz w:val="18"/>
    </w:rPr>
  </w:style>
  <w:style w:type="character" w:customStyle="1" w:styleId="27">
    <w:name w:val="Footer Char"/>
    <w:basedOn w:val="20"/>
    <w:autoRedefine/>
    <w:semiHidden/>
    <w:qFormat/>
    <w:uiPriority w:val="99"/>
    <w:rPr>
      <w:rFonts w:ascii="Times New Roman" w:hAnsi="Times New Roman"/>
      <w:sz w:val="18"/>
      <w:szCs w:val="18"/>
    </w:rPr>
  </w:style>
  <w:style w:type="character" w:customStyle="1" w:styleId="28">
    <w:name w:val="页脚 Char"/>
    <w:link w:val="14"/>
    <w:autoRedefine/>
    <w:qFormat/>
    <w:locked/>
    <w:uiPriority w:val="99"/>
    <w:rPr>
      <w:sz w:val="18"/>
    </w:rPr>
  </w:style>
  <w:style w:type="character" w:customStyle="1" w:styleId="29">
    <w:name w:val="Body Text Char"/>
    <w:basedOn w:val="20"/>
    <w:autoRedefine/>
    <w:semiHidden/>
    <w:qFormat/>
    <w:uiPriority w:val="99"/>
    <w:rPr>
      <w:rFonts w:ascii="Times New Roman" w:hAnsi="Times New Roman"/>
      <w:szCs w:val="24"/>
    </w:rPr>
  </w:style>
  <w:style w:type="character" w:customStyle="1" w:styleId="30">
    <w:name w:val="正文文本 Char"/>
    <w:link w:val="11"/>
    <w:autoRedefine/>
    <w:qFormat/>
    <w:locked/>
    <w:uiPriority w:val="99"/>
    <w:rPr>
      <w:rFonts w:ascii="仿宋_GB2312" w:hAnsi="Times New Roman" w:eastAsia="仿宋_GB2312"/>
      <w:sz w:val="24"/>
    </w:rPr>
  </w:style>
  <w:style w:type="paragraph" w:styleId="31">
    <w:name w:val="List Paragraph"/>
    <w:basedOn w:val="1"/>
    <w:autoRedefine/>
    <w:qFormat/>
    <w:uiPriority w:val="34"/>
    <w:pPr>
      <w:ind w:firstLine="420" w:firstLineChars="200"/>
    </w:pPr>
  </w:style>
  <w:style w:type="character" w:customStyle="1" w:styleId="32">
    <w:name w:val="标题 1 Char"/>
    <w:basedOn w:val="20"/>
    <w:link w:val="5"/>
    <w:autoRedefine/>
    <w:qFormat/>
    <w:uiPriority w:val="9"/>
    <w:rPr>
      <w:rFonts w:ascii="Times New Roman" w:hAnsi="Times New Roman"/>
      <w:b/>
      <w:bCs/>
      <w:kern w:val="44"/>
      <w:sz w:val="44"/>
      <w:szCs w:val="44"/>
    </w:rPr>
  </w:style>
  <w:style w:type="character" w:customStyle="1" w:styleId="33">
    <w:name w:val="标题 2 Char"/>
    <w:basedOn w:val="20"/>
    <w:link w:val="6"/>
    <w:autoRedefine/>
    <w:qFormat/>
    <w:uiPriority w:val="9"/>
    <w:rPr>
      <w:rFonts w:asciiTheme="majorHAnsi" w:hAnsiTheme="majorHAnsi" w:eastAsiaTheme="majorEastAsia" w:cstheme="majorBidi"/>
      <w:b/>
      <w:bCs/>
      <w:kern w:val="2"/>
      <w:sz w:val="32"/>
      <w:szCs w:val="32"/>
    </w:rPr>
  </w:style>
  <w:style w:type="paragraph" w:customStyle="1" w:styleId="34">
    <w:name w:val="TOC 标题1"/>
    <w:basedOn w:val="5"/>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0"/>
    <w:link w:val="13"/>
    <w:autoRedefine/>
    <w:semiHidden/>
    <w:qFormat/>
    <w:uiPriority w:val="99"/>
    <w:rPr>
      <w:rFonts w:ascii="Times New Roman" w:hAnsi="Times New Roman"/>
      <w:kern w:val="2"/>
      <w:sz w:val="18"/>
      <w:szCs w:val="18"/>
    </w:rPr>
  </w:style>
  <w:style w:type="character" w:customStyle="1" w:styleId="36">
    <w:name w:val="标题 3 Char"/>
    <w:basedOn w:val="20"/>
    <w:link w:val="7"/>
    <w:autoRedefine/>
    <w:qFormat/>
    <w:uiPriority w:val="9"/>
    <w:rPr>
      <w:rFonts w:ascii="Times New Roman" w:hAnsi="Times New Roman"/>
      <w:b/>
      <w:bCs/>
      <w:kern w:val="2"/>
      <w:sz w:val="32"/>
      <w:szCs w:val="32"/>
    </w:rPr>
  </w:style>
  <w:style w:type="paragraph" w:customStyle="1" w:styleId="37">
    <w:name w:val="TOC Heading"/>
    <w:basedOn w:val="5"/>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8">
    <w:name w:val="四号正文"/>
    <w:basedOn w:val="1"/>
    <w:autoRedefine/>
    <w:qFormat/>
    <w:uiPriority w:val="0"/>
    <w:pPr>
      <w:spacing w:line="360" w:lineRule="auto"/>
    </w:pPr>
    <w:rPr>
      <w:rFonts w:ascii="??" w:hAnsi="??" w:eastAsia="宋体"/>
      <w:color w:val="000000"/>
      <w:kern w:val="0"/>
      <w:sz w:val="28"/>
      <w:szCs w:val="21"/>
      <w:lang w:val="zh-CN" w:eastAsia="zh-CN"/>
    </w:rPr>
  </w:style>
  <w:style w:type="character" w:customStyle="1" w:styleId="39">
    <w:name w:val="标题 2 Char1"/>
    <w:basedOn w:val="20"/>
    <w:link w:val="6"/>
    <w:autoRedefine/>
    <w:qFormat/>
    <w:locked/>
    <w:uiPriority w:val="99"/>
    <w:rPr>
      <w:rFonts w:ascii="Cambria" w:hAnsi="Cambria" w:eastAsia="宋体" w:cs="Times New Roman"/>
      <w:b/>
      <w:bCs/>
      <w:kern w:val="2"/>
      <w:sz w:val="32"/>
      <w:szCs w:val="32"/>
    </w:rPr>
  </w:style>
  <w:style w:type="paragraph" w:customStyle="1" w:styleId="40">
    <w:name w:val="BodyText"/>
    <w:basedOn w:val="1"/>
    <w:autoRedefine/>
    <w:qFormat/>
    <w:uiPriority w:val="0"/>
    <w:pPr>
      <w:adjustRightInd/>
      <w:snapToGrid/>
      <w:spacing w:after="120" w:line="640" w:lineRule="exact"/>
      <w:jc w:val="both"/>
      <w:textAlignment w:val="baseline"/>
    </w:pPr>
    <w:rPr>
      <w:rFonts w:ascii="仿宋_GB2312" w:hAnsi="仿宋_GB2312" w:eastAsia="仿宋_GB2312"/>
      <w:kern w:val="2"/>
      <w:sz w:val="32"/>
      <w:szCs w:val="24"/>
    </w:rPr>
  </w:style>
  <w:style w:type="paragraph" w:customStyle="1" w:styleId="41">
    <w:name w:val="Footer1"/>
    <w:basedOn w:val="1"/>
    <w:autoRedefine/>
    <w:qFormat/>
    <w:uiPriority w:val="0"/>
    <w:pPr>
      <w:tabs>
        <w:tab w:val="center" w:pos="4153"/>
        <w:tab w:val="right" w:pos="8306"/>
      </w:tabs>
      <w:snapToGrid w:val="0"/>
      <w:jc w:val="left"/>
    </w:pPr>
    <w:rPr>
      <w:sz w:val="18"/>
    </w:rPr>
  </w:style>
  <w:style w:type="paragraph" w:customStyle="1" w:styleId="42">
    <w:name w:val="Body text|1"/>
    <w:basedOn w:val="1"/>
    <w:autoRedefine/>
    <w:qFormat/>
    <w:uiPriority w:val="0"/>
    <w:pPr>
      <w:spacing w:line="420" w:lineRule="auto"/>
      <w:ind w:firstLine="400"/>
    </w:pPr>
    <w:rPr>
      <w:rFonts w:ascii="宋体" w:hAnsi="宋体" w:eastAsia="宋体" w:cs="宋体"/>
      <w:sz w:val="30"/>
      <w:szCs w:val="30"/>
      <w:lang w:val="zh-TW" w:eastAsia="zh-TW" w:bidi="zh-TW"/>
    </w:rPr>
  </w:style>
  <w:style w:type="paragraph" w:customStyle="1" w:styleId="43">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44">
    <w:name w:val="WPSOffice手动目录 2"/>
    <w:autoRedefine/>
    <w:qFormat/>
    <w:uiPriority w:val="0"/>
    <w:pPr>
      <w:ind w:leftChars="200"/>
    </w:pPr>
    <w:rPr>
      <w:rFonts w:asciiTheme="minorHAnsi" w:hAnsiTheme="minorHAnsi" w:eastAsiaTheme="minorEastAsia" w:cstheme="minorBidi"/>
      <w:sz w:val="20"/>
      <w:szCs w:val="20"/>
    </w:rPr>
  </w:style>
  <w:style w:type="paragraph" w:customStyle="1" w:styleId="45">
    <w:name w:val="WPSOffice手动目录 3"/>
    <w:autoRedefine/>
    <w:qFormat/>
    <w:uiPriority w:val="0"/>
    <w:pPr>
      <w:ind w:leftChars="400"/>
    </w:pPr>
    <w:rPr>
      <w:rFonts w:asciiTheme="minorHAnsi" w:hAnsiTheme="minorHAnsi" w:eastAsiaTheme="minorEastAsia" w:cstheme="minorBidi"/>
      <w:sz w:val="20"/>
      <w:szCs w:val="20"/>
    </w:rPr>
  </w:style>
  <w:style w:type="character" w:customStyle="1" w:styleId="46">
    <w:name w:val="font11"/>
    <w:basedOn w:val="20"/>
    <w:qFormat/>
    <w:uiPriority w:val="0"/>
    <w:rPr>
      <w:rFonts w:ascii="仿宋_GB2312" w:hAnsi="仿宋_GB2312" w:eastAsia="仿宋_GB2312" w:cs="仿宋_GB2312"/>
      <w:b/>
      <w:bCs/>
      <w:color w:val="000000"/>
      <w:sz w:val="24"/>
      <w:szCs w:val="24"/>
      <w:u w:val="none"/>
    </w:rPr>
  </w:style>
  <w:style w:type="character" w:customStyle="1" w:styleId="47">
    <w:name w:val="font41"/>
    <w:basedOn w:val="20"/>
    <w:qFormat/>
    <w:uiPriority w:val="0"/>
    <w:rPr>
      <w:rFonts w:ascii="仿宋_GB2312" w:hAnsi="仿宋_GB2312" w:eastAsia="仿宋_GB2312" w:cs="仿宋_GB2312"/>
      <w:b/>
      <w:bCs/>
      <w:color w:val="000000"/>
      <w:sz w:val="24"/>
      <w:szCs w:val="24"/>
      <w:u w:val="none"/>
    </w:rPr>
  </w:style>
  <w:style w:type="character" w:customStyle="1" w:styleId="48">
    <w:name w:val="font01"/>
    <w:basedOn w:val="20"/>
    <w:qFormat/>
    <w:uiPriority w:val="0"/>
    <w:rPr>
      <w:rFonts w:ascii="仿宋_GB2312" w:hAns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file:///C:\Users\Administrator\Desktop\&#26032;&#24314;%20XLS%20&#24037;&#20316;&#34920;.xls"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2.xml"/><Relationship Id="rId1" Type="http://schemas.openxmlformats.org/officeDocument/2006/relationships/oleObject" Target="file:///C:\Users\Administrator\Desktop\&#26032;&#24314;%20XLS%20&#24037;&#20316;&#34920;.xls" TargetMode="External"/></Relationships>
</file>

<file path=word/charts/_rels/chart3.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3.xml"/><Relationship Id="rId1" Type="http://schemas.openxmlformats.org/officeDocument/2006/relationships/oleObject" Target="file:///C:\Users\Administrator\Desktop\&#26032;&#24314;%20XLS%20&#24037;&#20316;&#34920;.xls" TargetMode="External"/></Relationships>
</file>

<file path=word/charts/_rels/chart4.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4.xml"/><Relationship Id="rId1" Type="http://schemas.openxmlformats.org/officeDocument/2006/relationships/oleObject" Target="file:///C:\Users\Administrator\Desktop\&#26032;&#24314;%20XLS%20&#24037;&#20316;&#34920;.xls" TargetMode="External"/></Relationships>
</file>

<file path=word/charts/_rels/chart5.xml.rels><?xml version="1.0" encoding="UTF-8" standalone="yes"?>
<Relationships xmlns="http://schemas.openxmlformats.org/package/2006/relationships"><Relationship Id="rId4" Type="http://schemas.microsoft.com/office/2011/relationships/chartColorStyle" Target="colors5.xml"/><Relationship Id="rId3" Type="http://schemas.microsoft.com/office/2011/relationships/chartStyle" Target="style5.xml"/><Relationship Id="rId2" Type="http://schemas.openxmlformats.org/officeDocument/2006/relationships/themeOverride" Target="../theme/themeOverride5.xml"/><Relationship Id="rId1" Type="http://schemas.openxmlformats.org/officeDocument/2006/relationships/oleObject" Target="file:///C:\Users\Administrator\Desktop\&#26032;&#24314;%20XLS%20&#24037;&#20316;&#34920;.xls" TargetMode="External"/></Relationships>
</file>

<file path=word/charts/_rels/chart6.xml.rels><?xml version="1.0" encoding="UTF-8" standalone="yes"?>
<Relationships xmlns="http://schemas.openxmlformats.org/package/2006/relationships"><Relationship Id="rId4" Type="http://schemas.microsoft.com/office/2011/relationships/chartColorStyle" Target="colors6.xml"/><Relationship Id="rId3" Type="http://schemas.microsoft.com/office/2011/relationships/chartStyle" Target="style6.xml"/><Relationship Id="rId2" Type="http://schemas.openxmlformats.org/officeDocument/2006/relationships/themeOverride" Target="../theme/themeOverride6.xml"/><Relationship Id="rId1" Type="http://schemas.openxmlformats.org/officeDocument/2006/relationships/oleObject" Target="file:///C:\Users\Administrator\Desktop\&#26032;&#24314;%20XLS%20&#24037;&#20316;&#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1" i="0" u="none" strike="noStrike" kern="1200" baseline="0">
                <a:solidFill>
                  <a:sysClr val="windowText" lastClr="000000">
                    <a:lumMod val="75000"/>
                    <a:lumOff val="25000"/>
                  </a:sysClr>
                </a:solidFill>
                <a:latin typeface="+mn-lt"/>
                <a:ea typeface="+mn-ea"/>
                <a:cs typeface="+mn-cs"/>
              </a:defRPr>
            </a:pPr>
            <a:r>
              <a:t>收、支出决算总计变动情况图</a:t>
            </a:r>
          </a:p>
        </c:rich>
      </c:tx>
      <c:layout/>
      <c:overlay val="0"/>
      <c:spPr>
        <a:noFill/>
        <a:ln>
          <a:noFill/>
        </a:ln>
        <a:effectLst/>
      </c:spPr>
    </c:title>
    <c:autoTitleDeleted val="0"/>
    <c:plotArea>
      <c:layout/>
      <c:barChart>
        <c:barDir val="col"/>
        <c:grouping val="clustered"/>
        <c:varyColors val="0"/>
        <c:ser>
          <c:idx val="0"/>
          <c:order val="0"/>
          <c:tx>
            <c:strRef>
              <c:f>'[新建 XLS 工作表.xls]Sheet1'!$A$34</c:f>
              <c:strCache>
                <c:ptCount val="1"/>
                <c:pt idx="0">
                  <c:v>2022年</c:v>
                </c:pt>
              </c:strCache>
            </c:strRef>
          </c:tx>
          <c:spPr>
            <a:solidFill>
              <a:srgbClr val="4874CB"/>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'[新建 XLS 工作表.xls]Sheet1'!$C$33</c:f>
              <c:strCache>
                <c:ptCount val="1"/>
                <c:pt idx="0">
                  <c:v>支出决算总计</c:v>
                </c:pt>
              </c:strCache>
            </c:strRef>
          </c:cat>
          <c:val>
            <c:numRef>
              <c:f>'[新建 XLS 工作表.xls]Sheet1'!$C$34</c:f>
              <c:numCache>
                <c:formatCode>General</c:formatCode>
                <c:ptCount val="1"/>
                <c:pt idx="0">
                  <c:v>494.67</c:v>
                </c:pt>
              </c:numCache>
            </c:numRef>
          </c:val>
        </c:ser>
        <c:ser>
          <c:idx val="1"/>
          <c:order val="1"/>
          <c:tx>
            <c:strRef>
              <c:f>'[新建 XLS 工作表.xls]Sheet1'!$A$35</c:f>
              <c:strCache>
                <c:ptCount val="1"/>
                <c:pt idx="0">
                  <c:v>2023年</c:v>
                </c:pt>
              </c:strCache>
            </c:strRef>
          </c:tx>
          <c:spPr>
            <a:solidFill>
              <a:srgbClr val="EE822F"/>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'[新建 XLS 工作表.xls]Sheet1'!$C$33</c:f>
              <c:strCache>
                <c:ptCount val="1"/>
                <c:pt idx="0">
                  <c:v>支出决算总计</c:v>
                </c:pt>
              </c:strCache>
            </c:strRef>
          </c:cat>
          <c:val>
            <c:numRef>
              <c:f>'[新建 XLS 工作表.xls]Sheet1'!$C$35</c:f>
              <c:numCache>
                <c:formatCode>General</c:formatCode>
                <c:ptCount val="1"/>
                <c:pt idx="0">
                  <c:v>458.66</c:v>
                </c:pt>
              </c:numCache>
            </c:numRef>
          </c:val>
        </c:ser>
        <c:dLbls>
          <c:showLegendKey val="0"/>
          <c:showVal val="1"/>
          <c:showCatName val="0"/>
          <c:showSerName val="0"/>
          <c:showPercent val="0"/>
          <c:showBubbleSize val="0"/>
        </c:dLbls>
        <c:gapWidth val="246"/>
        <c:overlap val="-28"/>
        <c:axId val="45921156"/>
        <c:axId val="861778584"/>
      </c:barChart>
      <c:catAx>
        <c:axId val="45921156"/>
        <c:scaling>
          <c:orientation val="minMax"/>
        </c:scaling>
        <c:delete val="0"/>
        <c:axPos val="b"/>
        <c:majorTickMark val="none"/>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861778584"/>
        <c:crosses val="autoZero"/>
        <c:auto val="1"/>
        <c:lblAlgn val="ctr"/>
        <c:lblOffset val="100"/>
        <c:noMultiLvlLbl val="0"/>
      </c:catAx>
      <c:valAx>
        <c:axId val="861778584"/>
        <c:scaling>
          <c:orientation val="minMax"/>
          <c:min val="0"/>
        </c:scaling>
        <c:delete val="0"/>
        <c:axPos val="l"/>
        <c:majorGridlines>
          <c:spPr>
            <a:ln w="9525" cap="flat" cmpd="sng" algn="ctr">
              <a:solidFill>
                <a:sysClr val="window" lastClr="FFFFFF">
                  <a:lumMod val="90200"/>
                </a:sys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4592115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
    <c:plotVisOnly val="1"/>
    <c:dispBlanksAs val="gap"/>
    <c:showDLblsOverMax val="0"/>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600" b="1" i="0" u="none" strike="noStrike" kern="1200" spc="0" normalizeH="0" baseline="0">
                <a:solidFill>
                  <a:sysClr val="windowText" lastClr="000000">
                    <a:lumMod val="50000"/>
                    <a:lumOff val="50000"/>
                  </a:sysClr>
                </a:solidFill>
                <a:latin typeface="+mj-lt"/>
                <a:ea typeface="+mj-ea"/>
                <a:cs typeface="+mj-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gradFill>
                <a:gsLst>
                  <a:gs pos="100000">
                    <a:srgbClr val="4874CB">
                      <a:lumMod val="60000"/>
                      <a:lumOff val="40000"/>
                    </a:srgbClr>
                  </a:gs>
                  <a:gs pos="0">
                    <a:srgbClr val="4874CB"/>
                  </a:gs>
                </a:gsLst>
                <a:lin ang="5400000" scaled="0"/>
              </a:gradFill>
              <a:ln w="19050">
                <a:solidFill>
                  <a:sysClr val="window" lastClr="FFFFFF"/>
                </a:solidFill>
              </a:ln>
              <a:effectLst/>
            </c:spPr>
          </c:dPt>
          <c:dPt>
            <c:idx val="1"/>
            <c:bubble3D val="0"/>
            <c:spPr>
              <a:gradFill>
                <a:gsLst>
                  <a:gs pos="100000">
                    <a:srgbClr val="EE822F">
                      <a:lumMod val="60000"/>
                      <a:lumOff val="40000"/>
                    </a:srgbClr>
                  </a:gs>
                  <a:gs pos="0">
                    <a:srgbClr val="EE822F"/>
                  </a:gs>
                </a:gsLst>
                <a:lin ang="5400000" scaled="0"/>
              </a:gradFill>
              <a:ln w="19050">
                <a:solidFill>
                  <a:sysClr val="window" lastClr="FFFFFF"/>
                </a:solidFill>
              </a:ln>
              <a:effectLst/>
            </c:spPr>
          </c:dPt>
          <c:dPt>
            <c:idx val="2"/>
            <c:bubble3D val="0"/>
            <c:spPr>
              <a:gradFill>
                <a:gsLst>
                  <a:gs pos="100000">
                    <a:srgbClr val="F2BA02">
                      <a:lumMod val="60000"/>
                      <a:lumOff val="40000"/>
                    </a:srgbClr>
                  </a:gs>
                  <a:gs pos="0">
                    <a:srgbClr val="F2BA02"/>
                  </a:gs>
                </a:gsLst>
                <a:lin ang="5400000" scaled="0"/>
              </a:gradFill>
              <a:ln w="19050">
                <a:solidFill>
                  <a:sysClr val="window" lastClr="FFFFFF"/>
                </a:solidFill>
              </a:ln>
              <a:effectLst/>
            </c:spPr>
          </c:dPt>
          <c:dPt>
            <c:idx val="3"/>
            <c:bubble3D val="0"/>
            <c:spPr>
              <a:gradFill>
                <a:gsLst>
                  <a:gs pos="100000">
                    <a:srgbClr val="75BD42">
                      <a:lumMod val="60000"/>
                      <a:lumOff val="40000"/>
                    </a:srgbClr>
                  </a:gs>
                  <a:gs pos="0">
                    <a:srgbClr val="75BD42"/>
                  </a:gs>
                </a:gsLst>
                <a:lin ang="5400000" scaled="0"/>
              </a:gradFill>
              <a:ln w="19050">
                <a:solidFill>
                  <a:sysClr val="window" lastClr="FFFFFF"/>
                </a:solidFill>
              </a:ln>
              <a:effectLst/>
            </c:spPr>
          </c:dPt>
          <c:dPt>
            <c:idx val="4"/>
            <c:bubble3D val="0"/>
            <c:spPr>
              <a:gradFill>
                <a:gsLst>
                  <a:gs pos="100000">
                    <a:srgbClr val="30C0B4">
                      <a:lumMod val="60000"/>
                      <a:lumOff val="40000"/>
                    </a:srgbClr>
                  </a:gs>
                  <a:gs pos="0">
                    <a:srgbClr val="30C0B4"/>
                  </a:gs>
                </a:gsLst>
                <a:lin ang="5400000" scaled="0"/>
              </a:gradFill>
              <a:ln w="19050">
                <a:solidFill>
                  <a:sysClr val="window" lastClr="FFFFFF"/>
                </a:solidFill>
              </a:ln>
              <a:effectLst/>
            </c:spPr>
          </c:dPt>
          <c:dPt>
            <c:idx val="5"/>
            <c:bubble3D val="0"/>
            <c:spPr>
              <a:gradFill>
                <a:gsLst>
                  <a:gs pos="100000">
                    <a:srgbClr val="E54C5E">
                      <a:lumMod val="60000"/>
                      <a:lumOff val="40000"/>
                    </a:srgbClr>
                  </a:gs>
                  <a:gs pos="0">
                    <a:srgbClr val="E54C5E"/>
                  </a:gs>
                </a:gsLst>
                <a:lin ang="5400000" scaled="0"/>
              </a:gradFill>
              <a:ln w="19050">
                <a:solidFill>
                  <a:sysClr val="window" lastClr="FFFFFF"/>
                </a:solidFill>
              </a:ln>
              <a:effectLst/>
            </c:spPr>
          </c:dPt>
          <c:dPt>
            <c:idx val="6"/>
            <c:bubble3D val="0"/>
            <c:spPr>
              <a:gradFill>
                <a:gsLst>
                  <a:gs pos="100000">
                    <a:srgbClr val="4874CB">
                      <a:lumMod val="60000"/>
                      <a:lumMod val="60000"/>
                      <a:lumOff val="40000"/>
                    </a:srgbClr>
                  </a:gs>
                  <a:gs pos="0">
                    <a:srgbClr val="4874CB">
                      <a:lumMod val="60000"/>
                    </a:srgbClr>
                  </a:gs>
                </a:gsLst>
                <a:lin ang="5400000" scaled="0"/>
              </a:gradFill>
              <a:ln w="19050">
                <a:solidFill>
                  <a:sysClr val="window" lastClr="FFFFFF"/>
                </a:solidFill>
              </a:ln>
              <a:effectLst/>
            </c:spPr>
          </c:dPt>
          <c:dPt>
            <c:idx val="7"/>
            <c:bubble3D val="0"/>
            <c:spPr>
              <a:gradFill>
                <a:gsLst>
                  <a:gs pos="100000">
                    <a:srgbClr val="EE822F">
                      <a:lumMod val="60000"/>
                      <a:lumMod val="60000"/>
                      <a:lumOff val="40000"/>
                    </a:srgbClr>
                  </a:gs>
                  <a:gs pos="0">
                    <a:srgbClr val="EE822F">
                      <a:lumMod val="60000"/>
                    </a:srgbClr>
                  </a:gs>
                </a:gsLst>
                <a:lin ang="5400000" scaled="0"/>
              </a:gradFill>
              <a:ln w="19050">
                <a:solidFill>
                  <a:sysClr val="window" lastClr="FFFFFF"/>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ysClr val="windowText" lastClr="000000">
                            <a:lumMod val="75000"/>
                            <a:lumOff val="25000"/>
                          </a:sysClr>
                        </a:solidFill>
                        <a:latin typeface="+mn-lt"/>
                        <a:ea typeface="+mn-ea"/>
                        <a:cs typeface="+mn-cs"/>
                      </a:defRPr>
                    </a:pPr>
                    <a:r>
                      <a:rPr lang="en-US" altLang="zh-CN"/>
                      <a:t>458.66</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lumMod val="75000"/>
                        <a:lumOff val="25000"/>
                      </a:sys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'[新建 XLSX 工作表.xlsx]Sheet1'!$A$20:$H$20</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'[新建 XLSX 工作表.xlsx]Sheet1'!$A$21:$H$21</c:f>
              <c:numCache>
                <c:formatCode>General</c:formatCode>
                <c:ptCount val="8"/>
                <c:pt idx="0">
                  <c:v>494.67</c:v>
                </c:pt>
                <c:pt idx="1">
                  <c:v>0</c:v>
                </c:pt>
                <c:pt idx="2">
                  <c:v>0</c:v>
                </c:pt>
                <c:pt idx="3">
                  <c:v>0</c:v>
                </c:pt>
                <c:pt idx="4">
                  <c:v>0</c:v>
                </c:pt>
                <c:pt idx="5">
                  <c:v>0</c:v>
                </c:pt>
                <c:pt idx="6">
                  <c:v>0</c:v>
                </c:pt>
                <c:pt idx="7">
                  <c:v>0</c:v>
                </c:pt>
              </c:numCache>
            </c:numRef>
          </c:val>
        </c:ser>
        <c:ser>
          <c:idx val="1"/>
          <c:order val="1"/>
          <c:spPr/>
          <c:explosion val="0"/>
          <c:dPt>
            <c:idx val="0"/>
            <c:bubble3D val="0"/>
            <c:spPr>
              <a:gradFill>
                <a:gsLst>
                  <a:gs pos="100000">
                    <a:srgbClr val="4874CB">
                      <a:lumMod val="60000"/>
                      <a:lumOff val="40000"/>
                    </a:srgbClr>
                  </a:gs>
                  <a:gs pos="0">
                    <a:srgbClr val="4874CB"/>
                  </a:gs>
                </a:gsLst>
                <a:lin ang="5400000" scaled="0"/>
              </a:gradFill>
              <a:ln w="19050">
                <a:solidFill>
                  <a:sysClr val="window" lastClr="FFFFFF"/>
                </a:solidFill>
              </a:ln>
              <a:effectLst/>
            </c:spPr>
          </c:dPt>
          <c:dPt>
            <c:idx val="1"/>
            <c:bubble3D val="0"/>
            <c:spPr>
              <a:gradFill>
                <a:gsLst>
                  <a:gs pos="100000">
                    <a:srgbClr val="EE822F">
                      <a:lumMod val="60000"/>
                      <a:lumOff val="40000"/>
                    </a:srgbClr>
                  </a:gs>
                  <a:gs pos="0">
                    <a:srgbClr val="EE822F"/>
                  </a:gs>
                </a:gsLst>
                <a:lin ang="5400000" scaled="0"/>
              </a:gradFill>
              <a:ln w="19050">
                <a:solidFill>
                  <a:sysClr val="window" lastClr="FFFFFF"/>
                </a:solidFill>
              </a:ln>
              <a:effectLst/>
            </c:spPr>
          </c:dPt>
          <c:dPt>
            <c:idx val="2"/>
            <c:bubble3D val="0"/>
            <c:spPr>
              <a:gradFill>
                <a:gsLst>
                  <a:gs pos="100000">
                    <a:srgbClr val="F2BA02">
                      <a:lumMod val="60000"/>
                      <a:lumOff val="40000"/>
                    </a:srgbClr>
                  </a:gs>
                  <a:gs pos="0">
                    <a:srgbClr val="F2BA02"/>
                  </a:gs>
                </a:gsLst>
                <a:lin ang="5400000" scaled="0"/>
              </a:gradFill>
              <a:ln w="19050">
                <a:solidFill>
                  <a:sysClr val="window" lastClr="FFFFFF"/>
                </a:solidFill>
              </a:ln>
              <a:effectLst/>
            </c:spPr>
          </c:dPt>
          <c:dPt>
            <c:idx val="3"/>
            <c:bubble3D val="0"/>
            <c:spPr>
              <a:gradFill>
                <a:gsLst>
                  <a:gs pos="100000">
                    <a:srgbClr val="75BD42">
                      <a:lumMod val="60000"/>
                      <a:lumOff val="40000"/>
                    </a:srgbClr>
                  </a:gs>
                  <a:gs pos="0">
                    <a:srgbClr val="75BD42"/>
                  </a:gs>
                </a:gsLst>
                <a:lin ang="5400000" scaled="0"/>
              </a:gradFill>
              <a:ln w="19050">
                <a:solidFill>
                  <a:sysClr val="window" lastClr="FFFFFF"/>
                </a:solidFill>
              </a:ln>
              <a:effectLst/>
            </c:spPr>
          </c:dPt>
          <c:dPt>
            <c:idx val="4"/>
            <c:bubble3D val="0"/>
            <c:spPr>
              <a:gradFill>
                <a:gsLst>
                  <a:gs pos="100000">
                    <a:srgbClr val="30C0B4">
                      <a:lumMod val="60000"/>
                      <a:lumOff val="40000"/>
                    </a:srgbClr>
                  </a:gs>
                  <a:gs pos="0">
                    <a:srgbClr val="30C0B4"/>
                  </a:gs>
                </a:gsLst>
                <a:lin ang="5400000" scaled="0"/>
              </a:gradFill>
              <a:ln w="19050">
                <a:solidFill>
                  <a:sysClr val="window" lastClr="FFFFFF"/>
                </a:solidFill>
              </a:ln>
              <a:effectLst/>
            </c:spPr>
          </c:dPt>
          <c:dPt>
            <c:idx val="5"/>
            <c:bubble3D val="0"/>
            <c:spPr>
              <a:gradFill>
                <a:gsLst>
                  <a:gs pos="100000">
                    <a:srgbClr val="E54C5E">
                      <a:lumMod val="60000"/>
                      <a:lumOff val="40000"/>
                    </a:srgbClr>
                  </a:gs>
                  <a:gs pos="0">
                    <a:srgbClr val="E54C5E"/>
                  </a:gs>
                </a:gsLst>
                <a:lin ang="5400000" scaled="0"/>
              </a:gradFill>
              <a:ln w="19050">
                <a:solidFill>
                  <a:sysClr val="window" lastClr="FFFFFF"/>
                </a:solidFill>
              </a:ln>
              <a:effectLst/>
            </c:spPr>
          </c:dPt>
          <c:dPt>
            <c:idx val="6"/>
            <c:bubble3D val="0"/>
            <c:spPr>
              <a:gradFill>
                <a:gsLst>
                  <a:gs pos="100000">
                    <a:srgbClr val="4874CB">
                      <a:lumMod val="60000"/>
                      <a:lumMod val="60000"/>
                      <a:lumOff val="40000"/>
                    </a:srgbClr>
                  </a:gs>
                  <a:gs pos="0">
                    <a:srgbClr val="4874CB">
                      <a:lumMod val="60000"/>
                    </a:srgbClr>
                  </a:gs>
                </a:gsLst>
                <a:lin ang="5400000" scaled="0"/>
              </a:gradFill>
              <a:ln w="19050">
                <a:solidFill>
                  <a:sysClr val="window" lastClr="FFFFFF"/>
                </a:solidFill>
              </a:ln>
              <a:effectLst/>
            </c:spPr>
          </c:dPt>
          <c:dPt>
            <c:idx val="7"/>
            <c:bubble3D val="0"/>
            <c:spPr>
              <a:gradFill>
                <a:gsLst>
                  <a:gs pos="100000">
                    <a:srgbClr val="EE822F">
                      <a:lumMod val="60000"/>
                      <a:lumMod val="60000"/>
                      <a:lumOff val="40000"/>
                    </a:srgbClr>
                  </a:gs>
                  <a:gs pos="0">
                    <a:srgbClr val="EE822F">
                      <a:lumMod val="60000"/>
                    </a:srgbClr>
                  </a:gs>
                </a:gsLst>
                <a:lin ang="5400000" scaled="0"/>
              </a:gradFill>
              <a:ln w="19050">
                <a:solidFill>
                  <a:sysClr val="window" lastClr="FFFFFF"/>
                </a:solidFill>
              </a:ln>
              <a:effectLst/>
            </c:spPr>
          </c:dPt>
          <c:dLbls>
            <c:delete val="1"/>
          </c:dLbls>
          <c:cat>
            <c:strRef>
              <c:f>'[新建 XLSX 工作表.xlsx]Sheet1'!$A$20:$H$20</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'[新建 XLSX 工作表.xlsx]Sheet1'!$A$22:$H$22</c:f>
              <c:numCache>
                <c:formatCode>General</c:formatCode>
                <c:ptCount val="8"/>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solidFill>
          <a:sysClr val="window" lastClr="FFFFFF">
            <a:alpha val="50000"/>
          </a:sysClr>
        </a:solidFill>
        <a:ln>
          <a:noFill/>
        </a:ln>
        <a:effectLst/>
      </c:spPr>
      <c:txPr>
        <a:bodyPr rot="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
    <c:plotVisOnly val="1"/>
    <c:dispBlanksAs val="gap"/>
    <c:showDLblsOverMax val="0"/>
  </c:chart>
  <c:spPr>
    <a:pattFill prst="pct90">
      <a:fgClr>
        <a:sysClr val="window" lastClr="FFFFFF"/>
      </a:fgClr>
      <a:bgClr>
        <a:sysClr val="windowText" lastClr="000000">
          <a:lumMod val="10000"/>
          <a:lumOff val="90000"/>
        </a:sysClr>
      </a:bgClr>
    </a:patt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1" i="0" u="none" strike="noStrike" kern="1200" baseline="0">
                <a:solidFill>
                  <a:sysClr val="windowText" lastClr="000000">
                    <a:lumMod val="75000"/>
                    <a:lumOff val="25000"/>
                  </a:sysClr>
                </a:solidFill>
                <a:latin typeface="+mn-lt"/>
                <a:ea typeface="+mn-ea"/>
                <a:cs typeface="+mn-cs"/>
              </a:defRPr>
            </a:pPr>
            <a:r>
              <a:t>2023年支出决算结构图</a:t>
            </a:r>
          </a:p>
        </c:rich>
      </c:tx>
      <c:layout/>
      <c:overlay val="0"/>
      <c:spPr>
        <a:noFill/>
        <a:ln>
          <a:noFill/>
        </a:ln>
        <a:effectLst/>
      </c:spPr>
    </c:title>
    <c:autoTitleDeleted val="0"/>
    <c:plotArea>
      <c:layout/>
      <c:pieChart>
        <c:varyColors val="1"/>
        <c:ser>
          <c:idx val="0"/>
          <c:order val="0"/>
          <c:tx>
            <c:strRef>
              <c:f>'[新建 XLS 工作表.xls]Sheet1'!$A$3</c:f>
              <c:strCache>
                <c:ptCount val="1"/>
                <c:pt idx="0">
                  <c:v>2023年</c:v>
                </c:pt>
              </c:strCache>
            </c:strRef>
          </c:tx>
          <c:spPr/>
          <c:explosion val="0"/>
          <c:dPt>
            <c:idx val="0"/>
            <c:bubble3D val="0"/>
            <c:spPr>
              <a:solidFill>
                <a:srgbClr val="4874CB"/>
              </a:solidFill>
              <a:ln>
                <a:solidFill>
                  <a:sysClr val="window" lastClr="FFFFFF"/>
                </a:solidFill>
              </a:ln>
              <a:effectLst/>
            </c:spPr>
          </c:dPt>
          <c:dPt>
            <c:idx val="1"/>
            <c:bubble3D val="0"/>
            <c:spPr>
              <a:solidFill>
                <a:srgbClr val="EE822F"/>
              </a:solidFill>
              <a:ln>
                <a:solidFill>
                  <a:sysClr val="window" lastClr="FFFFFF"/>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75000"/>
                        <a:lumOff val="25000"/>
                      </a:sys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'[新建 XLS 工作表.xls]Sheet1'!$B$2:$C$2</c:f>
              <c:strCache>
                <c:ptCount val="2"/>
                <c:pt idx="0">
                  <c:v>基本支出</c:v>
                </c:pt>
                <c:pt idx="1">
                  <c:v>项目支出</c:v>
                </c:pt>
              </c:strCache>
            </c:strRef>
          </c:cat>
          <c:val>
            <c:numRef>
              <c:f>'[新建 XLS 工作表.xls]Sheet1'!$B$3:$C$3</c:f>
              <c:numCache>
                <c:formatCode>General</c:formatCode>
                <c:ptCount val="2"/>
                <c:pt idx="0">
                  <c:v>25.79</c:v>
                </c:pt>
                <c:pt idx="1">
                  <c:v>432.87</c:v>
                </c:pt>
              </c:numCache>
            </c:numRef>
          </c:val>
        </c:ser>
        <c:ser>
          <c:idx val="1"/>
          <c:order val="1"/>
          <c:tx>
            <c:strRef>
              <c:f>'[新建 XLS 工作表.xls]Sheet1'!$A$4</c:f>
              <c:strCache>
                <c:ptCount val="1"/>
                <c:pt idx="0">
                  <c:v/>
                </c:pt>
              </c:strCache>
            </c:strRef>
          </c:tx>
          <c:spPr/>
          <c:explosion val="0"/>
          <c:dPt>
            <c:idx val="0"/>
            <c:bubble3D val="0"/>
            <c:spPr>
              <a:solidFill>
                <a:srgbClr val="4874CB"/>
              </a:solidFill>
              <a:ln>
                <a:solidFill>
                  <a:sysClr val="window" lastClr="FFFFFF"/>
                </a:solidFill>
              </a:ln>
              <a:effectLst/>
            </c:spPr>
          </c:dPt>
          <c:dPt>
            <c:idx val="1"/>
            <c:bubble3D val="0"/>
            <c:spPr>
              <a:solidFill>
                <a:srgbClr val="EE822F"/>
              </a:solidFill>
              <a:ln>
                <a:solidFill>
                  <a:sysClr val="window" lastClr="FFFFFF"/>
                </a:solidFill>
              </a:ln>
              <a:effectLst/>
            </c:spPr>
          </c:dPt>
          <c:dLbls>
            <c:delete val="1"/>
          </c:dLbls>
          <c:cat>
            <c:strRef>
              <c:f>'[新建 XLS 工作表.xls]Sheet1'!$B$2:$C$2</c:f>
              <c:strCache>
                <c:ptCount val="2"/>
                <c:pt idx="0">
                  <c:v>基本支出</c:v>
                </c:pt>
                <c:pt idx="1">
                  <c:v>项目支出</c:v>
                </c:pt>
              </c:strCache>
            </c:strRef>
          </c:cat>
          <c:val>
            <c:numRef>
              <c:f>'[新建 XLS 工作表.xls]Sheet1'!$B$4:$C$4</c:f>
              <c:numCache>
                <c:formatCode>General</c:formatCode>
                <c:ptCount val="2"/>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
    <c:plotVisOnly val="1"/>
    <c:dispBlanksAs val="gap"/>
    <c:showDLblsOverMax val="0"/>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1" i="0" u="none" strike="noStrike" kern="1200" baseline="0">
                <a:solidFill>
                  <a:sysClr val="windowText" lastClr="000000">
                    <a:lumMod val="75000"/>
                    <a:lumOff val="25000"/>
                  </a:sysClr>
                </a:solidFill>
                <a:latin typeface="+mn-lt"/>
                <a:ea typeface="+mn-ea"/>
                <a:cs typeface="+mn-cs"/>
              </a:defRPr>
            </a:pPr>
            <a:r>
              <a:t>财政拨款收、支决算总计变动情况图</a:t>
            </a:r>
          </a:p>
        </c:rich>
      </c:tx>
      <c:layout/>
      <c:overlay val="0"/>
      <c:spPr>
        <a:noFill/>
        <a:ln>
          <a:noFill/>
        </a:ln>
        <a:effectLst/>
      </c:spPr>
    </c:title>
    <c:autoTitleDeleted val="0"/>
    <c:plotArea>
      <c:layout/>
      <c:barChart>
        <c:barDir val="col"/>
        <c:grouping val="clustered"/>
        <c:varyColors val="0"/>
        <c:ser>
          <c:idx val="0"/>
          <c:order val="0"/>
          <c:tx>
            <c:strRef>
              <c:f>'[新建 XLS 工作表.xls]Sheet1'!$A$34</c:f>
              <c:strCache>
                <c:ptCount val="1"/>
                <c:pt idx="0">
                  <c:v>2022年</c:v>
                </c:pt>
              </c:strCache>
            </c:strRef>
          </c:tx>
          <c:spPr>
            <a:solidFill>
              <a:srgbClr val="4874CB"/>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'[新建 XLS 工作表.xls]Sheet1'!$B$33</c:f>
              <c:strCache>
                <c:ptCount val="1"/>
                <c:pt idx="0">
                  <c:v>支出决算总计</c:v>
                </c:pt>
              </c:strCache>
            </c:strRef>
          </c:cat>
          <c:val>
            <c:numRef>
              <c:f>'[新建 XLS 工作表.xls]Sheet1'!$B$34</c:f>
              <c:numCache>
                <c:formatCode>General</c:formatCode>
                <c:ptCount val="1"/>
                <c:pt idx="0">
                  <c:v>494.67</c:v>
                </c:pt>
              </c:numCache>
            </c:numRef>
          </c:val>
        </c:ser>
        <c:ser>
          <c:idx val="1"/>
          <c:order val="1"/>
          <c:tx>
            <c:strRef>
              <c:f>'[新建 XLS 工作表.xls]Sheet1'!$A$35</c:f>
              <c:strCache>
                <c:ptCount val="1"/>
                <c:pt idx="0">
                  <c:v>2023年</c:v>
                </c:pt>
              </c:strCache>
            </c:strRef>
          </c:tx>
          <c:spPr>
            <a:solidFill>
              <a:srgbClr val="EE822F"/>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'[新建 XLS 工作表.xls]Sheet1'!$B$33</c:f>
              <c:strCache>
                <c:ptCount val="1"/>
                <c:pt idx="0">
                  <c:v>支出决算总计</c:v>
                </c:pt>
              </c:strCache>
            </c:strRef>
          </c:cat>
          <c:val>
            <c:numRef>
              <c:f>'[新建 XLS 工作表.xls]Sheet1'!$B$35</c:f>
              <c:numCache>
                <c:formatCode>General</c:formatCode>
                <c:ptCount val="1"/>
                <c:pt idx="0">
                  <c:v>458.66</c:v>
                </c:pt>
              </c:numCache>
            </c:numRef>
          </c:val>
        </c:ser>
        <c:dLbls>
          <c:showLegendKey val="0"/>
          <c:showVal val="1"/>
          <c:showCatName val="0"/>
          <c:showSerName val="0"/>
          <c:showPercent val="0"/>
          <c:showBubbleSize val="0"/>
        </c:dLbls>
        <c:gapWidth val="246"/>
        <c:overlap val="-28"/>
        <c:axId val="45921156"/>
        <c:axId val="861778584"/>
      </c:barChart>
      <c:catAx>
        <c:axId val="45921156"/>
        <c:scaling>
          <c:orientation val="minMax"/>
        </c:scaling>
        <c:delete val="0"/>
        <c:axPos val="b"/>
        <c:majorTickMark val="none"/>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861778584"/>
        <c:crosses val="autoZero"/>
        <c:auto val="1"/>
        <c:lblAlgn val="ctr"/>
        <c:lblOffset val="100"/>
        <c:noMultiLvlLbl val="0"/>
      </c:catAx>
      <c:valAx>
        <c:axId val="861778584"/>
        <c:scaling>
          <c:orientation val="minMax"/>
          <c:min val="0"/>
        </c:scaling>
        <c:delete val="0"/>
        <c:axPos val="l"/>
        <c:majorGridlines>
          <c:spPr>
            <a:ln w="9525" cap="flat" cmpd="sng" algn="ctr">
              <a:solidFill>
                <a:sysClr val="window" lastClr="FFFFFF">
                  <a:lumMod val="90200"/>
                </a:sys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4592115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
    <c:plotVisOnly val="1"/>
    <c:dispBlanksAs val="gap"/>
    <c:showDLblsOverMax val="0"/>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1" i="0" u="none" strike="noStrike" kern="1200" baseline="0">
                <a:solidFill>
                  <a:sysClr val="windowText" lastClr="000000">
                    <a:lumMod val="75000"/>
                    <a:lumOff val="25000"/>
                  </a:sysClr>
                </a:solidFill>
                <a:latin typeface="+mn-lt"/>
                <a:ea typeface="+mn-ea"/>
                <a:cs typeface="+mn-cs"/>
              </a:defRPr>
            </a:pPr>
            <a:r>
              <a:t>一般公共预算财政拨款支出决算变动情况图</a:t>
            </a:r>
          </a:p>
        </c:rich>
      </c:tx>
      <c:layout/>
      <c:overlay val="0"/>
      <c:spPr>
        <a:noFill/>
        <a:ln>
          <a:noFill/>
        </a:ln>
        <a:effectLst/>
      </c:spPr>
    </c:title>
    <c:autoTitleDeleted val="0"/>
    <c:plotArea>
      <c:layout/>
      <c:barChart>
        <c:barDir val="col"/>
        <c:grouping val="clustered"/>
        <c:varyColors val="0"/>
        <c:ser>
          <c:idx val="0"/>
          <c:order val="0"/>
          <c:tx>
            <c:strRef>
              <c:f>'[新建 XLS 工作表.xls]Sheet1'!$A$34</c:f>
              <c:strCache>
                <c:ptCount val="1"/>
                <c:pt idx="0">
                  <c:v>2022年</c:v>
                </c:pt>
              </c:strCache>
            </c:strRef>
          </c:tx>
          <c:spPr>
            <a:solidFill>
              <a:srgbClr val="4874CB"/>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'[新建 XLS 工作表.xls]Sheet1'!$B$33</c:f>
              <c:strCache>
                <c:ptCount val="1"/>
                <c:pt idx="0">
                  <c:v>支出决算总计</c:v>
                </c:pt>
              </c:strCache>
            </c:strRef>
          </c:cat>
          <c:val>
            <c:numRef>
              <c:f>'[新建 XLS 工作表.xls]Sheet1'!$B$34</c:f>
              <c:numCache>
                <c:formatCode>General</c:formatCode>
                <c:ptCount val="1"/>
                <c:pt idx="0">
                  <c:v>494.67</c:v>
                </c:pt>
              </c:numCache>
            </c:numRef>
          </c:val>
        </c:ser>
        <c:ser>
          <c:idx val="1"/>
          <c:order val="1"/>
          <c:tx>
            <c:strRef>
              <c:f>'[新建 XLS 工作表.xls]Sheet1'!$A$35</c:f>
              <c:strCache>
                <c:ptCount val="1"/>
                <c:pt idx="0">
                  <c:v>2023年</c:v>
                </c:pt>
              </c:strCache>
            </c:strRef>
          </c:tx>
          <c:spPr>
            <a:solidFill>
              <a:srgbClr val="EE822F"/>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'[新建 XLS 工作表.xls]Sheet1'!$B$33</c:f>
              <c:strCache>
                <c:ptCount val="1"/>
                <c:pt idx="0">
                  <c:v>支出决算总计</c:v>
                </c:pt>
              </c:strCache>
            </c:strRef>
          </c:cat>
          <c:val>
            <c:numRef>
              <c:f>'[新建 XLS 工作表.xls]Sheet1'!$B$35</c:f>
              <c:numCache>
                <c:formatCode>General</c:formatCode>
                <c:ptCount val="1"/>
                <c:pt idx="0">
                  <c:v>458.66</c:v>
                </c:pt>
              </c:numCache>
            </c:numRef>
          </c:val>
        </c:ser>
        <c:dLbls>
          <c:showLegendKey val="0"/>
          <c:showVal val="1"/>
          <c:showCatName val="0"/>
          <c:showSerName val="0"/>
          <c:showPercent val="0"/>
          <c:showBubbleSize val="0"/>
        </c:dLbls>
        <c:gapWidth val="246"/>
        <c:overlap val="-28"/>
        <c:axId val="45921156"/>
        <c:axId val="861778584"/>
      </c:barChart>
      <c:catAx>
        <c:axId val="45921156"/>
        <c:scaling>
          <c:orientation val="minMax"/>
        </c:scaling>
        <c:delete val="0"/>
        <c:axPos val="b"/>
        <c:majorTickMark val="none"/>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861778584"/>
        <c:crosses val="autoZero"/>
        <c:auto val="1"/>
        <c:lblAlgn val="ctr"/>
        <c:lblOffset val="100"/>
        <c:noMultiLvlLbl val="0"/>
      </c:catAx>
      <c:valAx>
        <c:axId val="861778584"/>
        <c:scaling>
          <c:orientation val="minMax"/>
          <c:min val="0"/>
        </c:scaling>
        <c:delete val="0"/>
        <c:axPos val="l"/>
        <c:majorGridlines>
          <c:spPr>
            <a:ln w="9525" cap="flat" cmpd="sng" algn="ctr">
              <a:solidFill>
                <a:sysClr val="window" lastClr="FFFFFF">
                  <a:lumMod val="90200"/>
                </a:sys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4592115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
    <c:plotVisOnly val="1"/>
    <c:dispBlanksAs val="gap"/>
    <c:showDLblsOverMax val="0"/>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ysClr val="windowText" lastClr="000000">
                  <a:lumMod val="75000"/>
                  <a:lumOff val="25000"/>
                </a:sysClr>
              </a:solidFill>
              <a:latin typeface="+mn-lt"/>
              <a:ea typeface="+mn-ea"/>
              <a:cs typeface="+mn-cs"/>
            </a:defRPr>
          </a:pPr>
        </a:p>
      </c:txPr>
    </c:title>
    <c:autoTitleDeleted val="0"/>
    <c:plotArea>
      <c:layout/>
      <c:pieChart>
        <c:varyColors val="1"/>
        <c:ser>
          <c:idx val="0"/>
          <c:order val="0"/>
          <c:tx>
            <c:strRef>
              <c:f>'[新建 XLS 工作表.xls]Sheet1'!$A$120</c:f>
              <c:strCache>
                <c:ptCount val="1"/>
                <c:pt idx="0">
                  <c:v>一般公共预算财政拨款支出决算结构图</c:v>
                </c:pt>
              </c:strCache>
            </c:strRef>
          </c:tx>
          <c:spPr/>
          <c:explosion val="0"/>
          <c:dPt>
            <c:idx val="0"/>
            <c:bubble3D val="0"/>
            <c:spPr>
              <a:solidFill>
                <a:srgbClr val="4874CB"/>
              </a:solidFill>
              <a:ln>
                <a:solidFill>
                  <a:sysClr val="window" lastClr="FFFFFF"/>
                </a:solidFill>
              </a:ln>
              <a:effectLst/>
            </c:spPr>
          </c:dPt>
          <c:dPt>
            <c:idx val="1"/>
            <c:bubble3D val="0"/>
            <c:spPr>
              <a:solidFill>
                <a:srgbClr val="EE822F"/>
              </a:solidFill>
              <a:ln>
                <a:solidFill>
                  <a:sysClr val="window" lastClr="FFFFFF"/>
                </a:solidFill>
              </a:ln>
              <a:effectLst/>
            </c:spPr>
          </c:dPt>
          <c:dPt>
            <c:idx val="2"/>
            <c:bubble3D val="0"/>
            <c:spPr>
              <a:solidFill>
                <a:srgbClr val="F2BA02"/>
              </a:solidFill>
              <a:ln>
                <a:solidFill>
                  <a:sysClr val="window" lastClr="FFFFFF"/>
                </a:solidFill>
              </a:ln>
              <a:effectLst/>
            </c:spPr>
          </c:dPt>
          <c:dPt>
            <c:idx val="3"/>
            <c:bubble3D val="0"/>
            <c:spPr>
              <a:solidFill>
                <a:srgbClr val="75BD42"/>
              </a:solidFill>
              <a:ln>
                <a:solidFill>
                  <a:sysClr val="window" lastClr="FFFFFF"/>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75000"/>
                        <a:lumOff val="25000"/>
                      </a:sys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'[新建 XLS 工作表.xls]Sheet1'!$B$119:$E$119</c:f>
              <c:strCache>
                <c:ptCount val="4"/>
                <c:pt idx="0">
                  <c:v>一般公共服务支出</c:v>
                </c:pt>
                <c:pt idx="1">
                  <c:v>公共安全支出</c:v>
                </c:pt>
                <c:pt idx="2">
                  <c:v>社会保障和就业支出</c:v>
                </c:pt>
                <c:pt idx="3">
                  <c:v>卫生健康支出</c:v>
                </c:pt>
              </c:strCache>
            </c:strRef>
          </c:cat>
          <c:val>
            <c:numRef>
              <c:f>'[新建 XLS 工作表.xls]Sheet1'!$B$120:$E$120</c:f>
              <c:numCache>
                <c:formatCode>General</c:formatCode>
                <c:ptCount val="4"/>
                <c:pt idx="0">
                  <c:v>2.97</c:v>
                </c:pt>
                <c:pt idx="1">
                  <c:v>35</c:v>
                </c:pt>
                <c:pt idx="2">
                  <c:v>403.03</c:v>
                </c:pt>
                <c:pt idx="3">
                  <c:v>17.67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
    <c:plotVisOnly val="1"/>
    <c:dispBlanksAs val="gap"/>
    <c:showDLblsOverMax val="0"/>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ysClr val="windowText" lastClr="000000"/>
    </cs:fontRef>
    <cs:spPr>
      <a:ln>
        <a:noFill/>
      </a:ln>
      <a:effectLst/>
    </cs:spPr>
  </cs:dataPoint>
  <cs:dataPoint3D>
    <cs:lnRef idx="0"/>
    <cs:fillRef idx="1">
      <cs:styleClr val="auto"/>
    </cs:fillRef>
    <cs:effectRef idx="0"/>
    <cs:fontRef idx="minor">
      <a:sysClr val="windowText" lastClr="000000"/>
    </cs:fontRef>
  </cs:dataPoint3D>
  <cs:dataPointLine>
    <cs:lnRef idx="0">
      <cs:styleClr val="auto"/>
    </cs:lnRef>
    <cs:fillRef idx="1"/>
    <cs:effectRef idx="0"/>
    <cs:fontRef idx="minor">
      <a:sysClr val="windowText" lastClr="000000"/>
    </cs:fontRef>
    <cs:spPr>
      <a:ln w="28575" cap="rnd">
        <a:solidFill>
          <a:srgbClr val="FFFFFF"/>
        </a:solidFill>
        <a:round/>
      </a:ln>
    </cs:spPr>
  </cs:dataPointLine>
  <cs:dataPointMarker>
    <cs:lnRef idx="0">
      <cs:styleClr val="auto"/>
    </cs:lnRef>
    <cs:fillRef idx="1">
      <cs:styleClr val="auto"/>
    </cs:fillRef>
    <cs:effectRef idx="0"/>
    <cs:fontRef idx="minor">
      <a:sysClr val="windowText" lastClr="000000"/>
    </cs:fontRef>
    <cs:spPr>
      <a:ln w="9525">
        <a:solidFill>
          <a:srgbClr val="FFFFFF"/>
        </a:solidFill>
      </a:ln>
    </cs:spPr>
  </cs:dataPointMarker>
  <cs:dataPointMarkerLayout symbol="circle" size="5"/>
  <cs:dataPointWireframe>
    <cs:lnRef idx="0">
      <cs:styleClr val="auto"/>
    </cs:lnRef>
    <cs:fillRef idx="1"/>
    <cs:effectRef idx="0"/>
    <cs:fontRef idx="minor">
      <a:sysClr val="windowText" lastClr="000000"/>
    </cs:fontRef>
    <cs:spPr>
      <a:ln w="9525" cap="rnd">
        <a:solidFill>
          <a:srgbClr val="FFFFFF"/>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rgbClr val="FFFFFF"/>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2.xml><?xml version="1.0" encoding="utf-8"?>
<cs:chartStyle xmlns:cs="http://schemas.microsoft.com/office/drawing/2012/chartStyle" xmlns:a="http://schemas.openxmlformats.org/drawingml/2006/main" id="256">
  <cs:axisTitle>
    <cs:lnRef idx="0"/>
    <cs:fillRef idx="0"/>
    <cs:effectRef idx="0"/>
    <cs:fontRef idx="minor">
      <a:sysClr val="windowText" lastClr="000000">
        <a:lumMod val="65000"/>
        <a:lumOff val="35000"/>
      </a:sysClr>
    </cs:fontRef>
    <cs:defRPr sz="900" b="1" kern="1200"/>
  </cs:axisTitle>
  <cs:categoryAxis>
    <cs:lnRef idx="0"/>
    <cs:fillRef idx="0"/>
    <cs:effectRef idx="0"/>
    <cs:fontRef idx="minor">
      <a:sysClr val="windowText" lastClr="000000">
        <a:lumMod val="65000"/>
        <a:lumOff val="35000"/>
      </a:sysClr>
    </cs:fontRef>
    <cs:defRPr sz="900" kern="1200" cap="none" spc="0" normalizeH="0" baseline="0"/>
  </cs:categoryAxis>
  <cs:chartArea>
    <cs:lnRef idx="0"/>
    <cs:fillRef idx="0"/>
    <cs:effectRef idx="0"/>
    <cs:fontRef idx="minor">
      <a:sysClr val="windowText" lastClr="000000"/>
    </cs:fontRef>
    <cs:spPr>
      <a:pattFill prst="dkDnDiag">
        <a:fgClr>
          <a:sysClr val="window" lastClr="FFFFFF"/>
        </a:fgClr>
        <a:bgClr>
          <a:sysClr val="windowText" lastClr="000000">
            <a:lumMod val="10000"/>
            <a:lumOff val="90000"/>
          </a:sysClr>
        </a:bgClr>
      </a:pattFill>
      <a:ln w="9525" cap="flat" cmpd="sng" algn="ctr">
        <a:solidFill>
          <a:sysClr val="windowText" lastClr="000000">
            <a:lumMod val="15000"/>
            <a:lumOff val="85000"/>
          </a:sysClr>
        </a:solidFill>
        <a:round/>
      </a:ln>
    </cs:spPr>
    <cs:defRPr sz="900" kern="1200"/>
  </cs:chartArea>
  <cs:dataLabel>
    <cs:lnRef idx="0"/>
    <cs:fillRef idx="0"/>
    <cs:effectRef idx="0"/>
    <cs:fontRef idx="minor">
      <a:sysClr val="windowText" lastClr="000000">
        <a:lumMod val="75000"/>
        <a:lumOff val="25000"/>
      </a:sysClr>
    </cs:fontRef>
    <cs:defRPr sz="900" kern="1200"/>
  </cs:dataLabel>
  <cs:dataLabelCallout>
    <cs:lnRef idx="0"/>
    <cs:fillRef idx="0"/>
    <cs:effectRef idx="0"/>
    <cs:fontRef idx="minor">
      <a:sysClr val="windowText" lastClr="000000">
        <a:lumMod val="65000"/>
        <a:lumOff val="35000"/>
      </a:sysClr>
    </cs:fontRef>
    <cs:spPr>
      <a:solidFill>
        <a:sysClr val="window" lastClr="FFFFFF">
          <a:alpha val="75000"/>
        </a:sysClr>
      </a:solidFill>
      <a:ln w="9525">
        <a:solidFill>
          <a:sysClr val="windowText" lastClr="000000">
            <a:lumMod val="25000"/>
            <a:lumOff val="75000"/>
          </a:sys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ysClr val="windowText" lastClr="000000"/>
    </cs:fontRef>
    <cs:spPr>
      <a:gradFill>
        <a:gsLst>
          <a:gs pos="100000">
            <a:srgbClr val="FFFFFF">
              <a:lumMod val="60000"/>
              <a:lumOff val="40000"/>
            </a:srgbClr>
          </a:gs>
          <a:gs pos="0">
            <a:srgbClr val="FFFFFF"/>
          </a:gs>
        </a:gsLst>
        <a:lin ang="5400000" scaled="0"/>
      </a:gradFill>
      <a:ln w="19050">
        <a:solidFill>
          <a:sysClr val="window" lastClr="FFFFFF"/>
        </a:solidFill>
      </a:ln>
    </cs:spPr>
  </cs:dataPoint>
  <cs:dataPoint3D>
    <cs:lnRef idx="0"/>
    <cs:fillRef idx="0">
      <cs:styleClr val="auto"/>
    </cs:fillRef>
    <cs:effectRef idx="0"/>
    <cs:fontRef idx="minor">
      <a:sysClr val="windowText" lastClr="000000"/>
    </cs:fontRef>
    <cs:spPr>
      <a:gradFill>
        <a:gsLst>
          <a:gs pos="100000">
            <a:srgbClr val="FFFFFF">
              <a:lumMod val="60000"/>
              <a:lumOff val="40000"/>
            </a:srgbClr>
          </a:gs>
          <a:gs pos="0">
            <a:srgbClr val="FFFFFF"/>
          </a:gs>
        </a:gsLst>
        <a:lin ang="5400000" scaled="0"/>
      </a:gradFill>
      <a:ln w="50800">
        <a:solidFill>
          <a:sysClr val="window" lastClr="FFFFFF"/>
        </a:solidFill>
      </a:ln>
    </cs:spPr>
  </cs:dataPoint3D>
  <cs:dataPointLine>
    <cs:lnRef idx="0">
      <cs:styleClr val="auto"/>
    </cs:lnRef>
    <cs:fillRef idx="0"/>
    <cs:effectRef idx="0"/>
    <cs:fontRef idx="minor">
      <a:sysClr val="windowText" lastClr="000000"/>
    </cs:fontRef>
    <cs:spPr>
      <a:ln w="22225" cap="rnd">
        <a:solidFill>
          <a:srgbClr val="FFFFFF"/>
        </a:solidFill>
        <a:round/>
      </a:ln>
    </cs:spPr>
  </cs:dataPointLine>
  <cs:dataPointMarker>
    <cs:lnRef idx="0">
      <cs:styleClr val="auto"/>
    </cs:lnRef>
    <cs:fillRef idx="0">
      <cs:styleClr val="auto"/>
    </cs:fillRef>
    <cs:effectRef idx="0"/>
    <cs:fontRef idx="minor">
      <a:sysClr val="windowText" lastClr="000000"/>
    </cs:fontRef>
    <cs:spPr>
      <a:solidFill>
        <a:sysClr val="window" lastClr="FFFFFF"/>
      </a:solidFill>
      <a:ln w="15875">
        <a:solidFill>
          <a:srgbClr val="FFFFFF"/>
        </a:solidFill>
        <a:round/>
      </a:ln>
    </cs:spPr>
  </cs:dataPointMarker>
  <cs:dataPointMarkerLayout symbol="circle" size="6"/>
  <cs:dataPointWireframe>
    <cs:lnRef idx="0">
      <cs:styleClr val="auto"/>
    </cs:lnRef>
    <cs:fillRef idx="0"/>
    <cs:effectRef idx="0"/>
    <cs:fontRef idx="minor">
      <a:sysClr val="windowText" lastClr="000000"/>
    </cs:fontRef>
    <cs:spPr>
      <a:ln w="9525" cap="rnd">
        <a:solidFill>
          <a:srgbClr val="FFFFFF"/>
        </a:solidFill>
        <a:round/>
      </a:ln>
    </cs:spPr>
  </cs:dataPointWireframe>
  <cs:dataTable>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800" kern="1200"/>
  </cs:dataTable>
  <cs:downBar>
    <cs:lnRef idx="0"/>
    <cs:fillRef idx="0"/>
    <cs:effectRef idx="0"/>
    <cs:fontRef idx="minor">
      <a:sysClr val="windowText" lastClr="000000"/>
    </cs:fontRef>
    <cs:spPr>
      <a:solidFill>
        <a:sysClr val="windowText" lastClr="000000">
          <a:lumMod val="75000"/>
          <a:lumOff val="25000"/>
        </a:sysClr>
      </a:solidFill>
      <a:ln w="9525" cap="flat" cmpd="sng" algn="ctr">
        <a:solidFill>
          <a:sysClr val="windowText" lastClr="000000">
            <a:lumMod val="50000"/>
            <a:lumOff val="50000"/>
          </a:sysClr>
        </a:solidFill>
        <a:round/>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50000"/>
            <a:lumOff val="50000"/>
          </a:sysClr>
        </a:solidFill>
        <a:round/>
      </a:ln>
    </cs:spPr>
  </cs:errorBar>
  <cs:floor>
    <cs:lnRef idx="0"/>
    <cs:fillRef idx="0"/>
    <cs:effectRef idx="0"/>
    <cs:fontRef idx="minor">
      <a:sysClr val="windowText" lastClr="000000"/>
    </cs:fontRef>
  </cs:floor>
  <cs:gridlineMajor>
    <cs:lnRef idx="0"/>
    <cs:fillRef idx="0"/>
    <cs:effectRef idx="0"/>
    <cs:fontRef idx="minor">
      <a:sysClr val="windowText" lastClr="000000"/>
    </cs:fontRef>
    <cs:spPr>
      <a:ln w="9525" cap="flat" cmpd="sng" algn="ctr">
        <a:solidFill>
          <a:sysClr val="windowText" lastClr="000000">
            <a:lumMod val="15000"/>
            <a:lumOff val="850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35000"/>
            <a:lumOff val="6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spPr>
      <a:solidFill>
        <a:sysClr val="window" lastClr="FFFFFF">
          <a:alpha val="50000"/>
        </a:sysClr>
      </a:solidFill>
    </cs:spPr>
    <cs:defRPr sz="900" kern="1200"/>
  </cs:legend>
  <cs:plotArea>
    <cs:lnRef idx="0"/>
    <cs:fillRef idx="0"/>
    <cs:effectRef idx="0"/>
    <cs:fontRef idx="minor">
      <a:sysClr val="windowText" lastClr="000000"/>
    </cs:fontRef>
  </cs:plotArea>
  <cs:plotArea3D>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ajor">
      <a:sysClr val="windowText" lastClr="000000">
        <a:lumMod val="50000"/>
        <a:lumOff val="50000"/>
      </a:sysClr>
    </cs:fontRef>
    <cs:defRPr sz="1600" b="1" kern="1200" spc="0" normalizeH="0" baseline="0"/>
  </cs:title>
  <cs:trendline>
    <cs:lnRef idx="0">
      <cs:styleClr val="auto"/>
    </cs:lnRef>
    <cs:fillRef idx="0"/>
    <cs:effectRef idx="0"/>
    <cs:fontRef idx="minor">
      <a:sysClr val="windowText" lastClr="000000"/>
    </cs:fontRef>
    <cs:spPr>
      <a:ln w="19050" cap="rnd">
        <a:solidFill>
          <a:srgbClr val="FFFFFF"/>
        </a:solidFill>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cap="flat" cmpd="sng" algn="ctr">
        <a:solidFill>
          <a:sysClr val="windowText" lastClr="000000">
            <a:lumMod val="50000"/>
            <a:lumOff val="50000"/>
          </a:sysClr>
        </a:solidFill>
        <a:round/>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9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ysClr val="windowText" lastClr="000000"/>
    </cs:fontRef>
    <cs:spPr>
      <a:ln>
        <a:solidFill>
          <a:sysClr val="window" lastClr="FFFFFF"/>
        </a:solidFill>
      </a:ln>
      <a:effectLst/>
    </cs:spPr>
  </cs:dataPoint>
  <cs:dataPoint3D>
    <cs:lnRef idx="0"/>
    <cs:fillRef idx="1">
      <cs:styleClr val="auto"/>
    </cs:fillRef>
    <cs:effectRef idx="0"/>
    <cs:fontRef idx="minor">
      <a:sysClr val="windowText" lastClr="000000"/>
    </cs:fontRef>
    <cs:spPr>
      <a:ln w="25400">
        <a:solidFill>
          <a:sysClr val="window" lastClr="FFFFFF"/>
        </a:solidFill>
      </a:ln>
    </cs:spPr>
  </cs:dataPoint3D>
  <cs:dataPointLine>
    <cs:lnRef idx="0">
      <cs:styleClr val="auto"/>
    </cs:lnRef>
    <cs:fillRef idx="0"/>
    <cs:effectRef idx="0"/>
    <cs:fontRef idx="minor">
      <a:sysClr val="windowText" lastClr="000000"/>
    </cs:fontRef>
    <cs:spPr>
      <a:ln w="28575" cap="rnd">
        <a:solidFill>
          <a:srgbClr val="FFFFFF"/>
        </a:solidFill>
        <a:round/>
      </a:ln>
    </cs:spPr>
  </cs:dataPointLine>
  <cs:dataPointMarker>
    <cs:lnRef idx="0">
      <cs:styleClr val="auto"/>
    </cs:lnRef>
    <cs:fillRef idx="1">
      <cs:styleClr val="auto"/>
    </cs:fillRef>
    <cs:effectRef idx="0"/>
    <cs:fontRef idx="minor">
      <a:sysClr val="windowText" lastClr="000000"/>
    </cs:fontRef>
    <cs:spPr>
      <a:ln w="9525">
        <a:solidFill>
          <a:srgbClr val="FFFFFF"/>
        </a:solidFill>
      </a:ln>
    </cs:spPr>
  </cs:dataPointMarker>
  <cs:dataPointMarkerLayout symbol="circle" size="5"/>
  <cs:dataPointWireframe>
    <cs:lnRef idx="0">
      <cs:styleClr val="auto"/>
    </cs:lnRef>
    <cs:fillRef idx="0"/>
    <cs:effectRef idx="0"/>
    <cs:fontRef idx="minor">
      <a:sysClr val="windowText" lastClr="000000"/>
    </cs:fontRef>
    <cs:spPr>
      <a:ln w="9525" cap="rnd">
        <a:solidFill>
          <a:srgbClr val="FFFFFF"/>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75000"/>
          <a:lumOff val="25000"/>
        </a:sysClr>
      </a:solidFill>
      <a:ln w="9525" cap="flat" cmpd="sng" algn="ctr">
        <a:solidFill>
          <a:sysClr val="windowText" lastClr="000000">
            <a:lumMod val="65000"/>
            <a:lumOff val="35000"/>
          </a:sysClr>
        </a:solidFill>
        <a:round/>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50000"/>
            <a:lumOff val="50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rgbClr val="FFFFFF"/>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cap="flat" cmpd="sng" algn="ctr">
        <a:solidFill>
          <a:sysClr val="windowText" lastClr="000000">
            <a:lumMod val="65000"/>
            <a:lumOff val="35000"/>
          </a:sysClr>
        </a:solidFill>
        <a:round/>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ysClr val="windowText" lastClr="000000"/>
    </cs:fontRef>
    <cs:spPr>
      <a:ln>
        <a:noFill/>
      </a:ln>
      <a:effectLst/>
    </cs:spPr>
  </cs:dataPoint>
  <cs:dataPoint3D>
    <cs:lnRef idx="0"/>
    <cs:fillRef idx="1">
      <cs:styleClr val="auto"/>
    </cs:fillRef>
    <cs:effectRef idx="0"/>
    <cs:fontRef idx="minor">
      <a:sysClr val="windowText" lastClr="000000"/>
    </cs:fontRef>
  </cs:dataPoint3D>
  <cs:dataPointLine>
    <cs:lnRef idx="0">
      <cs:styleClr val="auto"/>
    </cs:lnRef>
    <cs:fillRef idx="1"/>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ysClr val="windowText" lastClr="000000"/>
    </cs:fontRef>
    <cs:spPr>
      <a:ln>
        <a:noFill/>
      </a:ln>
      <a:effectLst/>
    </cs:spPr>
  </cs:dataPoint>
  <cs:dataPoint3D>
    <cs:lnRef idx="0"/>
    <cs:fillRef idx="1">
      <cs:styleClr val="auto"/>
    </cs:fillRef>
    <cs:effectRef idx="0"/>
    <cs:fontRef idx="minor">
      <a:sysClr val="windowText" lastClr="000000"/>
    </cs:fontRef>
  </cs:dataPoint3D>
  <cs:dataPointLine>
    <cs:lnRef idx="0">
      <cs:styleClr val="auto"/>
    </cs:lnRef>
    <cs:fillRef idx="1"/>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9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ysClr val="windowText" lastClr="000000"/>
    </cs:fontRef>
    <cs:spPr>
      <a:ln>
        <a:solidFill>
          <a:sysClr val="window" lastClr="FFFFFF"/>
        </a:solidFill>
      </a:ln>
      <a:effectLst/>
    </cs:spPr>
  </cs:dataPoint>
  <cs:dataPoint3D>
    <cs:lnRef idx="0"/>
    <cs:fillRef idx="1">
      <cs:styleClr val="auto"/>
    </cs:fillRef>
    <cs:effectRef idx="0"/>
    <cs:fontRef idx="minor">
      <a:sysClr val="windowText" lastClr="000000"/>
    </cs:fontRef>
    <cs:spPr>
      <a:ln w="25400">
        <a:solidFill>
          <a:sysClr val="window" lastClr="FFFFFF"/>
        </a:solidFill>
      </a:ln>
    </cs:spPr>
  </cs:dataPoint3D>
  <cs:dataPointLine>
    <cs:lnRef idx="0">
      <cs:styleClr val="auto"/>
    </cs:lnRef>
    <cs:fillRef idx="0"/>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0"/>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75000"/>
          <a:lumOff val="25000"/>
        </a:sysClr>
      </a:solidFill>
      <a:ln w="9525" cap="flat" cmpd="sng" algn="ctr">
        <a:solidFill>
          <a:sysClr val="windowText" lastClr="000000">
            <a:lumMod val="65000"/>
            <a:lumOff val="35000"/>
          </a:sysClr>
        </a:solidFill>
        <a:round/>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50000"/>
            <a:lumOff val="50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cap="flat" cmpd="sng" algn="ctr">
        <a:solidFill>
          <a:sysClr val="windowText" lastClr="000000">
            <a:lumMod val="65000"/>
            <a:lumOff val="35000"/>
          </a:sysClr>
        </a:solidFill>
        <a:round/>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rgbClr val="FFFFFF"/>
      </a:solidFill>
      <a:gradFill>
        <a:gsLst>
          <a:gs pos="0">
            <a:srgbClr val="FFFFFF">
              <a:lumOff val="17500"/>
            </a:srgbClr>
          </a:gs>
          <a:gs pos="100000">
            <a:srgbClr val="FFFFFF"/>
          </a:gs>
        </a:gsLst>
        <a:lin ang="2700000" scaled="0"/>
      </a:gradFill>
      <a:gradFill>
        <a:gsLst>
          <a:gs pos="0">
            <a:srgbClr val="FFFFFF">
              <a:hueOff val="-2520000"/>
            </a:srgbClr>
          </a:gs>
          <a:gs pos="100000">
            <a:srgbClr val="FFFFFF"/>
          </a:gs>
        </a:gsLst>
        <a:lin ang="2700000" scaled="0"/>
      </a:gradFill>
    </a:fillStyleLst>
    <a:lnStyleLst>
      <a:ln w="12700" cap="flat" cmpd="sng" algn="ctr">
        <a:solidFill>
          <a:srgbClr val="FFFFFF"/>
        </a:solidFill>
        <a:prstDash val="solid"/>
        <a:miter lim="800000"/>
      </a:ln>
      <a:ln w="12700" cap="flat" cmpd="sng" algn="ctr">
        <a:solidFill>
          <a:srgbClr val="FFFFFF"/>
        </a:solidFill>
        <a:prstDash val="solid"/>
        <a:miter lim="800000"/>
      </a:ln>
      <a:ln w="12700" cap="flat" cmpd="sng" algn="ctr">
        <a:gradFill>
          <a:gsLst>
            <a:gs pos="0">
              <a:srgbClr val="FFFFFF">
                <a:hueOff val="-4200000"/>
              </a:srgbClr>
            </a:gs>
            <a:gs pos="100000">
              <a:srgbClr val="FFFFFF"/>
            </a:gs>
          </a:gsLst>
          <a:lin ang="2700000" scaled="1"/>
        </a:gradFill>
        <a:prstDash val="solid"/>
        <a:miter lim="800000"/>
      </a:ln>
    </a:lnStyleLst>
    <a:effectStyleLst>
      <a:effectStyle>
        <a:effectLst>
          <a:outerShdw blurRad="101600" dist="50800" dir="5400000" algn="ctr" rotWithShape="0">
            <a:srgbClr val="FFFFFF">
              <a:alpha val="60000"/>
            </a:srgb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rgbClr val="FFFFFF"/>
      </a:solidFill>
      <a:solidFill>
        <a:srgbClr val="FFFFFF">
          <a:tint val="95000"/>
          <a:satMod val="170000"/>
        </a:srgbClr>
      </a:solidFill>
      <a:gradFill rotWithShape="1">
        <a:gsLst>
          <a:gs pos="0">
            <a:srgbClr val="FFFFFF">
              <a:tint val="93000"/>
              <a:satMod val="150000"/>
              <a:shade val="98000"/>
              <a:lumMod val="102000"/>
            </a:srgbClr>
          </a:gs>
          <a:gs pos="50000">
            <a:srgbClr val="FBFBFB">
              <a:tint val="98000"/>
              <a:satMod val="130000"/>
              <a:shade val="90000"/>
              <a:lumMod val="103000"/>
            </a:srgbClr>
          </a:gs>
          <a:gs pos="100000">
            <a:srgbClr val="D0D0D0">
              <a:shade val="63000"/>
              <a:satMod val="120000"/>
            </a:srgbClr>
          </a:gs>
        </a:gsLst>
        <a:lin ang="5400000" scaled="0"/>
      </a:gradFill>
    </a:bgFillStyleLst>
  </a:fmtScheme>
</a:themeOverride>
</file>

<file path=word/theme/themeOverride2.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rgbClr val="FFFFFF"/>
      </a:solidFill>
      <a:gradFill>
        <a:gsLst>
          <a:gs pos="0">
            <a:srgbClr val="FFFFFF">
              <a:lumOff val="17500"/>
            </a:srgbClr>
          </a:gs>
          <a:gs pos="100000">
            <a:srgbClr val="FFFFFF"/>
          </a:gs>
        </a:gsLst>
        <a:lin ang="2700000" scaled="0"/>
      </a:gradFill>
      <a:gradFill>
        <a:gsLst>
          <a:gs pos="0">
            <a:srgbClr val="FFFFFF">
              <a:hueOff val="-2520000"/>
            </a:srgbClr>
          </a:gs>
          <a:gs pos="100000">
            <a:srgbClr val="FFFFFF"/>
          </a:gs>
        </a:gsLst>
        <a:lin ang="2700000" scaled="0"/>
      </a:gradFill>
    </a:fillStyleLst>
    <a:lnStyleLst>
      <a:ln w="12700" cap="flat" cmpd="sng" algn="ctr">
        <a:solidFill>
          <a:srgbClr val="FFFFFF"/>
        </a:solidFill>
        <a:prstDash val="solid"/>
        <a:miter lim="800000"/>
      </a:ln>
      <a:ln w="12700" cap="flat" cmpd="sng" algn="ctr">
        <a:solidFill>
          <a:srgbClr val="FFFFFF"/>
        </a:solidFill>
        <a:prstDash val="solid"/>
        <a:miter lim="800000"/>
      </a:ln>
      <a:ln w="12700" cap="flat" cmpd="sng" algn="ctr">
        <a:gradFill>
          <a:gsLst>
            <a:gs pos="0">
              <a:srgbClr val="FFFFFF">
                <a:hueOff val="-4200000"/>
              </a:srgbClr>
            </a:gs>
            <a:gs pos="100000">
              <a:srgbClr val="FFFFFF"/>
            </a:gs>
          </a:gsLst>
          <a:lin ang="2700000" scaled="1"/>
        </a:gradFill>
        <a:prstDash val="solid"/>
        <a:miter lim="800000"/>
      </a:ln>
    </a:lnStyleLst>
    <a:effectStyleLst>
      <a:effectStyle>
        <a:effectLst>
          <a:outerShdw blurRad="101600" dist="50800" dir="5400000" algn="ctr" rotWithShape="0">
            <a:srgbClr val="FFFFFF">
              <a:alpha val="60000"/>
            </a:srgb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rgbClr val="FFFFFF"/>
      </a:solidFill>
      <a:solidFill>
        <a:srgbClr val="FFFFFF">
          <a:tint val="95000"/>
          <a:satMod val="170000"/>
        </a:srgbClr>
      </a:solidFill>
      <a:gradFill rotWithShape="1">
        <a:gsLst>
          <a:gs pos="0">
            <a:srgbClr val="FFFFFF">
              <a:tint val="93000"/>
              <a:satMod val="150000"/>
              <a:shade val="98000"/>
              <a:lumMod val="102000"/>
            </a:srgbClr>
          </a:gs>
          <a:gs pos="50000">
            <a:srgbClr val="FBFBFB">
              <a:tint val="98000"/>
              <a:satMod val="130000"/>
              <a:shade val="90000"/>
              <a:lumMod val="103000"/>
            </a:srgbClr>
          </a:gs>
          <a:gs pos="100000">
            <a:srgbClr val="D0D0D0">
              <a:shade val="63000"/>
              <a:satMod val="120000"/>
            </a:srgbClr>
          </a:gs>
        </a:gsLst>
        <a:lin ang="5400000" scaled="0"/>
      </a:gradFill>
    </a:bgFillStyleLst>
  </a:fmtScheme>
</a:themeOverride>
</file>

<file path=word/theme/themeOverride3.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rgbClr val="FFFFFF"/>
      </a:solidFill>
      <a:gradFill>
        <a:gsLst>
          <a:gs pos="0">
            <a:srgbClr val="FFFFFF">
              <a:lumOff val="17500"/>
            </a:srgbClr>
          </a:gs>
          <a:gs pos="100000">
            <a:srgbClr val="FFFFFF"/>
          </a:gs>
        </a:gsLst>
        <a:lin ang="2700000" scaled="0"/>
      </a:gradFill>
      <a:gradFill>
        <a:gsLst>
          <a:gs pos="0">
            <a:srgbClr val="FFFFFF">
              <a:hueOff val="-2520000"/>
            </a:srgbClr>
          </a:gs>
          <a:gs pos="100000">
            <a:srgbClr val="FFFFFF"/>
          </a:gs>
        </a:gsLst>
        <a:lin ang="2700000" scaled="0"/>
      </a:gradFill>
    </a:fillStyleLst>
    <a:lnStyleLst>
      <a:ln w="12700" cap="flat" cmpd="sng" algn="ctr">
        <a:solidFill>
          <a:srgbClr val="FFFFFF"/>
        </a:solidFill>
        <a:prstDash val="solid"/>
        <a:miter lim="800000"/>
      </a:ln>
      <a:ln w="12700" cap="flat" cmpd="sng" algn="ctr">
        <a:solidFill>
          <a:srgbClr val="FFFFFF"/>
        </a:solidFill>
        <a:prstDash val="solid"/>
        <a:miter lim="800000"/>
      </a:ln>
      <a:ln w="12700" cap="flat" cmpd="sng" algn="ctr">
        <a:gradFill>
          <a:gsLst>
            <a:gs pos="0">
              <a:srgbClr val="FFFFFF">
                <a:hueOff val="-4200000"/>
              </a:srgbClr>
            </a:gs>
            <a:gs pos="100000">
              <a:srgbClr val="FFFFFF"/>
            </a:gs>
          </a:gsLst>
          <a:lin ang="2700000" scaled="1"/>
        </a:gradFill>
        <a:prstDash val="solid"/>
        <a:miter lim="800000"/>
      </a:ln>
    </a:lnStyleLst>
    <a:effectStyleLst>
      <a:effectStyle>
        <a:effectLst>
          <a:outerShdw blurRad="101600" dist="50800" dir="5400000" algn="ctr" rotWithShape="0">
            <a:srgbClr val="FFFFFF">
              <a:alpha val="60000"/>
            </a:srgb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rgbClr val="FFFFFF"/>
      </a:solidFill>
      <a:solidFill>
        <a:srgbClr val="FFFFFF">
          <a:tint val="95000"/>
          <a:satMod val="170000"/>
        </a:srgbClr>
      </a:solidFill>
      <a:gradFill rotWithShape="1">
        <a:gsLst>
          <a:gs pos="0">
            <a:srgbClr val="FFFFFF">
              <a:tint val="93000"/>
              <a:satMod val="150000"/>
              <a:shade val="98000"/>
              <a:lumMod val="102000"/>
            </a:srgbClr>
          </a:gs>
          <a:gs pos="50000">
            <a:srgbClr val="FBFBFB">
              <a:tint val="98000"/>
              <a:satMod val="130000"/>
              <a:shade val="90000"/>
              <a:lumMod val="103000"/>
            </a:srgbClr>
          </a:gs>
          <a:gs pos="100000">
            <a:srgbClr val="D0D0D0">
              <a:shade val="63000"/>
              <a:satMod val="120000"/>
            </a:srgbClr>
          </a:gs>
        </a:gsLst>
        <a:lin ang="5400000" scaled="0"/>
      </a:gradFill>
    </a:bgFillStyleLst>
  </a:fmtScheme>
</a:themeOverride>
</file>

<file path=word/theme/themeOverride4.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56</Pages>
  <Words>18382</Words>
  <Characters>20157</Characters>
  <Lines>61</Lines>
  <Paragraphs>17</Paragraphs>
  <TotalTime>10</TotalTime>
  <ScaleCrop>false</ScaleCrop>
  <LinksUpToDate>false</LinksUpToDate>
  <CharactersWithSpaces>20476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冰点</cp:lastModifiedBy>
  <cp:lastPrinted>2024-08-29T07:15:00Z</cp:lastPrinted>
  <dcterms:modified xsi:type="dcterms:W3CDTF">2024-09-12T02:09:00Z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432B165960ED4C359102FEDFE09D718A_12</vt:lpwstr>
  </property>
</Properties>
</file>