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color w:val="000000"/>
          <w:spacing w:val="10"/>
          <w:kern w:val="2"/>
          <w:sz w:val="32"/>
          <w:szCs w:val="32"/>
          <w:lang w:val="en-US" w:eastAsia="zh-CN" w:bidi="ar-SA"/>
        </w:rPr>
      </w:pPr>
      <w:r>
        <w:rPr>
          <w:rFonts w:hint="default" w:ascii="Times New Roman" w:hAnsi="Times New Roman" w:eastAsia="黑体" w:cs="Times New Roman"/>
          <w:color w:val="000000"/>
          <w:spacing w:val="10"/>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val="0"/>
        <w:snapToGrid w:val="0"/>
        <w:spacing w:line="200" w:lineRule="exact"/>
        <w:ind w:left="0"/>
        <w:jc w:val="both"/>
        <w:textAlignment w:val="auto"/>
        <w:rPr>
          <w:rFonts w:hint="default" w:ascii="Times New Roman" w:hAnsi="Times New Roman" w:eastAsia="黑体" w:cs="Times New Roman"/>
          <w:color w:val="000000"/>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val="0"/>
          <w:spacing w:val="-8"/>
          <w:sz w:val="44"/>
          <w:szCs w:val="44"/>
        </w:rPr>
      </w:pPr>
      <w:bookmarkStart w:id="0" w:name="_GoBack"/>
      <w:r>
        <w:rPr>
          <w:rFonts w:hint="eastAsia" w:ascii="方正小标宋简体" w:hAnsi="方正小标宋简体" w:eastAsia="方正小标宋简体" w:cs="方正小标宋简体"/>
          <w:b w:val="0"/>
          <w:bCs w:val="0"/>
          <w:spacing w:val="-8"/>
          <w:sz w:val="44"/>
          <w:szCs w:val="44"/>
        </w:rPr>
        <w:t>四川天盈实业有限责任公司及全资子公司简介</w:t>
      </w:r>
    </w:p>
    <w:bookmarkEnd w:id="0"/>
    <w:p>
      <w:pPr>
        <w:keepNext w:val="0"/>
        <w:keepLines w:val="0"/>
        <w:pageBreakBefore w:val="0"/>
        <w:widowControl w:val="0"/>
        <w:kinsoku/>
        <w:wordWrap/>
        <w:overflowPunct/>
        <w:topLinePunct w:val="0"/>
        <w:autoSpaceDE/>
        <w:autoSpaceDN/>
        <w:bidi w:val="0"/>
        <w:adjustRightInd/>
        <w:snapToGrid/>
        <w:spacing w:line="200" w:lineRule="exact"/>
        <w:ind w:left="0"/>
        <w:jc w:val="center"/>
        <w:textAlignment w:val="auto"/>
        <w:rPr>
          <w:rFonts w:hint="default" w:ascii="方正小标宋简体" w:hAnsi="方正小标宋简体" w:eastAsia="方正小标宋简体" w:cs="方正小标宋简体"/>
          <w:b w:val="0"/>
          <w:bCs w:val="0"/>
          <w:spacing w:val="-8"/>
          <w:sz w:val="44"/>
          <w:szCs w:val="44"/>
        </w:rPr>
      </w:pPr>
    </w:p>
    <w:tbl>
      <w:tblPr>
        <w:tblStyle w:val="4"/>
        <w:tblpPr w:leftFromText="180" w:rightFromText="180" w:vertAnchor="text" w:horzAnchor="page" w:tblpX="1487" w:tblpY="38"/>
        <w:tblOverlap w:val="never"/>
        <w:tblW w:w="89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338"/>
        <w:gridCol w:w="6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trPr>
        <w:tc>
          <w:tcPr>
            <w:tcW w:w="84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黑体" w:hAnsi="黑体" w:eastAsia="黑体" w:cs="黑体"/>
                <w:kern w:val="2"/>
                <w:sz w:val="28"/>
                <w:szCs w:val="28"/>
                <w:lang w:val="en-US" w:eastAsia="en-US" w:bidi="ar-SA"/>
              </w:rPr>
            </w:pPr>
            <w:r>
              <w:rPr>
                <w:rFonts w:hint="eastAsia" w:ascii="黑体" w:hAnsi="黑体" w:eastAsia="黑体" w:cs="黑体"/>
                <w:spacing w:val="7"/>
                <w:kern w:val="2"/>
                <w:sz w:val="28"/>
                <w:szCs w:val="28"/>
                <w:lang w:val="en-US" w:eastAsia="en-US" w:bidi="ar-SA"/>
              </w:rPr>
              <w:t>序号</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黑体" w:hAnsi="黑体" w:eastAsia="黑体" w:cs="黑体"/>
                <w:kern w:val="2"/>
                <w:sz w:val="28"/>
                <w:szCs w:val="28"/>
                <w:lang w:val="en-US" w:eastAsia="en-US" w:bidi="ar-SA"/>
              </w:rPr>
            </w:pPr>
            <w:r>
              <w:rPr>
                <w:rFonts w:hint="eastAsia" w:ascii="黑体" w:hAnsi="黑体" w:eastAsia="黑体" w:cs="黑体"/>
                <w:spacing w:val="6"/>
                <w:kern w:val="2"/>
                <w:sz w:val="28"/>
                <w:szCs w:val="28"/>
                <w:lang w:val="en-US" w:eastAsia="en-US" w:bidi="ar-SA"/>
              </w:rPr>
              <w:t>名称</w:t>
            </w:r>
          </w:p>
        </w:tc>
        <w:tc>
          <w:tcPr>
            <w:tcW w:w="6763" w:type="dxa"/>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黑体" w:hAnsi="黑体" w:eastAsia="黑体" w:cs="黑体"/>
                <w:kern w:val="2"/>
                <w:sz w:val="28"/>
                <w:szCs w:val="28"/>
                <w:lang w:val="en-US" w:eastAsia="en-US" w:bidi="ar-SA"/>
              </w:rPr>
            </w:pPr>
            <w:r>
              <w:rPr>
                <w:rFonts w:hint="eastAsia" w:ascii="黑体" w:hAnsi="黑体" w:eastAsia="黑体" w:cs="黑体"/>
                <w:spacing w:val="-2"/>
                <w:kern w:val="2"/>
                <w:sz w:val="28"/>
                <w:szCs w:val="28"/>
                <w:lang w:val="en-US" w:eastAsia="en-US" w:bidi="ar-SA"/>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2" w:hRule="atLeast"/>
        </w:trPr>
        <w:tc>
          <w:tcPr>
            <w:tcW w:w="844" w:type="dxa"/>
            <w:vAlign w:val="center"/>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78" w:lineRule="auto"/>
              <w:ind w:left="0" w:right="0" w:firstLine="0"/>
              <w:jc w:val="center"/>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spacing w:val="2"/>
                <w:kern w:val="2"/>
                <w:sz w:val="24"/>
                <w:szCs w:val="24"/>
                <w:lang w:val="en-US" w:eastAsia="en-US" w:bidi="ar-SA"/>
              </w:rPr>
              <w:t xml:space="preserve">四川天盈 </w:t>
            </w:r>
            <w:r>
              <w:rPr>
                <w:rFonts w:hint="default" w:ascii="Times New Roman" w:hAnsi="Times New Roman" w:eastAsia="宋体" w:cs="Times New Roman"/>
                <w:spacing w:val="3"/>
                <w:kern w:val="2"/>
                <w:sz w:val="24"/>
                <w:szCs w:val="24"/>
                <w:lang w:val="en-US" w:eastAsia="en-US" w:bidi="ar-SA"/>
              </w:rPr>
              <w:t>实业有限</w:t>
            </w:r>
            <w:r>
              <w:rPr>
                <w:rFonts w:hint="default" w:ascii="Times New Roman" w:hAnsi="Times New Roman" w:eastAsia="宋体" w:cs="Times New Roman"/>
                <w:kern w:val="2"/>
                <w:sz w:val="24"/>
                <w:szCs w:val="24"/>
                <w:lang w:val="en-US" w:eastAsia="en-US" w:bidi="ar-SA"/>
              </w:rPr>
              <w:t xml:space="preserve"> </w:t>
            </w:r>
            <w:r>
              <w:rPr>
                <w:rFonts w:hint="default" w:ascii="Times New Roman" w:hAnsi="Times New Roman" w:eastAsia="宋体" w:cs="Times New Roman"/>
                <w:spacing w:val="8"/>
                <w:kern w:val="2"/>
                <w:sz w:val="24"/>
                <w:szCs w:val="24"/>
                <w:lang w:val="en-US" w:eastAsia="en-US" w:bidi="ar-SA"/>
              </w:rPr>
              <w:t>责任公司</w:t>
            </w:r>
          </w:p>
        </w:tc>
        <w:tc>
          <w:tcPr>
            <w:tcW w:w="67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jc w:val="left"/>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spacing w:val="1"/>
                <w:kern w:val="2"/>
                <w:sz w:val="24"/>
                <w:szCs w:val="24"/>
                <w:lang w:val="en-US" w:eastAsia="en-US" w:bidi="ar-SA"/>
              </w:rPr>
              <w:t>四川天盈实业有限责任公司是经遂宁市人民政府批准设立，由遂宁市政府国有资产监督管理委员会、国开发</w:t>
            </w:r>
            <w:r>
              <w:rPr>
                <w:rFonts w:hint="default" w:ascii="Times New Roman" w:hAnsi="Times New Roman" w:eastAsia="宋体" w:cs="Times New Roman"/>
                <w:kern w:val="2"/>
                <w:sz w:val="24"/>
                <w:szCs w:val="24"/>
                <w:lang w:val="en-US" w:eastAsia="en-US" w:bidi="ar-SA"/>
              </w:rPr>
              <w:t>展基金有限公司共同出资的市属国有公司，公司注册资本8.85亿元，信用等级为AA。主要负责高新区市政工程、民生工程、水利工程等基础设施项目的投</w:t>
            </w:r>
            <w:r>
              <w:rPr>
                <w:rFonts w:hint="default" w:ascii="Times New Roman" w:hAnsi="Times New Roman" w:eastAsia="宋体" w:cs="Times New Roman"/>
                <w:spacing w:val="2"/>
                <w:kern w:val="2"/>
                <w:sz w:val="24"/>
                <w:szCs w:val="24"/>
                <w:lang w:val="en-US" w:eastAsia="en-US" w:bidi="ar-SA"/>
              </w:rPr>
              <w:t>资、融资和建设，从事授权范围内国有资产经营管理和资本运作，</w:t>
            </w:r>
            <w:r>
              <w:rPr>
                <w:rFonts w:hint="default" w:ascii="Times New Roman" w:hAnsi="Times New Roman" w:eastAsia="宋体" w:cs="Times New Roman"/>
                <w:kern w:val="2"/>
                <w:sz w:val="24"/>
                <w:szCs w:val="24"/>
                <w:lang w:val="en-US" w:eastAsia="en-US" w:bidi="ar-SA"/>
              </w:rPr>
              <w:t>同时对核心产业发展的关键环节进行投资及市场化运作，充分参与市场竞争。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844" w:type="dxa"/>
            <w:vAlign w:val="center"/>
          </w:tcPr>
          <w:p>
            <w:pPr>
              <w:keepNext w:val="0"/>
              <w:keepLines w:val="0"/>
              <w:pageBreakBefore w:val="0"/>
              <w:widowControl w:val="0"/>
              <w:kinsoku/>
              <w:wordWrap/>
              <w:overflowPunct/>
              <w:topLinePunct w:val="0"/>
              <w:autoSpaceDE/>
              <w:autoSpaceDN/>
              <w:bidi w:val="0"/>
              <w:adjustRightInd/>
              <w:snapToGrid/>
              <w:spacing w:line="297" w:lineRule="auto"/>
              <w:ind w:left="0" w:right="0" w:firstLine="0"/>
              <w:jc w:val="center"/>
              <w:textAlignment w:val="auto"/>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kern w:val="2"/>
                <w:sz w:val="24"/>
                <w:szCs w:val="24"/>
                <w:lang w:val="en-US" w:eastAsia="en-US" w:bidi="ar-SA"/>
              </w:rPr>
              <w:t>2</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308" w:lineRule="auto"/>
              <w:ind w:left="0" w:right="0" w:firstLine="0"/>
              <w:jc w:val="center"/>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kern w:val="2"/>
                <w:sz w:val="24"/>
                <w:szCs w:val="24"/>
                <w:lang w:val="en-US" w:eastAsia="en-US" w:bidi="ar-SA"/>
              </w:rPr>
              <w:t>四川盈诚</w:t>
            </w:r>
          </w:p>
          <w:p>
            <w:pPr>
              <w:keepNext w:val="0"/>
              <w:keepLines w:val="0"/>
              <w:pageBreakBefore w:val="0"/>
              <w:widowControl w:val="0"/>
              <w:kinsoku/>
              <w:wordWrap/>
              <w:overflowPunct/>
              <w:topLinePunct w:val="0"/>
              <w:autoSpaceDE/>
              <w:autoSpaceDN/>
              <w:bidi w:val="0"/>
              <w:adjustRightInd/>
              <w:snapToGrid/>
              <w:spacing w:line="308" w:lineRule="auto"/>
              <w:ind w:left="0" w:right="0" w:firstLine="0"/>
              <w:jc w:val="center"/>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kern w:val="2"/>
                <w:sz w:val="24"/>
                <w:szCs w:val="24"/>
                <w:lang w:val="en-US" w:eastAsia="en-US" w:bidi="ar-SA"/>
              </w:rPr>
              <w:t>实业有限</w:t>
            </w:r>
          </w:p>
          <w:p>
            <w:pPr>
              <w:keepNext w:val="0"/>
              <w:keepLines w:val="0"/>
              <w:pageBreakBefore w:val="0"/>
              <w:widowControl w:val="0"/>
              <w:kinsoku/>
              <w:wordWrap/>
              <w:overflowPunct/>
              <w:topLinePunct w:val="0"/>
              <w:autoSpaceDE/>
              <w:autoSpaceDN/>
              <w:bidi w:val="0"/>
              <w:adjustRightInd/>
              <w:snapToGrid/>
              <w:spacing w:line="308" w:lineRule="auto"/>
              <w:ind w:left="0" w:right="0" w:firstLine="0"/>
              <w:jc w:val="center"/>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kern w:val="2"/>
                <w:sz w:val="24"/>
                <w:szCs w:val="24"/>
                <w:lang w:val="en-US" w:eastAsia="en-US" w:bidi="ar-SA"/>
              </w:rPr>
              <w:t>责任公司</w:t>
            </w:r>
          </w:p>
        </w:tc>
        <w:tc>
          <w:tcPr>
            <w:tcW w:w="67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en-US" w:bidi="ar-SA"/>
              </w:rPr>
              <w:t>四川盈诚实业有限责任公司</w:t>
            </w:r>
            <w:r>
              <w:rPr>
                <w:rFonts w:hint="eastAsia" w:ascii="Times New Roman" w:hAnsi="Times New Roman" w:eastAsia="宋体" w:cs="Times New Roman"/>
                <w:kern w:val="2"/>
                <w:sz w:val="24"/>
                <w:szCs w:val="24"/>
                <w:lang w:val="en-US" w:eastAsia="zh-CN" w:bidi="ar-SA"/>
              </w:rPr>
              <w:t>是由中国西部现代物流港管理委员会出资成立的国有公司，公司注册资本1亿元。主要从事遂宁高新区统征土地进行开发和城市基础建设设施建设及道路、桥梁、房地产开发 、园林项目投资，物流项目建设投资，资产投资、经营、管理等业务。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8" w:hRule="atLeast"/>
        </w:trPr>
        <w:tc>
          <w:tcPr>
            <w:tcW w:w="844" w:type="dxa"/>
            <w:vAlign w:val="center"/>
          </w:tcPr>
          <w:p>
            <w:pPr>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kern w:val="2"/>
                <w:sz w:val="24"/>
                <w:szCs w:val="24"/>
                <w:lang w:val="en-US" w:eastAsia="en-US" w:bidi="ar-SA"/>
              </w:rPr>
              <w:t>3</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308" w:lineRule="auto"/>
              <w:ind w:left="0" w:right="0" w:firstLine="0"/>
              <w:jc w:val="center"/>
              <w:textAlignment w:val="auto"/>
              <w:rPr>
                <w:rFonts w:hint="default" w:ascii="Times New Roman" w:hAnsi="Times New Roman" w:eastAsia="宋体" w:cs="Times New Roman"/>
                <w:spacing w:val="-2"/>
                <w:kern w:val="2"/>
                <w:sz w:val="24"/>
                <w:szCs w:val="24"/>
                <w:lang w:val="en-US" w:eastAsia="en-US" w:bidi="ar-SA"/>
              </w:rPr>
            </w:pPr>
            <w:r>
              <w:rPr>
                <w:rFonts w:hint="default" w:ascii="Times New Roman" w:hAnsi="Times New Roman" w:eastAsia="宋体" w:cs="Times New Roman"/>
                <w:spacing w:val="-2"/>
                <w:kern w:val="2"/>
                <w:sz w:val="24"/>
                <w:szCs w:val="24"/>
                <w:lang w:val="en-US" w:eastAsia="en-US" w:bidi="ar-SA"/>
              </w:rPr>
              <w:t>遂宁盈康</w:t>
            </w:r>
          </w:p>
          <w:p>
            <w:pPr>
              <w:keepNext w:val="0"/>
              <w:keepLines w:val="0"/>
              <w:pageBreakBefore w:val="0"/>
              <w:widowControl w:val="0"/>
              <w:kinsoku/>
              <w:wordWrap/>
              <w:overflowPunct/>
              <w:topLinePunct w:val="0"/>
              <w:autoSpaceDE/>
              <w:autoSpaceDN/>
              <w:bidi w:val="0"/>
              <w:adjustRightInd/>
              <w:snapToGrid/>
              <w:spacing w:line="308" w:lineRule="auto"/>
              <w:ind w:left="0" w:right="0" w:firstLine="0"/>
              <w:jc w:val="center"/>
              <w:textAlignment w:val="auto"/>
              <w:rPr>
                <w:rFonts w:hint="default" w:ascii="Times New Roman" w:hAnsi="Times New Roman" w:eastAsia="宋体" w:cs="Times New Roman"/>
                <w:spacing w:val="2"/>
                <w:kern w:val="2"/>
                <w:sz w:val="24"/>
                <w:szCs w:val="24"/>
                <w:lang w:val="en-US" w:eastAsia="en-US" w:bidi="ar-SA"/>
              </w:rPr>
            </w:pPr>
            <w:r>
              <w:rPr>
                <w:rFonts w:hint="default" w:ascii="Times New Roman" w:hAnsi="Times New Roman" w:eastAsia="宋体" w:cs="Times New Roman"/>
                <w:spacing w:val="2"/>
                <w:kern w:val="2"/>
                <w:sz w:val="24"/>
                <w:szCs w:val="24"/>
                <w:lang w:val="en-US" w:eastAsia="en-US" w:bidi="ar-SA"/>
              </w:rPr>
              <w:t>建筑工程</w:t>
            </w:r>
          </w:p>
          <w:p>
            <w:pPr>
              <w:keepNext w:val="0"/>
              <w:keepLines w:val="0"/>
              <w:pageBreakBefore w:val="0"/>
              <w:widowControl w:val="0"/>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spacing w:val="8"/>
                <w:kern w:val="2"/>
                <w:sz w:val="24"/>
                <w:szCs w:val="24"/>
                <w:lang w:val="en-US" w:eastAsia="en-US" w:bidi="ar-SA"/>
              </w:rPr>
              <w:t>有限公司</w:t>
            </w:r>
          </w:p>
        </w:tc>
        <w:tc>
          <w:tcPr>
            <w:tcW w:w="67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76" w:firstLineChars="200"/>
              <w:jc w:val="left"/>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spacing w:val="-1"/>
                <w:kern w:val="2"/>
                <w:sz w:val="24"/>
                <w:szCs w:val="24"/>
                <w:lang w:val="en-US" w:eastAsia="en-US" w:bidi="ar-SA"/>
              </w:rPr>
              <w:t>遂宁盈康建筑工程有限公司系四川天盈实业</w:t>
            </w:r>
            <w:r>
              <w:rPr>
                <w:rFonts w:hint="default" w:ascii="Times New Roman" w:hAnsi="Times New Roman" w:eastAsia="宋体" w:cs="Times New Roman"/>
                <w:spacing w:val="-2"/>
                <w:kern w:val="2"/>
                <w:sz w:val="24"/>
                <w:szCs w:val="24"/>
                <w:lang w:val="en-US" w:eastAsia="en-US" w:bidi="ar-SA"/>
              </w:rPr>
              <w:t>有限责任公司出资</w:t>
            </w:r>
            <w:r>
              <w:rPr>
                <w:rFonts w:hint="default" w:ascii="Times New Roman" w:hAnsi="Times New Roman" w:eastAsia="宋体" w:cs="Times New Roman"/>
                <w:spacing w:val="2"/>
                <w:kern w:val="2"/>
                <w:sz w:val="24"/>
                <w:szCs w:val="24"/>
                <w:lang w:val="en-US" w:eastAsia="en-US" w:bidi="ar-SA"/>
              </w:rPr>
              <w:t>的市属国有公司全资子公司，公司注册资本2000万元。</w:t>
            </w:r>
            <w:r>
              <w:rPr>
                <w:rFonts w:hint="default" w:ascii="Times New Roman" w:hAnsi="Times New Roman" w:eastAsia="宋体" w:cs="Times New Roman"/>
                <w:spacing w:val="-2"/>
                <w:kern w:val="2"/>
                <w:sz w:val="24"/>
                <w:szCs w:val="24"/>
                <w:lang w:val="en-US" w:eastAsia="en-US" w:bidi="ar-SA"/>
              </w:rPr>
              <w:t>主要从事住宅房屋建筑，建筑工程，市政公用工程，公路工程建筑，</w:t>
            </w:r>
            <w:r>
              <w:rPr>
                <w:rFonts w:hint="default" w:ascii="Times New Roman" w:hAnsi="Times New Roman" w:eastAsia="宋体" w:cs="Times New Roman"/>
                <w:spacing w:val="-1"/>
                <w:kern w:val="2"/>
                <w:sz w:val="24"/>
                <w:szCs w:val="24"/>
                <w:lang w:val="en-US" w:eastAsia="en-US" w:bidi="ar-SA"/>
              </w:rPr>
              <w:t>住宅装饰和装修，公共建筑装饰和装修，城市及道路照</w:t>
            </w:r>
            <w:r>
              <w:rPr>
                <w:rFonts w:hint="default" w:ascii="Times New Roman" w:hAnsi="Times New Roman" w:eastAsia="宋体" w:cs="Times New Roman"/>
                <w:spacing w:val="-2"/>
                <w:kern w:val="2"/>
                <w:sz w:val="24"/>
                <w:szCs w:val="24"/>
                <w:lang w:val="en-US" w:eastAsia="en-US" w:bidi="ar-SA"/>
              </w:rPr>
              <w:t>明工程，建</w:t>
            </w:r>
            <w:r>
              <w:rPr>
                <w:rFonts w:hint="default" w:ascii="Times New Roman" w:hAnsi="Times New Roman" w:eastAsia="宋体" w:cs="Times New Roman"/>
                <w:spacing w:val="5"/>
                <w:kern w:val="2"/>
                <w:sz w:val="24"/>
                <w:szCs w:val="24"/>
                <w:lang w:val="en-US" w:eastAsia="en-US" w:bidi="ar-SA"/>
              </w:rPr>
              <w:t>筑机电安装工程等业务。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844" w:type="dxa"/>
            <w:vAlign w:val="center"/>
          </w:tcPr>
          <w:p>
            <w:pPr>
              <w:keepNext w:val="0"/>
              <w:keepLines w:val="0"/>
              <w:pageBreakBefore w:val="0"/>
              <w:widowControl w:val="0"/>
              <w:kinsoku/>
              <w:wordWrap/>
              <w:overflowPunct/>
              <w:topLinePunct w:val="0"/>
              <w:autoSpaceDE/>
              <w:autoSpaceDN/>
              <w:bidi w:val="0"/>
              <w:adjustRightInd/>
              <w:snapToGrid/>
              <w:spacing w:line="183" w:lineRule="auto"/>
              <w:ind w:left="0" w:right="0" w:firstLine="0"/>
              <w:jc w:val="center"/>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遂宁星源</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教育管理</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有限责任</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公司</w:t>
            </w:r>
          </w:p>
        </w:tc>
        <w:tc>
          <w:tcPr>
            <w:tcW w:w="67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jc w:val="left"/>
              <w:textAlignment w:val="auto"/>
              <w:rPr>
                <w:rFonts w:hint="default" w:ascii="Times New Roman" w:hAnsi="Times New Roman" w:eastAsia="宋体" w:cs="Times New Roman"/>
                <w:kern w:val="2"/>
                <w:sz w:val="24"/>
                <w:szCs w:val="24"/>
                <w:lang w:val="en-US" w:eastAsia="en-US" w:bidi="ar-SA"/>
              </w:rPr>
            </w:pPr>
            <w:r>
              <w:rPr>
                <w:rFonts w:hint="default" w:ascii="Times New Roman" w:hAnsi="Times New Roman" w:eastAsia="宋体" w:cs="Times New Roman"/>
                <w:kern w:val="2"/>
                <w:sz w:val="24"/>
                <w:szCs w:val="24"/>
                <w:lang w:val="en-US" w:eastAsia="zh-CN" w:bidi="ar-SA"/>
              </w:rPr>
              <w:t>遂宁星源教育管理有限责任公司</w:t>
            </w:r>
            <w:r>
              <w:rPr>
                <w:rFonts w:hint="eastAsia" w:ascii="Times New Roman" w:hAnsi="Times New Roman" w:eastAsia="宋体" w:cs="Times New Roman"/>
                <w:kern w:val="2"/>
                <w:sz w:val="24"/>
                <w:szCs w:val="24"/>
                <w:lang w:val="en-US" w:eastAsia="zh-CN" w:bidi="ar-SA"/>
              </w:rPr>
              <w:t>系四川盈诚实业有限责任公司出资的市属国有公司全资子公司，成立于2023年5月，公司注册资本1000万元。主要从事劳务派遣、人力资源服务、教育咨询服务等业务，致力于为企事业单位提供人才招聘、灵活用工、咨询培训等全方位人力资源解决方案。</w:t>
            </w:r>
          </w:p>
        </w:tc>
      </w:tr>
    </w:tbl>
    <w:p>
      <w:pPr>
        <w:spacing w:line="50" w:lineRule="exact"/>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color w:val="000000"/>
          <w:spacing w:val="10"/>
          <w:kern w:val="2"/>
          <w:sz w:val="32"/>
          <w:szCs w:val="32"/>
          <w:lang w:val="en-US" w:eastAsia="zh-CN" w:bidi="ar-SA"/>
        </w:rPr>
      </w:pPr>
    </w:p>
    <w:p/>
    <w:sectPr>
      <w:footerReference r:id="rId3" w:type="default"/>
      <w:pgSz w:w="11906" w:h="16838"/>
      <w:pgMar w:top="2098" w:right="1587" w:bottom="2098"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8815"/>
      <w:rPr>
        <w:rFonts w:ascii="宋体" w:hAnsi="宋体" w:eastAsia="宋体" w:cs="宋体"/>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9049B"/>
    <w:rsid w:val="5289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2024-05-23T01:14:00Z</dcterms:created>
  <dc:creator>x</dc:creator>
  <cp:lastModifiedBy>x</cp:lastModifiedBy>
  <dcterms:modified xsi:type="dcterms:W3CDTF">2024-05-23T01:14:19Z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F82FAA194BB949238E4F4DB8A4AEDE6E</vt:lpwstr>
  </property>
</Properties>
</file>