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olor w:val="auto"/>
          <w:szCs w:val="32"/>
          <w:lang w:eastAsia="zh-CN"/>
        </w:rPr>
      </w:pPr>
    </w:p>
    <w:p>
      <w:pPr>
        <w:spacing w:line="600" w:lineRule="exact"/>
        <w:jc w:val="center"/>
        <w:rPr>
          <w:rFonts w:ascii="方正小标宋简体" w:eastAsia="方正小标宋简体"/>
          <w:color w:val="auto"/>
          <w:sz w:val="44"/>
          <w:szCs w:val="44"/>
        </w:rPr>
      </w:pPr>
    </w:p>
    <w:p>
      <w:pPr>
        <w:spacing w:line="600" w:lineRule="exact"/>
        <w:jc w:val="center"/>
        <w:rPr>
          <w:rFonts w:ascii="方正小标宋简体" w:eastAsia="方正小标宋简体"/>
          <w:color w:val="auto"/>
          <w:sz w:val="44"/>
          <w:szCs w:val="44"/>
        </w:rPr>
      </w:pPr>
    </w:p>
    <w:p>
      <w:pPr>
        <w:spacing w:line="600" w:lineRule="exact"/>
        <w:jc w:val="center"/>
        <w:rPr>
          <w:rFonts w:ascii="方正小标宋简体" w:eastAsia="方正小标宋简体"/>
          <w:color w:val="auto"/>
          <w:sz w:val="44"/>
          <w:szCs w:val="44"/>
        </w:rPr>
      </w:pPr>
    </w:p>
    <w:p>
      <w:pPr>
        <w:jc w:val="center"/>
        <w:rPr>
          <w:rFonts w:hint="eastAsia" w:ascii="方正小标宋简体" w:eastAsia="方正小标宋简体"/>
          <w:color w:val="auto"/>
          <w:sz w:val="52"/>
          <w:szCs w:val="52"/>
          <w:lang w:eastAsia="zh-CN"/>
        </w:rPr>
      </w:pPr>
      <w:r>
        <w:rPr>
          <w:rFonts w:hint="eastAsia" w:ascii="方正小标宋简体" w:hAnsi="Times New Roman" w:eastAsia="方正小标宋简体" w:cs="Times New Roman"/>
          <w:color w:val="auto"/>
          <w:sz w:val="52"/>
          <w:szCs w:val="52"/>
          <w:lang w:eastAsia="zh-CN"/>
        </w:rPr>
        <w:t>遂宁高新区经济合作中心</w:t>
      </w:r>
    </w:p>
    <w:p>
      <w:pPr>
        <w:jc w:val="center"/>
        <w:rPr>
          <w:rFonts w:ascii="方正小标宋简体" w:eastAsia="方正小标宋简体"/>
          <w:color w:val="auto"/>
          <w:sz w:val="52"/>
          <w:szCs w:val="52"/>
        </w:rPr>
      </w:pPr>
      <w:r>
        <w:rPr>
          <w:rFonts w:hint="eastAsia" w:ascii="方正小标宋简体" w:eastAsia="方正小标宋简体"/>
          <w:color w:val="auto"/>
          <w:sz w:val="52"/>
          <w:szCs w:val="52"/>
        </w:rPr>
        <w:t>20</w:t>
      </w:r>
      <w:r>
        <w:rPr>
          <w:rFonts w:hint="eastAsia" w:ascii="方正小标宋简体" w:eastAsia="方正小标宋简体"/>
          <w:color w:val="auto"/>
          <w:sz w:val="52"/>
          <w:szCs w:val="52"/>
          <w:lang w:val="en-US" w:eastAsia="zh-CN"/>
        </w:rPr>
        <w:t>2</w:t>
      </w:r>
      <w:r>
        <w:rPr>
          <w:rFonts w:hint="default" w:ascii="方正小标宋简体" w:eastAsia="方正小标宋简体"/>
          <w:color w:val="auto"/>
          <w:sz w:val="52"/>
          <w:szCs w:val="52"/>
          <w:lang w:val="en-US" w:eastAsia="zh-CN"/>
        </w:rPr>
        <w:t>4</w:t>
      </w:r>
      <w:r>
        <w:rPr>
          <w:rFonts w:hint="eastAsia" w:ascii="方正小标宋简体" w:eastAsia="方正小标宋简体"/>
          <w:color w:val="auto"/>
          <w:sz w:val="52"/>
          <w:szCs w:val="52"/>
        </w:rPr>
        <w:t>年部门预算</w:t>
      </w:r>
    </w:p>
    <w:p>
      <w:pPr>
        <w:spacing w:line="600" w:lineRule="exact"/>
        <w:jc w:val="center"/>
        <w:rPr>
          <w:rFonts w:ascii="仿宋_GB2312"/>
          <w:color w:val="auto"/>
          <w:szCs w:val="44"/>
        </w:rPr>
      </w:pPr>
    </w:p>
    <w:p>
      <w:pPr>
        <w:spacing w:line="600" w:lineRule="exact"/>
        <w:jc w:val="center"/>
        <w:rPr>
          <w:rFonts w:ascii="仿宋_GB2312"/>
          <w:color w:val="auto"/>
          <w:szCs w:val="44"/>
        </w:rPr>
      </w:pPr>
    </w:p>
    <w:p>
      <w:pPr>
        <w:spacing w:line="600" w:lineRule="exact"/>
        <w:jc w:val="center"/>
        <w:rPr>
          <w:rFonts w:hint="eastAsia" w:ascii="仿宋_GB2312"/>
          <w:color w:val="auto"/>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44"/>
          <w:szCs w:val="44"/>
        </w:rPr>
      </w:pPr>
      <w:r>
        <w:rPr>
          <w:rFonts w:ascii="仿宋_GB2312"/>
          <w:color w:val="auto"/>
          <w:szCs w:val="44"/>
        </w:rPr>
        <w:br w:type="page"/>
      </w:r>
      <w:r>
        <w:rPr>
          <w:rFonts w:hint="default" w:ascii="Times New Roman" w:hAnsi="Times New Roman" w:eastAsia="黑体" w:cs="Times New Roman"/>
          <w:b w:val="0"/>
          <w:bCs w:val="0"/>
          <w:color w:val="auto"/>
          <w:sz w:val="44"/>
          <w:szCs w:val="44"/>
        </w:rPr>
        <w:t>目  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color w:val="auto"/>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Cs w:val="44"/>
        </w:rPr>
      </w:pPr>
      <w:r>
        <w:rPr>
          <w:rFonts w:hint="default" w:ascii="Times New Roman" w:hAnsi="Times New Roman" w:eastAsia="黑体" w:cs="Times New Roman"/>
          <w:b w:val="0"/>
          <w:bCs w:val="0"/>
          <w:color w:val="auto"/>
          <w:szCs w:val="44"/>
        </w:rPr>
        <w:t>第一部分  20</w:t>
      </w:r>
      <w:r>
        <w:rPr>
          <w:rFonts w:hint="default" w:ascii="Times New Roman" w:hAnsi="Times New Roman" w:eastAsia="黑体" w:cs="Times New Roman"/>
          <w:b w:val="0"/>
          <w:bCs w:val="0"/>
          <w:color w:val="auto"/>
          <w:szCs w:val="44"/>
          <w:lang w:val="en-US" w:eastAsia="zh-CN"/>
        </w:rPr>
        <w:t>2</w:t>
      </w:r>
      <w:r>
        <w:rPr>
          <w:rFonts w:hint="default" w:eastAsia="黑体" w:cs="Times New Roman"/>
          <w:b w:val="0"/>
          <w:bCs w:val="0"/>
          <w:color w:val="auto"/>
          <w:szCs w:val="44"/>
          <w:lang w:val="en-US" w:eastAsia="zh-CN"/>
        </w:rPr>
        <w:t>4</w:t>
      </w:r>
      <w:r>
        <w:rPr>
          <w:rFonts w:hint="default" w:ascii="Times New Roman" w:hAnsi="Times New Roman" w:eastAsia="黑体" w:cs="Times New Roman"/>
          <w:b w:val="0"/>
          <w:bCs w:val="0"/>
          <w:color w:val="auto"/>
          <w:szCs w:val="44"/>
        </w:rPr>
        <w:t>年部门预算编制说明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二、部门预算单位构成</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三、收支预算情况说明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四、财政拨款收支预算情况说明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六、一般公共预算基本支出情况说明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left="1264" w:leftChars="200" w:hanging="632" w:hanging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九、政府性基金预算支出情况说明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十、国有资本经营预算支出情况说明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十一、其他重要事项的情况说明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十二、名词解释</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Cs w:val="44"/>
        </w:rPr>
      </w:pPr>
      <w:r>
        <w:rPr>
          <w:rFonts w:hint="default" w:ascii="Times New Roman" w:hAnsi="Times New Roman" w:eastAsia="黑体" w:cs="Times New Roman"/>
          <w:b w:val="0"/>
          <w:bCs w:val="0"/>
          <w:color w:val="auto"/>
          <w:szCs w:val="44"/>
        </w:rPr>
        <w:t>第二部分  20</w:t>
      </w:r>
      <w:r>
        <w:rPr>
          <w:rFonts w:hint="default" w:ascii="Times New Roman" w:hAnsi="Times New Roman" w:eastAsia="黑体" w:cs="Times New Roman"/>
          <w:b w:val="0"/>
          <w:bCs w:val="0"/>
          <w:color w:val="auto"/>
          <w:szCs w:val="44"/>
          <w:lang w:val="en-US" w:eastAsia="zh-CN"/>
        </w:rPr>
        <w:t>2</w:t>
      </w:r>
      <w:r>
        <w:rPr>
          <w:rFonts w:hint="default" w:eastAsia="黑体" w:cs="Times New Roman"/>
          <w:b w:val="0"/>
          <w:bCs w:val="0"/>
          <w:color w:val="auto"/>
          <w:szCs w:val="44"/>
          <w:lang w:val="en-US" w:eastAsia="zh-CN"/>
        </w:rPr>
        <w:t>4</w:t>
      </w:r>
      <w:r>
        <w:rPr>
          <w:rFonts w:hint="default" w:ascii="Times New Roman" w:hAnsi="Times New Roman" w:eastAsia="黑体" w:cs="Times New Roman"/>
          <w:b w:val="0"/>
          <w:bCs w:val="0"/>
          <w:color w:val="auto"/>
          <w:szCs w:val="44"/>
        </w:rPr>
        <w:t>年部门预算报表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表1. 部门收支总表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表1-1. 部门收入总表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表1-2. 部门支出总表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表2. 财政拨款收支预算总表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表2-1. 财政拨款支出预算表（政府经济分类科目）</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表3-2. 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表3-3. 一般公共预算“三公”经费支出预算表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表4. 政府性基金支出预算表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szCs w:val="44"/>
        </w:rPr>
      </w:pPr>
      <w:r>
        <w:rPr>
          <w:rFonts w:hint="default" w:ascii="Times New Roman" w:hAnsi="Times New Roman" w:cs="Times New Roman"/>
          <w:b w:val="0"/>
          <w:bCs w:val="0"/>
          <w:color w:val="auto"/>
          <w:szCs w:val="44"/>
        </w:rPr>
        <w:t>表5. 国有资本经营预算支出预算表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color w:val="auto"/>
          <w:szCs w:val="44"/>
        </w:rPr>
      </w:pPr>
      <w:r>
        <w:rPr>
          <w:rFonts w:hint="default" w:ascii="Times New Roman" w:hAnsi="Times New Roman" w:eastAsia="黑体" w:cs="Times New Roman"/>
          <w:b w:val="0"/>
          <w:bCs w:val="0"/>
          <w:color w:val="auto"/>
          <w:szCs w:val="44"/>
        </w:rPr>
        <w:t>第三部分  20</w:t>
      </w:r>
      <w:r>
        <w:rPr>
          <w:rFonts w:hint="default" w:ascii="Times New Roman" w:hAnsi="Times New Roman" w:eastAsia="黑体" w:cs="Times New Roman"/>
          <w:b w:val="0"/>
          <w:bCs w:val="0"/>
          <w:color w:val="auto"/>
          <w:szCs w:val="44"/>
          <w:lang w:val="en-US" w:eastAsia="zh-CN"/>
        </w:rPr>
        <w:t>2</w:t>
      </w:r>
      <w:r>
        <w:rPr>
          <w:rFonts w:hint="default" w:eastAsia="黑体" w:cs="Times New Roman"/>
          <w:b w:val="0"/>
          <w:bCs w:val="0"/>
          <w:color w:val="auto"/>
          <w:szCs w:val="44"/>
          <w:lang w:val="en-US" w:eastAsia="zh-CN"/>
        </w:rPr>
        <w:t>4</w:t>
      </w:r>
      <w:r>
        <w:rPr>
          <w:rFonts w:hint="default" w:ascii="Times New Roman" w:hAnsi="Times New Roman" w:eastAsia="黑体" w:cs="Times New Roman"/>
          <w:b w:val="0"/>
          <w:bCs w:val="0"/>
          <w:color w:val="auto"/>
          <w:szCs w:val="44"/>
        </w:rPr>
        <w:t>年部门预算项目绩效目标表</w:t>
      </w:r>
    </w:p>
    <w:p>
      <w:pPr>
        <w:pStyle w:val="6"/>
        <w:keepNext w:val="0"/>
        <w:keepLines w:val="0"/>
        <w:widowControl/>
        <w:suppressLineNumbers w:val="0"/>
        <w:suppressAutoHyphens/>
        <w:autoSpaceDE w:val="0"/>
        <w:autoSpaceDN/>
        <w:spacing w:before="0" w:beforeAutospacing="0" w:after="0" w:afterAutospacing="0" w:line="600" w:lineRule="atLeast"/>
        <w:ind w:left="0" w:leftChars="0" w:right="0" w:firstLine="632" w:firstLineChars="200"/>
        <w:jc w:val="left"/>
        <w:rPr>
          <w:rFonts w:hint="default" w:ascii="Times New Roman" w:hAnsi="Times New Roman" w:eastAsia="sans-serif" w:cs="Times New Roman"/>
          <w:color w:val="000000"/>
          <w:kern w:val="0"/>
          <w:sz w:val="24"/>
          <w:szCs w:val="24"/>
        </w:rPr>
      </w:pPr>
      <w:r>
        <w:rPr>
          <w:rFonts w:hint="eastAsia" w:ascii="仿宋_GB2312" w:hAnsi="Times New Roman" w:eastAsia="仿宋_GB2312" w:cs="仿宋_GB2312"/>
          <w:color w:val="000000"/>
          <w:kern w:val="0"/>
          <w:sz w:val="32"/>
          <w:szCs w:val="32"/>
          <w:lang w:val="en-US" w:eastAsia="zh-CN" w:bidi="ar"/>
        </w:rPr>
        <w:t>表</w:t>
      </w:r>
      <w:r>
        <w:rPr>
          <w:rFonts w:hint="default" w:ascii="Times New Roman" w:hAnsi="Times New Roman" w:eastAsia="仿宋_GB2312" w:cs="Times New Roman"/>
          <w:color w:val="000000"/>
          <w:kern w:val="0"/>
          <w:sz w:val="32"/>
          <w:szCs w:val="32"/>
          <w:lang w:val="en-US" w:eastAsia="zh-CN" w:bidi="ar"/>
        </w:rPr>
        <w:t>1.</w:t>
      </w:r>
      <w:r>
        <w:rPr>
          <w:rFonts w:hint="eastAsia" w:ascii="仿宋_GB2312" w:hAnsi="Times New Roman" w:eastAsia="仿宋_GB2312" w:cs="仿宋_GB2312"/>
          <w:color w:val="000000"/>
          <w:kern w:val="0"/>
          <w:sz w:val="32"/>
          <w:szCs w:val="32"/>
          <w:lang w:val="en-US" w:eastAsia="zh-CN" w:bidi="ar"/>
        </w:rPr>
        <w:t>部门整体支出绩效目标表</w:t>
      </w:r>
    </w:p>
    <w:p>
      <w:pPr>
        <w:pStyle w:val="6"/>
        <w:keepNext w:val="0"/>
        <w:keepLines w:val="0"/>
        <w:widowControl/>
        <w:suppressLineNumbers w:val="0"/>
        <w:suppressAutoHyphens/>
        <w:autoSpaceDE w:val="0"/>
        <w:autoSpaceDN/>
        <w:spacing w:before="0" w:beforeAutospacing="0" w:after="0" w:afterAutospacing="0" w:line="600" w:lineRule="atLeast"/>
        <w:ind w:left="0" w:right="0" w:firstLine="632" w:firstLineChars="200"/>
        <w:jc w:val="left"/>
        <w:rPr>
          <w:rFonts w:hint="default" w:ascii="Times New Roman" w:hAnsi="Times New Roman" w:eastAsia="sans-serif" w:cs="Times New Roman"/>
          <w:color w:val="000000"/>
          <w:kern w:val="0"/>
          <w:sz w:val="24"/>
          <w:szCs w:val="24"/>
        </w:rPr>
      </w:pPr>
      <w:r>
        <w:rPr>
          <w:rFonts w:hint="eastAsia" w:ascii="仿宋_GB2312" w:hAnsi="Times New Roman" w:eastAsia="仿宋_GB2312" w:cs="仿宋_GB2312"/>
          <w:color w:val="000000"/>
          <w:kern w:val="0"/>
          <w:sz w:val="32"/>
          <w:szCs w:val="32"/>
          <w:lang w:val="en-US" w:eastAsia="zh-CN" w:bidi="ar"/>
        </w:rPr>
        <w:t>表</w:t>
      </w:r>
      <w:r>
        <w:rPr>
          <w:rFonts w:hint="default" w:ascii="Times New Roman" w:hAnsi="Times New Roman" w:eastAsia="仿宋_GB2312" w:cs="Times New Roman"/>
          <w:color w:val="000000"/>
          <w:kern w:val="0"/>
          <w:sz w:val="32"/>
          <w:szCs w:val="32"/>
          <w:lang w:val="en-US" w:eastAsia="zh-CN" w:bidi="ar"/>
        </w:rPr>
        <w:t>2.</w:t>
      </w:r>
      <w:r>
        <w:rPr>
          <w:rFonts w:hint="eastAsia" w:ascii="仿宋_GB2312" w:hAnsi="Times New Roman" w:eastAsia="仿宋_GB2312" w:cs="仿宋_GB2312"/>
          <w:color w:val="000000"/>
          <w:kern w:val="0"/>
          <w:sz w:val="32"/>
          <w:szCs w:val="32"/>
          <w:lang w:val="en-US" w:eastAsia="zh-CN" w:bidi="ar"/>
        </w:rPr>
        <w:t>部门预算项目支出绩效目标表</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bCs w:val="0"/>
          <w:color w:val="auto"/>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sz w:val="44"/>
          <w:szCs w:val="44"/>
          <w:lang w:eastAsia="zh-CN"/>
        </w:rPr>
      </w:pPr>
      <w:r>
        <w:rPr>
          <w:rFonts w:hint="default" w:ascii="Times New Roman" w:hAnsi="Times New Roman" w:cs="Times New Roman"/>
          <w:b w:val="0"/>
          <w:bCs w:val="0"/>
          <w:color w:val="auto"/>
          <w:szCs w:val="44"/>
        </w:rPr>
        <w:br w:type="page"/>
      </w:r>
      <w:r>
        <w:rPr>
          <w:rFonts w:hint="default" w:ascii="Times New Roman" w:hAnsi="Times New Roman" w:eastAsia="方正小标宋简体" w:cs="Times New Roman"/>
          <w:b w:val="0"/>
          <w:bCs w:val="0"/>
          <w:color w:val="auto"/>
          <w:sz w:val="44"/>
          <w:szCs w:val="44"/>
          <w:lang w:eastAsia="zh-CN"/>
        </w:rPr>
        <w:t>遂宁高新区经济合作中心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color w:val="auto"/>
        </w:rPr>
      </w:pPr>
      <w:r>
        <w:rPr>
          <w:rFonts w:hint="default" w:ascii="Times New Roman" w:hAnsi="Times New Roman" w:eastAsia="方正小标宋简体" w:cs="Times New Roman"/>
          <w:b w:val="0"/>
          <w:bCs w:val="0"/>
          <w:color w:val="auto"/>
          <w:sz w:val="44"/>
          <w:szCs w:val="44"/>
        </w:rPr>
        <w:t>20</w:t>
      </w:r>
      <w:r>
        <w:rPr>
          <w:rFonts w:hint="default" w:ascii="Times New Roman" w:hAnsi="Times New Roman" w:eastAsia="方正小标宋简体" w:cs="Times New Roman"/>
          <w:b w:val="0"/>
          <w:bCs w:val="0"/>
          <w:color w:val="auto"/>
          <w:sz w:val="44"/>
          <w:szCs w:val="44"/>
          <w:lang w:val="en-US" w:eastAsia="zh-CN"/>
        </w:rPr>
        <w:t>2</w:t>
      </w:r>
      <w:r>
        <w:rPr>
          <w:rFonts w:hint="default" w:eastAsia="方正小标宋简体" w:cs="Times New Roman"/>
          <w:b w:val="0"/>
          <w:bCs w:val="0"/>
          <w:color w:val="auto"/>
          <w:sz w:val="44"/>
          <w:szCs w:val="44"/>
          <w:lang w:val="en-US" w:eastAsia="zh-CN"/>
        </w:rPr>
        <w:t>4</w:t>
      </w:r>
      <w:r>
        <w:rPr>
          <w:rFonts w:hint="default" w:ascii="Times New Roman" w:hAnsi="Times New Roman" w:eastAsia="方正小标宋简体" w:cs="Times New Roman"/>
          <w:b w:val="0"/>
          <w:bCs w:val="0"/>
          <w:color w:val="auto"/>
          <w:sz w:val="44"/>
          <w:szCs w:val="44"/>
        </w:rPr>
        <w:t>年部门预算编制说明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 xml:space="preserve">（一） </w:t>
      </w:r>
      <w:r>
        <w:rPr>
          <w:rFonts w:hint="default" w:ascii="Times New Roman" w:hAnsi="Times New Roman" w:eastAsia="楷体_GB2312" w:cs="Times New Roman"/>
          <w:b w:val="0"/>
          <w:bCs w:val="0"/>
          <w:color w:val="auto"/>
          <w:lang w:eastAsia="zh-CN"/>
        </w:rPr>
        <w:t>经济合作中心</w:t>
      </w:r>
      <w:r>
        <w:rPr>
          <w:rFonts w:hint="default" w:ascii="Times New Roman" w:hAnsi="Times New Roman" w:eastAsia="楷体_GB2312" w:cs="Times New Roman"/>
          <w:b w:val="0"/>
          <w:bCs w:val="0"/>
          <w:color w:val="auto"/>
        </w:rPr>
        <w:t>职能简介</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sans-serif" w:cs="Times New Roman"/>
          <w:b w:val="0"/>
          <w:bCs w:val="0"/>
          <w:color w:val="auto"/>
          <w:sz w:val="32"/>
          <w:szCs w:val="32"/>
        </w:rPr>
        <w:t>1</w:t>
      </w:r>
      <w:r>
        <w:rPr>
          <w:rFonts w:hint="default"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kern w:val="2"/>
          <w:sz w:val="32"/>
          <w:szCs w:val="22"/>
          <w:lang w:val="en-US" w:eastAsia="zh-CN" w:bidi="ar-SA"/>
        </w:rPr>
        <w:t>主要负责</w:t>
      </w:r>
      <w:r>
        <w:rPr>
          <w:rFonts w:hint="default" w:ascii="Times New Roman" w:hAnsi="Times New Roman" w:eastAsia="仿宋_GB2312" w:cs="Times New Roman"/>
          <w:b w:val="0"/>
          <w:bCs w:val="0"/>
          <w:color w:val="auto"/>
          <w:kern w:val="2"/>
          <w:sz w:val="32"/>
          <w:szCs w:val="22"/>
          <w:lang w:val="en-US" w:eastAsia="zh-CN" w:bidi="ar-SA"/>
        </w:rPr>
        <w:t>研究制定高新区招商引资政策。</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sans-serif" w:cs="Times New Roman"/>
          <w:b w:val="0"/>
          <w:bCs w:val="0"/>
          <w:color w:val="auto"/>
          <w:sz w:val="32"/>
          <w:szCs w:val="32"/>
        </w:rPr>
        <w:t>2</w:t>
      </w:r>
      <w:r>
        <w:rPr>
          <w:rFonts w:hint="default" w:ascii="Times New Roman" w:hAnsi="Times New Roman" w:cs="Times New Roman"/>
          <w:b w:val="0"/>
          <w:bCs w:val="0"/>
          <w:color w:val="auto"/>
          <w:sz w:val="32"/>
          <w:szCs w:val="32"/>
          <w:lang w:eastAsia="zh-CN"/>
        </w:rPr>
        <w:t>.</w:t>
      </w:r>
      <w:r>
        <w:rPr>
          <w:rFonts w:hint="default" w:ascii="Times New Roman" w:hAnsi="Times New Roman" w:eastAsia="仿宋_GB2312" w:cs="Times New Roman"/>
          <w:b w:val="0"/>
          <w:bCs w:val="0"/>
          <w:color w:val="auto"/>
          <w:kern w:val="2"/>
          <w:sz w:val="32"/>
          <w:szCs w:val="22"/>
          <w:lang w:val="en-US" w:eastAsia="zh-CN" w:bidi="ar-SA"/>
        </w:rPr>
        <w:t>负责策划、包装和宣传招商引资项目，组织各类招商活动。</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仿宋_GB2312" w:cs="Times New Roman"/>
          <w:b w:val="0"/>
          <w:bCs w:val="0"/>
          <w:color w:val="auto"/>
          <w:kern w:val="2"/>
          <w:sz w:val="32"/>
          <w:szCs w:val="22"/>
          <w:lang w:val="en-US" w:eastAsia="zh-CN" w:bidi="ar-SA"/>
        </w:rPr>
      </w:pPr>
      <w:r>
        <w:rPr>
          <w:rFonts w:hint="default" w:ascii="Times New Roman" w:hAnsi="Times New Roman" w:cs="Times New Roman"/>
          <w:b w:val="0"/>
          <w:bCs w:val="0"/>
          <w:color w:val="auto"/>
          <w:sz w:val="32"/>
          <w:szCs w:val="32"/>
          <w:lang w:val="en-US" w:eastAsia="zh-CN"/>
        </w:rPr>
        <w:t>3.</w:t>
      </w:r>
      <w:r>
        <w:rPr>
          <w:rFonts w:hint="default" w:ascii="Times New Roman" w:hAnsi="Times New Roman" w:eastAsia="仿宋_GB2312" w:cs="Times New Roman"/>
          <w:b w:val="0"/>
          <w:bCs w:val="0"/>
          <w:color w:val="auto"/>
          <w:kern w:val="2"/>
          <w:sz w:val="32"/>
          <w:szCs w:val="22"/>
          <w:lang w:val="en-US" w:eastAsia="zh-CN" w:bidi="ar-SA"/>
        </w:rPr>
        <w:t>负责招商项目谈判、签约等工作。</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kern w:val="2"/>
          <w:sz w:val="32"/>
          <w:szCs w:val="22"/>
          <w:lang w:val="en-US" w:eastAsia="zh-CN" w:bidi="ar-SA"/>
        </w:rPr>
        <w:t>4.负责招商引资项目等工作及</w:t>
      </w:r>
      <w:r>
        <w:rPr>
          <w:rFonts w:hint="default" w:ascii="Times New Roman" w:hAnsi="Times New Roman" w:eastAsia="仿宋_GB2312" w:cs="Times New Roman"/>
          <w:b w:val="0"/>
          <w:bCs w:val="0"/>
          <w:color w:val="auto"/>
          <w:kern w:val="2"/>
          <w:sz w:val="32"/>
          <w:szCs w:val="22"/>
          <w:lang w:bidi="ar-SA"/>
        </w:rPr>
        <w:t>承办上级交办的</w:t>
      </w:r>
      <w:r>
        <w:rPr>
          <w:rFonts w:hint="eastAsia" w:cs="Times New Roman"/>
          <w:b w:val="0"/>
          <w:bCs w:val="0"/>
          <w:color w:val="auto"/>
          <w:kern w:val="2"/>
          <w:sz w:val="32"/>
          <w:szCs w:val="22"/>
          <w:lang w:eastAsia="zh-CN" w:bidi="ar-SA"/>
        </w:rPr>
        <w:t>其他</w:t>
      </w:r>
      <w:r>
        <w:rPr>
          <w:rFonts w:hint="default" w:ascii="Times New Roman" w:hAnsi="Times New Roman" w:eastAsia="仿宋_GB2312" w:cs="Times New Roman"/>
          <w:b w:val="0"/>
          <w:bCs w:val="0"/>
          <w:color w:val="auto"/>
          <w:kern w:val="2"/>
          <w:sz w:val="32"/>
          <w:szCs w:val="22"/>
          <w:lang w:bidi="ar-SA"/>
        </w:rPr>
        <w:t>事项</w:t>
      </w:r>
      <w:r>
        <w:rPr>
          <w:rFonts w:hint="default" w:ascii="Times New Roman" w:hAnsi="Times New Roman" w:eastAsia="仿宋_GB2312" w:cs="Times New Roman"/>
          <w:b w:val="0"/>
          <w:bCs w:val="0"/>
          <w:color w:val="auto"/>
          <w:kern w:val="2"/>
          <w:sz w:val="32"/>
          <w:szCs w:val="22"/>
          <w:lang w:eastAsia="zh-CN" w:bidi="ar-SA"/>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（二）</w:t>
      </w:r>
      <w:r>
        <w:rPr>
          <w:rFonts w:hint="default" w:ascii="Times New Roman" w:hAnsi="Times New Roman" w:eastAsia="楷体_GB2312" w:cs="Times New Roman"/>
          <w:b w:val="0"/>
          <w:bCs w:val="0"/>
          <w:color w:val="auto"/>
          <w:lang w:eastAsia="zh-CN"/>
        </w:rPr>
        <w:t>经济合作中心</w:t>
      </w:r>
      <w:r>
        <w:rPr>
          <w:rFonts w:hint="default" w:ascii="Times New Roman" w:hAnsi="Times New Roman" w:eastAsia="楷体_GB2312" w:cs="Times New Roman"/>
          <w:b w:val="0"/>
          <w:bCs w:val="0"/>
          <w:color w:val="auto"/>
        </w:rPr>
        <w:t>20</w:t>
      </w:r>
      <w:r>
        <w:rPr>
          <w:rFonts w:hint="default" w:ascii="Times New Roman" w:hAnsi="Times New Roman" w:eastAsia="楷体_GB2312" w:cs="Times New Roman"/>
          <w:b w:val="0"/>
          <w:bCs w:val="0"/>
          <w:color w:val="auto"/>
          <w:lang w:val="en-US" w:eastAsia="zh-CN"/>
        </w:rPr>
        <w:t>2</w:t>
      </w:r>
      <w:r>
        <w:rPr>
          <w:rFonts w:hint="default" w:eastAsia="楷体_GB2312" w:cs="Times New Roman"/>
          <w:b w:val="0"/>
          <w:bCs w:val="0"/>
          <w:color w:val="auto"/>
          <w:lang w:val="en-US" w:eastAsia="zh-CN"/>
        </w:rPr>
        <w:t>4</w:t>
      </w:r>
      <w:r>
        <w:rPr>
          <w:rFonts w:hint="default" w:ascii="Times New Roman" w:hAnsi="Times New Roman" w:eastAsia="楷体_GB2312" w:cs="Times New Roman"/>
          <w:b w:val="0"/>
          <w:bCs w:val="0"/>
          <w:color w:val="auto"/>
        </w:rPr>
        <w:t>年重点工作</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lang w:val="en-US"/>
        </w:rPr>
      </w:pPr>
      <w:r>
        <w:rPr>
          <w:rFonts w:hint="default" w:ascii="Times New Roman" w:hAnsi="Times New Roman" w:eastAsia="仿宋_GB2312" w:cs="Times New Roman"/>
          <w:b w:val="0"/>
          <w:bCs w:val="0"/>
          <w:color w:val="auto"/>
          <w:sz w:val="32"/>
          <w:szCs w:val="32"/>
        </w:rPr>
        <w:t>紧盯电子信息、机械装备与制造等主导产业，深度对接发达地区及新兴市场优质企业，着力招引一批专精特新的好项目15个。</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二、部门预算单位构成</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下属二级预算单位</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个，其中行政单位</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个，参照公务员法管理的事业单位</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个，其他事业单位</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个。</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三、收支预算情况说明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按照综合预算的原则，</w:t>
      </w: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所有收入和支出均纳入部门预算管理。收入包括：一般公共预算拨款收入；支出包括：一般公共服务支出、社会保障和就业支出</w:t>
      </w:r>
      <w:r>
        <w:rPr>
          <w:rFonts w:hint="default" w:ascii="Times New Roman" w:hAnsi="Times New Roman" w:cs="Times New Roman"/>
          <w:b w:val="0"/>
          <w:bCs w:val="0"/>
          <w:color w:val="auto"/>
          <w:lang w:eastAsia="zh-CN"/>
        </w:rPr>
        <w:t>、</w:t>
      </w:r>
      <w:r>
        <w:rPr>
          <w:rFonts w:hint="default" w:ascii="Times New Roman" w:hAnsi="Times New Roman" w:eastAsia="仿宋_GB2312" w:cs="Times New Roman"/>
          <w:b w:val="0"/>
          <w:bCs w:val="0"/>
          <w:color w:val="auto"/>
          <w:sz w:val="32"/>
          <w:szCs w:val="32"/>
          <w:lang w:eastAsia="zh-CN"/>
        </w:rPr>
        <w:t>卫生健康支出、资源勘探工业信息等支出、住房保障支出。经济合作中心，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年收支总预算</w:t>
      </w:r>
      <w:r>
        <w:rPr>
          <w:rFonts w:hint="default" w:cs="Times New Roman"/>
          <w:b w:val="0"/>
          <w:bCs w:val="0"/>
          <w:color w:val="auto"/>
          <w:lang w:val="en-US"/>
        </w:rPr>
        <w:t>442.03</w:t>
      </w:r>
      <w:r>
        <w:rPr>
          <w:rFonts w:hint="default" w:ascii="Times New Roman" w:hAnsi="Times New Roman" w:cs="Times New Roman"/>
          <w:b w:val="0"/>
          <w:bCs w:val="0"/>
          <w:color w:val="auto"/>
        </w:rPr>
        <w:t>万元，较20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3</w:t>
      </w:r>
      <w:r>
        <w:rPr>
          <w:rFonts w:hint="default" w:ascii="Times New Roman" w:hAnsi="Times New Roman" w:cs="Times New Roman"/>
          <w:b w:val="0"/>
          <w:bCs w:val="0"/>
          <w:color w:val="auto"/>
        </w:rPr>
        <w:t>年收支预算总数</w:t>
      </w:r>
      <w:r>
        <w:rPr>
          <w:rFonts w:hint="eastAsia" w:cs="Times New Roman"/>
          <w:b w:val="0"/>
          <w:bCs w:val="0"/>
          <w:color w:val="auto"/>
          <w:lang w:val="en-US" w:eastAsia="zh-CN"/>
        </w:rPr>
        <w:t>增加30.99</w:t>
      </w:r>
      <w:r>
        <w:rPr>
          <w:rFonts w:hint="default" w:ascii="Times New Roman" w:hAnsi="Times New Roman" w:cs="Times New Roman"/>
          <w:b w:val="0"/>
          <w:bCs w:val="0"/>
          <w:color w:val="auto"/>
        </w:rPr>
        <w:t>万元，主要是</w:t>
      </w:r>
      <w:r>
        <w:rPr>
          <w:rFonts w:hint="eastAsia" w:cs="Times New Roman"/>
          <w:b w:val="0"/>
          <w:bCs w:val="0"/>
          <w:color w:val="auto"/>
          <w:lang w:val="en-US" w:eastAsia="zh-CN"/>
        </w:rPr>
        <w:t>增加</w:t>
      </w:r>
      <w:r>
        <w:rPr>
          <w:rFonts w:hint="default" w:ascii="Times New Roman" w:hAnsi="Times New Roman" w:cs="Times New Roman"/>
          <w:b w:val="0"/>
          <w:bCs w:val="0"/>
          <w:color w:val="auto"/>
          <w:lang w:eastAsia="zh-CN"/>
        </w:rPr>
        <w:t>项目预算</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（一）收入预算情况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年收入预算</w:t>
      </w:r>
      <w:r>
        <w:rPr>
          <w:rFonts w:hint="default" w:ascii="Times New Roman" w:hAnsi="Times New Roman" w:eastAsia="楷体_GB2312" w:cs="Times New Roman"/>
          <w:b w:val="0"/>
          <w:bCs w:val="0"/>
          <w:color w:val="auto"/>
          <w:lang w:val="en-US" w:eastAsia="zh-CN"/>
        </w:rPr>
        <w:t>4</w:t>
      </w:r>
      <w:r>
        <w:rPr>
          <w:rFonts w:hint="eastAsia" w:eastAsia="楷体_GB2312" w:cs="Times New Roman"/>
          <w:b w:val="0"/>
          <w:bCs w:val="0"/>
          <w:color w:val="auto"/>
          <w:lang w:val="en-US" w:eastAsia="zh-CN"/>
        </w:rPr>
        <w:t>42</w:t>
      </w:r>
      <w:r>
        <w:rPr>
          <w:rFonts w:hint="default" w:ascii="Times New Roman" w:hAnsi="Times New Roman" w:eastAsia="楷体_GB2312" w:cs="Times New Roman"/>
          <w:b w:val="0"/>
          <w:bCs w:val="0"/>
          <w:color w:val="auto"/>
          <w:lang w:val="en-US" w:eastAsia="zh-CN"/>
        </w:rPr>
        <w:t>.0</w:t>
      </w:r>
      <w:r>
        <w:rPr>
          <w:rFonts w:hint="eastAsia" w:eastAsia="楷体_GB2312" w:cs="Times New Roman"/>
          <w:b w:val="0"/>
          <w:bCs w:val="0"/>
          <w:color w:val="auto"/>
          <w:lang w:val="en-US" w:eastAsia="zh-CN"/>
        </w:rPr>
        <w:t>3</w:t>
      </w:r>
      <w:r>
        <w:rPr>
          <w:rFonts w:hint="default" w:ascii="Times New Roman" w:hAnsi="Times New Roman" w:cs="Times New Roman"/>
          <w:b w:val="0"/>
          <w:bCs w:val="0"/>
          <w:color w:val="auto"/>
        </w:rPr>
        <w:t>万元，其中：上年结转</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万元，占</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%；一般公共预算拨款收入</w:t>
      </w:r>
      <w:r>
        <w:rPr>
          <w:rFonts w:hint="default" w:ascii="Times New Roman" w:hAnsi="Times New Roman" w:eastAsia="楷体_GB2312" w:cs="Times New Roman"/>
          <w:b w:val="0"/>
          <w:bCs w:val="0"/>
          <w:color w:val="auto"/>
          <w:lang w:val="en-US" w:eastAsia="zh-CN"/>
        </w:rPr>
        <w:t>4</w:t>
      </w:r>
      <w:r>
        <w:rPr>
          <w:rFonts w:hint="eastAsia" w:eastAsia="楷体_GB2312" w:cs="Times New Roman"/>
          <w:b w:val="0"/>
          <w:bCs w:val="0"/>
          <w:color w:val="auto"/>
          <w:lang w:val="en-US" w:eastAsia="zh-CN"/>
        </w:rPr>
        <w:t>42</w:t>
      </w:r>
      <w:r>
        <w:rPr>
          <w:rFonts w:hint="default" w:ascii="Times New Roman" w:hAnsi="Times New Roman" w:eastAsia="楷体_GB2312" w:cs="Times New Roman"/>
          <w:b w:val="0"/>
          <w:bCs w:val="0"/>
          <w:color w:val="auto"/>
          <w:lang w:val="en-US" w:eastAsia="zh-CN"/>
        </w:rPr>
        <w:t>.0</w:t>
      </w:r>
      <w:r>
        <w:rPr>
          <w:rFonts w:hint="eastAsia" w:eastAsia="楷体_GB2312" w:cs="Times New Roman"/>
          <w:b w:val="0"/>
          <w:bCs w:val="0"/>
          <w:color w:val="auto"/>
          <w:lang w:val="en-US" w:eastAsia="zh-CN"/>
        </w:rPr>
        <w:t>3</w:t>
      </w:r>
      <w:r>
        <w:rPr>
          <w:rFonts w:hint="default" w:ascii="Times New Roman" w:hAnsi="Times New Roman" w:cs="Times New Roman"/>
          <w:b w:val="0"/>
          <w:bCs w:val="0"/>
          <w:color w:val="auto"/>
        </w:rPr>
        <w:t>万元，占</w:t>
      </w:r>
      <w:r>
        <w:rPr>
          <w:rFonts w:hint="default" w:ascii="Times New Roman" w:hAnsi="Times New Roman" w:eastAsia="楷体_GB2312" w:cs="Times New Roman"/>
          <w:b w:val="0"/>
          <w:bCs w:val="0"/>
          <w:color w:val="auto"/>
          <w:lang w:val="en-US" w:eastAsia="zh-CN"/>
        </w:rPr>
        <w:t>100</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（二）支出预算情况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年支出预算442.03万元，其中：基本支出121.63万元，占</w:t>
      </w:r>
      <w:r>
        <w:rPr>
          <w:rFonts w:hint="eastAsia" w:cs="Times New Roman"/>
          <w:b w:val="0"/>
          <w:bCs w:val="0"/>
          <w:color w:val="auto"/>
          <w:lang w:val="en-US" w:eastAsia="zh-CN"/>
        </w:rPr>
        <w:t>27.52</w:t>
      </w:r>
      <w:r>
        <w:rPr>
          <w:rFonts w:hint="default" w:ascii="Times New Roman" w:hAnsi="Times New Roman" w:cs="Times New Roman"/>
          <w:b w:val="0"/>
          <w:bCs w:val="0"/>
          <w:color w:val="auto"/>
        </w:rPr>
        <w:t>%；项目支出</w:t>
      </w:r>
      <w:r>
        <w:rPr>
          <w:rFonts w:hint="eastAsia" w:cs="Times New Roman"/>
          <w:b w:val="0"/>
          <w:bCs w:val="0"/>
          <w:color w:val="auto"/>
          <w:lang w:val="en-US" w:eastAsia="zh-CN"/>
        </w:rPr>
        <w:t>320.40</w:t>
      </w:r>
      <w:r>
        <w:rPr>
          <w:rFonts w:hint="default" w:ascii="Times New Roman" w:hAnsi="Times New Roman" w:cs="Times New Roman"/>
          <w:b w:val="0"/>
          <w:bCs w:val="0"/>
          <w:color w:val="auto"/>
        </w:rPr>
        <w:t>万元，占</w:t>
      </w:r>
      <w:r>
        <w:rPr>
          <w:rFonts w:hint="eastAsia" w:cs="Times New Roman"/>
          <w:b w:val="0"/>
          <w:bCs w:val="0"/>
          <w:color w:val="auto"/>
          <w:lang w:val="en-US" w:eastAsia="zh-CN"/>
        </w:rPr>
        <w:t>72</w:t>
      </w:r>
      <w:r>
        <w:rPr>
          <w:rFonts w:hint="default" w:ascii="Times New Roman" w:hAnsi="Times New Roman" w:eastAsia="楷体_GB2312" w:cs="Times New Roman"/>
          <w:b w:val="0"/>
          <w:bCs w:val="0"/>
          <w:color w:val="auto"/>
          <w:lang w:val="en-US" w:eastAsia="zh-CN"/>
        </w:rPr>
        <w:t>.</w:t>
      </w:r>
      <w:r>
        <w:rPr>
          <w:rFonts w:hint="eastAsia" w:eastAsia="楷体_GB2312" w:cs="Times New Roman"/>
          <w:b w:val="0"/>
          <w:bCs w:val="0"/>
          <w:color w:val="auto"/>
          <w:lang w:val="en-US" w:eastAsia="zh-CN"/>
        </w:rPr>
        <w:t>48</w:t>
      </w:r>
      <w:r>
        <w:rPr>
          <w:rFonts w:hint="default" w:ascii="Times New Roman" w:hAnsi="Times New Roman" w:cs="Times New Roman"/>
          <w:b w:val="0"/>
          <w:bCs w:val="0"/>
          <w:color w:val="auto"/>
        </w:rPr>
        <w:t>%。</w:t>
      </w:r>
      <w:r>
        <w:rPr>
          <w:rFonts w:hint="default" w:ascii="Times New Roman" w:hAnsi="Times New Roman" w:cs="Times New Roman"/>
          <w:b w:val="0"/>
          <w:bCs w:val="0"/>
          <w:color w:val="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四、财政拨款收支预算情况说明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年收支总预算</w:t>
      </w:r>
      <w:r>
        <w:rPr>
          <w:rFonts w:hint="default" w:cs="Times New Roman"/>
          <w:b w:val="0"/>
          <w:bCs w:val="0"/>
          <w:color w:val="auto"/>
          <w:lang w:val="en-US"/>
        </w:rPr>
        <w:t>442.03</w:t>
      </w:r>
      <w:r>
        <w:rPr>
          <w:rFonts w:hint="default" w:ascii="Times New Roman" w:hAnsi="Times New Roman" w:cs="Times New Roman"/>
          <w:b w:val="0"/>
          <w:bCs w:val="0"/>
          <w:color w:val="auto"/>
        </w:rPr>
        <w:t>万元，较20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3</w:t>
      </w:r>
      <w:r>
        <w:rPr>
          <w:rFonts w:hint="default" w:ascii="Times New Roman" w:hAnsi="Times New Roman" w:cs="Times New Roman"/>
          <w:b w:val="0"/>
          <w:bCs w:val="0"/>
          <w:color w:val="auto"/>
        </w:rPr>
        <w:t>年收支预算总数</w:t>
      </w:r>
      <w:r>
        <w:rPr>
          <w:rFonts w:hint="eastAsia" w:cs="Times New Roman"/>
          <w:b w:val="0"/>
          <w:bCs w:val="0"/>
          <w:color w:val="auto"/>
          <w:lang w:val="en-US" w:eastAsia="zh-CN"/>
        </w:rPr>
        <w:t>增加30.99</w:t>
      </w:r>
      <w:r>
        <w:rPr>
          <w:rFonts w:hint="default" w:ascii="Times New Roman" w:hAnsi="Times New Roman" w:cs="Times New Roman"/>
          <w:b w:val="0"/>
          <w:bCs w:val="0"/>
          <w:color w:val="auto"/>
        </w:rPr>
        <w:t>万元，主要是</w:t>
      </w:r>
      <w:r>
        <w:rPr>
          <w:rFonts w:hint="eastAsia" w:cs="Times New Roman"/>
          <w:b w:val="0"/>
          <w:bCs w:val="0"/>
          <w:color w:val="auto"/>
          <w:lang w:val="en-US" w:eastAsia="zh-CN"/>
        </w:rPr>
        <w:t>增加</w:t>
      </w:r>
      <w:r>
        <w:rPr>
          <w:rFonts w:hint="default" w:ascii="Times New Roman" w:hAnsi="Times New Roman" w:cs="Times New Roman"/>
          <w:b w:val="0"/>
          <w:bCs w:val="0"/>
          <w:color w:val="auto"/>
          <w:lang w:eastAsia="zh-CN"/>
        </w:rPr>
        <w:t>项目预算</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收入包括：本年一般公共预算拨款收入</w:t>
      </w:r>
      <w:r>
        <w:rPr>
          <w:rFonts w:hint="default" w:cs="Times New Roman"/>
          <w:b w:val="0"/>
          <w:bCs w:val="0"/>
          <w:color w:val="auto"/>
          <w:lang w:val="en-US"/>
        </w:rPr>
        <w:t>442.03</w:t>
      </w:r>
      <w:r>
        <w:rPr>
          <w:rFonts w:hint="default" w:ascii="Times New Roman" w:hAnsi="Times New Roman" w:cs="Times New Roman"/>
          <w:b w:val="0"/>
          <w:bCs w:val="0"/>
          <w:color w:val="auto"/>
        </w:rPr>
        <w:t>万元；支出包括：一般公共服务支出347.43万元、社会保障和就业支出</w:t>
      </w:r>
      <w:r>
        <w:rPr>
          <w:rFonts w:hint="eastAsia" w:cs="Times New Roman"/>
          <w:b w:val="0"/>
          <w:bCs w:val="0"/>
          <w:color w:val="auto"/>
          <w:lang w:val="en-US" w:eastAsia="zh-CN"/>
        </w:rPr>
        <w:t>16.29</w:t>
      </w:r>
      <w:r>
        <w:rPr>
          <w:rFonts w:hint="default" w:ascii="Times New Roman" w:hAnsi="Times New Roman" w:cs="Times New Roman"/>
          <w:b w:val="0"/>
          <w:bCs w:val="0"/>
          <w:color w:val="auto"/>
        </w:rPr>
        <w:t>万元、</w:t>
      </w:r>
      <w:r>
        <w:rPr>
          <w:rFonts w:hint="default" w:ascii="Times New Roman" w:hAnsi="Times New Roman" w:cs="Times New Roman"/>
          <w:b w:val="0"/>
          <w:bCs w:val="0"/>
          <w:color w:val="auto"/>
          <w:lang w:eastAsia="zh-CN"/>
        </w:rPr>
        <w:t>卫生健康</w:t>
      </w:r>
      <w:r>
        <w:rPr>
          <w:rFonts w:hint="default" w:ascii="Times New Roman" w:hAnsi="Times New Roman" w:cs="Times New Roman"/>
          <w:b w:val="0"/>
          <w:bCs w:val="0"/>
          <w:color w:val="auto"/>
        </w:rPr>
        <w:t>支出</w:t>
      </w:r>
      <w:r>
        <w:rPr>
          <w:rFonts w:hint="eastAsia" w:cs="Times New Roman"/>
          <w:b w:val="0"/>
          <w:bCs w:val="0"/>
          <w:color w:val="auto"/>
          <w:lang w:val="en-US" w:eastAsia="zh-CN"/>
        </w:rPr>
        <w:t>4.57</w:t>
      </w:r>
      <w:r>
        <w:rPr>
          <w:rFonts w:hint="default" w:ascii="Times New Roman" w:hAnsi="Times New Roman" w:cs="Times New Roman"/>
          <w:b w:val="0"/>
          <w:bCs w:val="0"/>
          <w:color w:val="auto"/>
        </w:rPr>
        <w:t>万元、</w:t>
      </w:r>
      <w:r>
        <w:rPr>
          <w:rFonts w:hint="default" w:ascii="Times New Roman" w:hAnsi="Times New Roman" w:eastAsia="仿宋_GB2312" w:cs="Times New Roman"/>
          <w:b w:val="0"/>
          <w:bCs w:val="0"/>
          <w:color w:val="auto"/>
          <w:sz w:val="32"/>
          <w:szCs w:val="32"/>
          <w:lang w:eastAsia="zh-CN"/>
        </w:rPr>
        <w:t>资源勘探工业信息等支出</w:t>
      </w:r>
      <w:r>
        <w:rPr>
          <w:rFonts w:hint="eastAsia" w:cs="Times New Roman"/>
          <w:b w:val="0"/>
          <w:bCs w:val="0"/>
          <w:color w:val="auto"/>
          <w:sz w:val="32"/>
          <w:szCs w:val="32"/>
          <w:lang w:val="en-US" w:eastAsia="zh-CN"/>
        </w:rPr>
        <w:t>44.15</w:t>
      </w:r>
      <w:r>
        <w:rPr>
          <w:rFonts w:hint="default" w:ascii="Times New Roman" w:hAnsi="Times New Roman" w:eastAsia="仿宋_GB2312" w:cs="Times New Roman"/>
          <w:b w:val="0"/>
          <w:bCs w:val="0"/>
          <w:color w:val="auto"/>
          <w:sz w:val="32"/>
          <w:szCs w:val="32"/>
          <w:lang w:val="en-US" w:eastAsia="zh-CN"/>
        </w:rPr>
        <w:t>万元</w:t>
      </w:r>
      <w:r>
        <w:rPr>
          <w:rFonts w:hint="default" w:ascii="Times New Roman" w:hAnsi="Times New Roman" w:cs="Times New Roman"/>
          <w:b w:val="0"/>
          <w:bCs w:val="0"/>
          <w:color w:val="auto"/>
          <w:sz w:val="32"/>
          <w:szCs w:val="32"/>
          <w:lang w:val="en-US" w:eastAsia="zh-CN"/>
        </w:rPr>
        <w:t>、</w:t>
      </w:r>
      <w:r>
        <w:rPr>
          <w:rFonts w:hint="default" w:ascii="Times New Roman" w:hAnsi="Times New Roman" w:cs="Times New Roman"/>
          <w:b w:val="0"/>
          <w:bCs w:val="0"/>
          <w:color w:val="auto"/>
        </w:rPr>
        <w:t>住房保障支出</w:t>
      </w:r>
      <w:r>
        <w:rPr>
          <w:rFonts w:hint="eastAsia" w:cs="Times New Roman"/>
          <w:b w:val="0"/>
          <w:bCs w:val="0"/>
          <w:color w:val="auto"/>
          <w:lang w:val="en-US" w:eastAsia="zh-CN"/>
        </w:rPr>
        <w:t>9.18</w:t>
      </w:r>
      <w:r>
        <w:rPr>
          <w:rFonts w:hint="default" w:ascii="Times New Roman" w:hAnsi="Times New Roman" w:cs="Times New Roman"/>
          <w:b w:val="0"/>
          <w:bCs w:val="0"/>
          <w:color w:val="auto"/>
        </w:rPr>
        <w:t>万元</w:t>
      </w:r>
      <w:r>
        <w:rPr>
          <w:rFonts w:hint="eastAsia" w:cs="Times New Roman"/>
          <w:b w:val="0"/>
          <w:bCs w:val="0"/>
          <w:color w:val="auto"/>
          <w:lang w:eastAsia="zh-CN"/>
        </w:rPr>
        <w:t>，</w:t>
      </w:r>
      <w:r>
        <w:rPr>
          <w:rFonts w:hint="eastAsia" w:cs="Times New Roman"/>
          <w:b w:val="0"/>
          <w:bCs w:val="0"/>
          <w:color w:val="auto"/>
          <w:lang w:val="en-US" w:eastAsia="zh-CN"/>
        </w:rPr>
        <w:t>其他支出20.40万元</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五、一般公共预算当年拨款情况说明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年收支总预算</w:t>
      </w:r>
      <w:r>
        <w:rPr>
          <w:rFonts w:hint="default" w:cs="Times New Roman"/>
          <w:b w:val="0"/>
          <w:bCs w:val="0"/>
          <w:color w:val="auto"/>
          <w:lang w:val="en-US"/>
        </w:rPr>
        <w:t>442.03</w:t>
      </w:r>
      <w:r>
        <w:rPr>
          <w:rFonts w:hint="default" w:ascii="Times New Roman" w:hAnsi="Times New Roman" w:cs="Times New Roman"/>
          <w:b w:val="0"/>
          <w:bCs w:val="0"/>
          <w:color w:val="auto"/>
        </w:rPr>
        <w:t>万元，较20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3</w:t>
      </w:r>
      <w:r>
        <w:rPr>
          <w:rFonts w:hint="default" w:ascii="Times New Roman" w:hAnsi="Times New Roman" w:cs="Times New Roman"/>
          <w:b w:val="0"/>
          <w:bCs w:val="0"/>
          <w:color w:val="auto"/>
        </w:rPr>
        <w:t>年收支预算总数</w:t>
      </w:r>
      <w:r>
        <w:rPr>
          <w:rFonts w:hint="eastAsia" w:cs="Times New Roman"/>
          <w:b w:val="0"/>
          <w:bCs w:val="0"/>
          <w:color w:val="auto"/>
          <w:lang w:val="en-US" w:eastAsia="zh-CN"/>
        </w:rPr>
        <w:t>增加30.99</w:t>
      </w:r>
      <w:r>
        <w:rPr>
          <w:rFonts w:hint="default" w:ascii="Times New Roman" w:hAnsi="Times New Roman" w:cs="Times New Roman"/>
          <w:b w:val="0"/>
          <w:bCs w:val="0"/>
          <w:color w:val="auto"/>
        </w:rPr>
        <w:t>万元，主要是</w:t>
      </w:r>
      <w:r>
        <w:rPr>
          <w:rFonts w:hint="eastAsia" w:cs="Times New Roman"/>
          <w:b w:val="0"/>
          <w:bCs w:val="0"/>
          <w:color w:val="auto"/>
          <w:lang w:val="en-US" w:eastAsia="zh-CN"/>
        </w:rPr>
        <w:t>增加</w:t>
      </w:r>
      <w:r>
        <w:rPr>
          <w:rFonts w:hint="default" w:ascii="Times New Roman" w:hAnsi="Times New Roman" w:cs="Times New Roman"/>
          <w:b w:val="0"/>
          <w:bCs w:val="0"/>
          <w:color w:val="auto"/>
          <w:lang w:eastAsia="zh-CN"/>
        </w:rPr>
        <w:t>项目预算</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lang w:val="en-US" w:eastAsia="zh-CN"/>
        </w:rPr>
      </w:pPr>
      <w:r>
        <w:rPr>
          <w:rFonts w:hint="eastAsia" w:ascii="Times New Roman" w:hAnsi="Times New Roman" w:eastAsia="楷体_GB2312" w:cs="Times New Roman"/>
          <w:b w:val="0"/>
          <w:bCs w:val="0"/>
          <w:color w:val="auto"/>
          <w:lang w:val="en-US" w:eastAsia="zh-CN"/>
        </w:rPr>
        <w:t>（二）</w:t>
      </w:r>
      <w:r>
        <w:rPr>
          <w:rFonts w:hint="default" w:ascii="Times New Roman" w:hAnsi="Times New Roman" w:eastAsia="楷体_GB2312" w:cs="Times New Roman"/>
          <w:b w:val="0"/>
          <w:bCs w:val="0"/>
          <w:color w:val="auto"/>
          <w:lang w:val="en-US" w:eastAsia="zh-CN"/>
        </w:rPr>
        <w:t>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cs="Times New Roman"/>
          <w:b w:val="0"/>
          <w:bCs w:val="0"/>
          <w:color w:val="auto"/>
          <w:highlight w:val="yellow"/>
          <w:lang w:val="en-US" w:eastAsia="zh-CN"/>
        </w:rPr>
      </w:pPr>
      <w:r>
        <w:rPr>
          <w:rFonts w:hint="default" w:ascii="Times New Roman" w:hAnsi="Times New Roman" w:cs="Times New Roman"/>
          <w:b w:val="0"/>
          <w:bCs w:val="0"/>
          <w:color w:val="auto"/>
          <w:lang w:val="en-US" w:eastAsia="zh-CN"/>
        </w:rPr>
        <w:t>本年一般公共预算拨款收入442.03万元，一般公共服务支出347.43万元，占79%、社会保障和就业支出16.29万元，占4%、卫生健康支出4.57万元，占1%、资源勘探工业信息等支出44.15万元，占10%、住房保障支出9.18万元，占2%、其他支出20.40万元，占4%。</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1. 一般公共服务</w:t>
      </w:r>
      <w:r>
        <w:rPr>
          <w:rFonts w:hint="default" w:ascii="Times New Roman" w:hAnsi="Times New Roman" w:cs="Times New Roman"/>
          <w:b w:val="0"/>
          <w:bCs w:val="0"/>
          <w:color w:val="auto"/>
          <w:lang w:val="en-US" w:eastAsia="zh-CN"/>
        </w:rPr>
        <w:t>201</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03</w:t>
      </w:r>
      <w:r>
        <w:rPr>
          <w:rFonts w:hint="default" w:ascii="Times New Roman" w:hAnsi="Times New Roman" w:cs="Times New Roman"/>
          <w:b w:val="0"/>
          <w:bCs w:val="0"/>
          <w:color w:val="auto"/>
        </w:rPr>
        <w:t>（款）行政运行</w:t>
      </w:r>
      <w:r>
        <w:rPr>
          <w:rFonts w:hint="default" w:ascii="Times New Roman" w:hAnsi="Times New Roman" w:cs="Times New Roman"/>
          <w:b w:val="0"/>
          <w:bCs w:val="0"/>
          <w:color w:val="auto"/>
          <w:lang w:val="en-US" w:eastAsia="zh-CN"/>
        </w:rPr>
        <w:t>01</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35.01</w:t>
      </w:r>
      <w:r>
        <w:rPr>
          <w:rFonts w:hint="default" w:ascii="Times New Roman" w:hAnsi="Times New Roman" w:cs="Times New Roman"/>
          <w:b w:val="0"/>
          <w:bCs w:val="0"/>
          <w:color w:val="auto"/>
        </w:rPr>
        <w:t>万元，主要用于：行政运行。</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2. 一般公共服务</w:t>
      </w:r>
      <w:r>
        <w:rPr>
          <w:rFonts w:hint="default" w:ascii="Times New Roman" w:hAnsi="Times New Roman" w:cs="Times New Roman"/>
          <w:b w:val="0"/>
          <w:bCs w:val="0"/>
          <w:color w:val="auto"/>
          <w:lang w:val="en-US" w:eastAsia="zh-CN"/>
        </w:rPr>
        <w:t>201</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03</w:t>
      </w:r>
      <w:r>
        <w:rPr>
          <w:rFonts w:hint="default" w:ascii="Times New Roman" w:hAnsi="Times New Roman" w:cs="Times New Roman"/>
          <w:b w:val="0"/>
          <w:bCs w:val="0"/>
          <w:color w:val="auto"/>
        </w:rPr>
        <w:t>（款）</w:t>
      </w:r>
      <w:r>
        <w:rPr>
          <w:rFonts w:hint="default" w:ascii="Times New Roman" w:hAnsi="Times New Roman" w:cs="Times New Roman"/>
          <w:b w:val="0"/>
          <w:bCs w:val="0"/>
          <w:color w:val="auto"/>
          <w:lang w:eastAsia="zh-CN"/>
        </w:rPr>
        <w:t>事业</w:t>
      </w:r>
      <w:r>
        <w:rPr>
          <w:rFonts w:hint="default" w:ascii="Times New Roman" w:hAnsi="Times New Roman" w:cs="Times New Roman"/>
          <w:b w:val="0"/>
          <w:bCs w:val="0"/>
          <w:color w:val="auto"/>
        </w:rPr>
        <w:t>运行</w:t>
      </w:r>
      <w:r>
        <w:rPr>
          <w:rFonts w:hint="default" w:ascii="Times New Roman" w:hAnsi="Times New Roman" w:cs="Times New Roman"/>
          <w:b w:val="0"/>
          <w:bCs w:val="0"/>
          <w:color w:val="auto"/>
          <w:lang w:val="en-US" w:eastAsia="zh-CN"/>
        </w:rPr>
        <w:t>50</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12.42</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lang w:eastAsia="zh-CN"/>
        </w:rPr>
        <w:t>事业</w:t>
      </w:r>
      <w:r>
        <w:rPr>
          <w:rFonts w:hint="default" w:ascii="Times New Roman" w:hAnsi="Times New Roman" w:cs="Times New Roman"/>
          <w:b w:val="0"/>
          <w:bCs w:val="0"/>
          <w:color w:val="auto"/>
        </w:rPr>
        <w:t>运行。</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3. 一般公共服务</w:t>
      </w:r>
      <w:r>
        <w:rPr>
          <w:rFonts w:hint="default" w:ascii="Times New Roman" w:hAnsi="Times New Roman" w:cs="Times New Roman"/>
          <w:b w:val="0"/>
          <w:bCs w:val="0"/>
          <w:color w:val="auto"/>
          <w:lang w:val="en-US" w:eastAsia="zh-CN"/>
        </w:rPr>
        <w:t>201</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13</w:t>
      </w:r>
      <w:r>
        <w:rPr>
          <w:rFonts w:hint="default" w:ascii="Times New Roman" w:hAnsi="Times New Roman" w:cs="Times New Roman"/>
          <w:b w:val="0"/>
          <w:bCs w:val="0"/>
          <w:color w:val="auto"/>
        </w:rPr>
        <w:t>（款）</w:t>
      </w:r>
      <w:r>
        <w:rPr>
          <w:rFonts w:hint="default" w:ascii="Times New Roman" w:hAnsi="Times New Roman" w:cs="Times New Roman"/>
          <w:b w:val="0"/>
          <w:bCs w:val="0"/>
          <w:color w:val="auto"/>
          <w:lang w:eastAsia="zh-CN"/>
        </w:rPr>
        <w:t>招商引资</w:t>
      </w:r>
      <w:r>
        <w:rPr>
          <w:rFonts w:hint="default" w:ascii="Times New Roman" w:hAnsi="Times New Roman" w:cs="Times New Roman"/>
          <w:b w:val="0"/>
          <w:bCs w:val="0"/>
          <w:color w:val="auto"/>
          <w:lang w:val="en-US" w:eastAsia="zh-CN"/>
        </w:rPr>
        <w:t>08</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300</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lang w:eastAsia="zh-CN"/>
        </w:rPr>
        <w:t>开展招商引资相关工作</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lang w:val="en-US" w:eastAsia="zh-CN"/>
        </w:rPr>
        <w:t>4.</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208</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05</w:t>
      </w:r>
      <w:r>
        <w:rPr>
          <w:rFonts w:hint="default" w:ascii="Times New Roman" w:hAnsi="Times New Roman" w:cs="Times New Roman"/>
          <w:b w:val="0"/>
          <w:bCs w:val="0"/>
          <w:color w:val="auto"/>
        </w:rPr>
        <w:t>（款）</w:t>
      </w:r>
      <w:r>
        <w:rPr>
          <w:rFonts w:hint="default" w:ascii="Times New Roman" w:hAnsi="Times New Roman" w:cs="Times New Roman"/>
          <w:b w:val="0"/>
          <w:bCs w:val="0"/>
          <w:color w:val="auto"/>
          <w:highlight w:val="none"/>
          <w:lang w:val="en-US" w:eastAsia="zh-CN"/>
        </w:rPr>
        <w:t>机关事业单位基本养老保险缴费支出</w:t>
      </w:r>
      <w:r>
        <w:rPr>
          <w:rFonts w:hint="default" w:ascii="Times New Roman" w:hAnsi="Times New Roman" w:cs="Times New Roman"/>
          <w:b w:val="0"/>
          <w:bCs w:val="0"/>
          <w:color w:val="auto"/>
          <w:lang w:val="en-US" w:eastAsia="zh-CN"/>
        </w:rPr>
        <w:t>05</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10.81</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highlight w:val="none"/>
          <w:lang w:val="en-US" w:eastAsia="zh-CN"/>
        </w:rPr>
        <w:t>机关事业单位基本养老保险缴费。</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5.</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208</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05</w:t>
      </w:r>
      <w:r>
        <w:rPr>
          <w:rFonts w:hint="default" w:ascii="Times New Roman" w:hAnsi="Times New Roman" w:cs="Times New Roman"/>
          <w:b w:val="0"/>
          <w:bCs w:val="0"/>
          <w:color w:val="auto"/>
        </w:rPr>
        <w:t>（款）</w:t>
      </w:r>
      <w:r>
        <w:rPr>
          <w:rFonts w:hint="default" w:ascii="Times New Roman" w:hAnsi="Times New Roman" w:cs="Times New Roman"/>
          <w:b w:val="0"/>
          <w:bCs w:val="0"/>
          <w:color w:val="auto"/>
          <w:highlight w:val="none"/>
          <w:lang w:val="en-US" w:eastAsia="zh-CN"/>
        </w:rPr>
        <w:t>机关事业单位职业年金缴费支出</w:t>
      </w:r>
      <w:r>
        <w:rPr>
          <w:rFonts w:hint="default" w:ascii="Times New Roman" w:hAnsi="Times New Roman" w:cs="Times New Roman"/>
          <w:b w:val="0"/>
          <w:bCs w:val="0"/>
          <w:color w:val="auto"/>
          <w:lang w:val="en-US" w:eastAsia="zh-CN"/>
        </w:rPr>
        <w:t>06</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5.40</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highlight w:val="none"/>
          <w:lang w:val="en-US" w:eastAsia="zh-CN"/>
        </w:rPr>
        <w:t>机关事业单位职业年金缴费</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6.</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208</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99</w:t>
      </w:r>
      <w:r>
        <w:rPr>
          <w:rFonts w:hint="default" w:ascii="Times New Roman" w:hAnsi="Times New Roman" w:cs="Times New Roman"/>
          <w:b w:val="0"/>
          <w:bCs w:val="0"/>
          <w:color w:val="auto"/>
        </w:rPr>
        <w:t>（款）</w:t>
      </w:r>
      <w:r>
        <w:rPr>
          <w:rFonts w:hint="eastAsia" w:cs="Times New Roman"/>
          <w:b w:val="0"/>
          <w:bCs w:val="0"/>
          <w:color w:val="auto"/>
          <w:highlight w:val="none"/>
          <w:lang w:val="en-US" w:eastAsia="zh-CN"/>
        </w:rPr>
        <w:t>其他</w:t>
      </w:r>
      <w:r>
        <w:rPr>
          <w:rFonts w:hint="default" w:ascii="Times New Roman" w:hAnsi="Times New Roman" w:cs="Times New Roman"/>
          <w:b w:val="0"/>
          <w:bCs w:val="0"/>
          <w:color w:val="auto"/>
          <w:highlight w:val="none"/>
          <w:lang w:val="en-US" w:eastAsia="zh-CN"/>
        </w:rPr>
        <w:t>社会保障和就业支出</w:t>
      </w:r>
      <w:r>
        <w:rPr>
          <w:rFonts w:hint="default" w:ascii="Times New Roman" w:hAnsi="Times New Roman" w:cs="Times New Roman"/>
          <w:b w:val="0"/>
          <w:bCs w:val="0"/>
          <w:color w:val="auto"/>
          <w:lang w:val="en-US" w:eastAsia="zh-CN"/>
        </w:rPr>
        <w:t>99</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0.08</w:t>
      </w:r>
      <w:r>
        <w:rPr>
          <w:rFonts w:hint="default" w:ascii="Times New Roman" w:hAnsi="Times New Roman" w:cs="Times New Roman"/>
          <w:b w:val="0"/>
          <w:bCs w:val="0"/>
          <w:color w:val="auto"/>
        </w:rPr>
        <w:t>万元，主要用于：</w:t>
      </w:r>
      <w:r>
        <w:rPr>
          <w:rFonts w:hint="eastAsia" w:cs="Times New Roman"/>
          <w:b w:val="0"/>
          <w:bCs w:val="0"/>
          <w:color w:val="auto"/>
          <w:highlight w:val="none"/>
          <w:lang w:val="en-US" w:eastAsia="zh-CN"/>
        </w:rPr>
        <w:t>其他</w:t>
      </w:r>
      <w:r>
        <w:rPr>
          <w:rFonts w:hint="default" w:ascii="Times New Roman" w:hAnsi="Times New Roman" w:cs="Times New Roman"/>
          <w:b w:val="0"/>
          <w:bCs w:val="0"/>
          <w:color w:val="auto"/>
          <w:highlight w:val="none"/>
          <w:lang w:val="en-US" w:eastAsia="zh-CN"/>
        </w:rPr>
        <w:t>社会保障和就业支出</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7.</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210</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11</w:t>
      </w:r>
      <w:r>
        <w:rPr>
          <w:rFonts w:hint="default" w:ascii="Times New Roman" w:hAnsi="Times New Roman" w:cs="Times New Roman"/>
          <w:b w:val="0"/>
          <w:bCs w:val="0"/>
          <w:color w:val="auto"/>
        </w:rPr>
        <w:t>（款）</w:t>
      </w:r>
      <w:r>
        <w:rPr>
          <w:rFonts w:hint="default" w:ascii="Times New Roman" w:hAnsi="Times New Roman" w:cs="Times New Roman"/>
          <w:b w:val="0"/>
          <w:bCs w:val="0"/>
          <w:color w:val="auto"/>
          <w:highlight w:val="none"/>
          <w:lang w:val="en-US" w:eastAsia="zh-CN"/>
        </w:rPr>
        <w:t>行政单位医疗</w:t>
      </w:r>
      <w:r>
        <w:rPr>
          <w:rFonts w:hint="default" w:ascii="Times New Roman" w:hAnsi="Times New Roman" w:cs="Times New Roman"/>
          <w:b w:val="0"/>
          <w:bCs w:val="0"/>
          <w:color w:val="auto"/>
          <w:lang w:val="en-US" w:eastAsia="zh-CN"/>
        </w:rPr>
        <w:t>01</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2.60</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highlight w:val="none"/>
          <w:lang w:val="en-US" w:eastAsia="zh-CN"/>
        </w:rPr>
        <w:t>行政单位医疗</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8.</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210</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11</w:t>
      </w:r>
      <w:r>
        <w:rPr>
          <w:rFonts w:hint="default" w:ascii="Times New Roman" w:hAnsi="Times New Roman" w:cs="Times New Roman"/>
          <w:b w:val="0"/>
          <w:bCs w:val="0"/>
          <w:color w:val="auto"/>
        </w:rPr>
        <w:t>（款）</w:t>
      </w:r>
      <w:r>
        <w:rPr>
          <w:rFonts w:hint="default" w:ascii="Times New Roman" w:hAnsi="Times New Roman" w:cs="Times New Roman"/>
          <w:b w:val="0"/>
          <w:bCs w:val="0"/>
          <w:color w:val="auto"/>
          <w:highlight w:val="none"/>
          <w:lang w:val="en-US" w:eastAsia="zh-CN"/>
        </w:rPr>
        <w:t>事业单位医疗</w:t>
      </w:r>
      <w:r>
        <w:rPr>
          <w:rFonts w:hint="default" w:ascii="Times New Roman" w:hAnsi="Times New Roman" w:cs="Times New Roman"/>
          <w:b w:val="0"/>
          <w:bCs w:val="0"/>
          <w:color w:val="auto"/>
          <w:lang w:val="en-US" w:eastAsia="zh-CN"/>
        </w:rPr>
        <w:t>02</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1.01</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highlight w:val="none"/>
          <w:lang w:val="en-US" w:eastAsia="zh-CN"/>
        </w:rPr>
        <w:t>事业单位医疗</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9.</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210</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11</w:t>
      </w:r>
      <w:r>
        <w:rPr>
          <w:rFonts w:hint="default" w:ascii="Times New Roman" w:hAnsi="Times New Roman" w:cs="Times New Roman"/>
          <w:b w:val="0"/>
          <w:bCs w:val="0"/>
          <w:color w:val="auto"/>
        </w:rPr>
        <w:t>（款）</w:t>
      </w:r>
      <w:r>
        <w:rPr>
          <w:rFonts w:hint="default" w:ascii="Times New Roman" w:hAnsi="Times New Roman" w:cs="Times New Roman"/>
          <w:b w:val="0"/>
          <w:bCs w:val="0"/>
          <w:color w:val="auto"/>
          <w:highlight w:val="none"/>
          <w:lang w:val="en-US" w:eastAsia="zh-CN"/>
        </w:rPr>
        <w:t>公务员医疗补助</w:t>
      </w:r>
      <w:r>
        <w:rPr>
          <w:rFonts w:hint="default" w:ascii="Times New Roman" w:hAnsi="Times New Roman" w:cs="Times New Roman"/>
          <w:b w:val="0"/>
          <w:bCs w:val="0"/>
          <w:color w:val="auto"/>
          <w:lang w:val="en-US" w:eastAsia="zh-CN"/>
        </w:rPr>
        <w:t>03</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0.69</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highlight w:val="none"/>
          <w:lang w:val="en-US" w:eastAsia="zh-CN"/>
        </w:rPr>
        <w:t>公务员医疗补助</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auto"/>
          <w:lang w:val="en-US" w:eastAsia="zh-CN"/>
        </w:rPr>
      </w:pPr>
      <w:r>
        <w:rPr>
          <w:rFonts w:hint="default" w:cs="Times New Roman"/>
          <w:b w:val="0"/>
          <w:bCs w:val="0"/>
          <w:color w:val="auto"/>
          <w:lang w:val="en-US"/>
        </w:rPr>
        <w:t>10.</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210</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11</w:t>
      </w:r>
      <w:r>
        <w:rPr>
          <w:rFonts w:hint="default" w:ascii="Times New Roman" w:hAnsi="Times New Roman" w:cs="Times New Roman"/>
          <w:b w:val="0"/>
          <w:bCs w:val="0"/>
          <w:color w:val="auto"/>
        </w:rPr>
        <w:t>（款）其他行政事业单位医疗支出</w:t>
      </w:r>
      <w:r>
        <w:rPr>
          <w:rFonts w:hint="eastAsia" w:cs="Times New Roman"/>
          <w:b w:val="0"/>
          <w:bCs w:val="0"/>
          <w:color w:val="auto"/>
          <w:highlight w:val="none"/>
          <w:lang w:val="en-US" w:eastAsia="zh-CN"/>
        </w:rPr>
        <w:t>99</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0.69</w:t>
      </w:r>
      <w:r>
        <w:rPr>
          <w:rFonts w:hint="default" w:ascii="Times New Roman" w:hAnsi="Times New Roman" w:cs="Times New Roman"/>
          <w:b w:val="0"/>
          <w:bCs w:val="0"/>
          <w:color w:val="auto"/>
        </w:rPr>
        <w:t>万元，主要用于： 其他行政事业单位医疗支出</w:t>
      </w:r>
      <w:r>
        <w:rPr>
          <w:rFonts w:hint="eastAsia" w:cs="Times New Roman"/>
          <w:b w:val="0"/>
          <w:bCs w:val="0"/>
          <w:color w:val="auto"/>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1</w:t>
      </w:r>
      <w:r>
        <w:rPr>
          <w:rFonts w:hint="default" w:cs="Times New Roman"/>
          <w:b w:val="0"/>
          <w:bCs w:val="0"/>
          <w:color w:val="auto"/>
          <w:lang w:val="en-US" w:eastAsia="zh-CN"/>
        </w:rPr>
        <w:t>1</w:t>
      </w:r>
      <w:r>
        <w:rPr>
          <w:rFonts w:hint="default" w:ascii="Times New Roman" w:hAnsi="Times New Roman" w:cs="Times New Roman"/>
          <w:b w:val="0"/>
          <w:bCs w:val="0"/>
          <w:color w:val="auto"/>
          <w:lang w:val="en-US" w:eastAsia="zh-CN"/>
        </w:rPr>
        <w:t>.</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215</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08</w:t>
      </w:r>
      <w:r>
        <w:rPr>
          <w:rFonts w:hint="default" w:ascii="Times New Roman" w:hAnsi="Times New Roman" w:cs="Times New Roman"/>
          <w:b w:val="0"/>
          <w:bCs w:val="0"/>
          <w:color w:val="auto"/>
        </w:rPr>
        <w:t>（款）</w:t>
      </w:r>
      <w:r>
        <w:rPr>
          <w:rFonts w:hint="default" w:ascii="Times New Roman" w:hAnsi="Times New Roman" w:cs="Times New Roman"/>
          <w:b w:val="0"/>
          <w:bCs w:val="0"/>
          <w:color w:val="auto"/>
          <w:highlight w:val="none"/>
          <w:lang w:val="en-US" w:eastAsia="zh-CN"/>
        </w:rPr>
        <w:t>行政运转</w:t>
      </w:r>
      <w:r>
        <w:rPr>
          <w:rFonts w:hint="default" w:ascii="Times New Roman" w:hAnsi="Times New Roman" w:cs="Times New Roman"/>
          <w:b w:val="0"/>
          <w:bCs w:val="0"/>
          <w:color w:val="auto"/>
          <w:lang w:val="en-US" w:eastAsia="zh-CN"/>
        </w:rPr>
        <w:t>01</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31.28</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highlight w:val="none"/>
          <w:lang w:val="en-US" w:eastAsia="zh-CN"/>
        </w:rPr>
        <w:t>行政运转</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1</w:t>
      </w:r>
      <w:r>
        <w:rPr>
          <w:rFonts w:hint="default" w:cs="Times New Roman"/>
          <w:b w:val="0"/>
          <w:bCs w:val="0"/>
          <w:color w:val="auto"/>
          <w:lang w:val="en-US" w:eastAsia="zh-CN"/>
        </w:rPr>
        <w:t>2</w:t>
      </w:r>
      <w:r>
        <w:rPr>
          <w:rFonts w:hint="default" w:ascii="Times New Roman" w:hAnsi="Times New Roman" w:cs="Times New Roman"/>
          <w:b w:val="0"/>
          <w:bCs w:val="0"/>
          <w:color w:val="auto"/>
          <w:lang w:val="en-US" w:eastAsia="zh-CN"/>
        </w:rPr>
        <w:t>.</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215</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08</w:t>
      </w:r>
      <w:r>
        <w:rPr>
          <w:rFonts w:hint="default" w:ascii="Times New Roman" w:hAnsi="Times New Roman" w:cs="Times New Roman"/>
          <w:b w:val="0"/>
          <w:bCs w:val="0"/>
          <w:color w:val="auto"/>
        </w:rPr>
        <w:t>（款）</w:t>
      </w:r>
      <w:r>
        <w:rPr>
          <w:rFonts w:hint="eastAsia" w:cs="Times New Roman"/>
          <w:b w:val="0"/>
          <w:bCs w:val="0"/>
          <w:color w:val="auto"/>
          <w:highlight w:val="none"/>
          <w:lang w:val="en-US" w:eastAsia="zh-CN"/>
        </w:rPr>
        <w:t>其他</w:t>
      </w:r>
      <w:r>
        <w:rPr>
          <w:rFonts w:hint="default" w:ascii="Times New Roman" w:hAnsi="Times New Roman" w:cs="Times New Roman"/>
          <w:b w:val="0"/>
          <w:bCs w:val="0"/>
          <w:color w:val="auto"/>
          <w:highlight w:val="none"/>
          <w:lang w:val="en-US" w:eastAsia="zh-CN"/>
        </w:rPr>
        <w:t>支持中小企业发展和管理支出99</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12.88</w:t>
      </w:r>
      <w:r>
        <w:rPr>
          <w:rFonts w:hint="default" w:ascii="Times New Roman" w:hAnsi="Times New Roman" w:cs="Times New Roman"/>
          <w:b w:val="0"/>
          <w:bCs w:val="0"/>
          <w:color w:val="auto"/>
        </w:rPr>
        <w:t>万元，主要用于：</w:t>
      </w:r>
      <w:r>
        <w:rPr>
          <w:rFonts w:hint="eastAsia" w:cs="Times New Roman"/>
          <w:b w:val="0"/>
          <w:bCs w:val="0"/>
          <w:color w:val="auto"/>
          <w:highlight w:val="none"/>
          <w:lang w:val="en-US" w:eastAsia="zh-CN"/>
        </w:rPr>
        <w:t>其他</w:t>
      </w:r>
      <w:r>
        <w:rPr>
          <w:rFonts w:hint="default" w:ascii="Times New Roman" w:hAnsi="Times New Roman" w:cs="Times New Roman"/>
          <w:b w:val="0"/>
          <w:bCs w:val="0"/>
          <w:color w:val="auto"/>
          <w:highlight w:val="none"/>
          <w:lang w:val="en-US" w:eastAsia="zh-CN"/>
        </w:rPr>
        <w:t>支持中小企业发展和管理支出</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1</w:t>
      </w:r>
      <w:r>
        <w:rPr>
          <w:rFonts w:hint="default" w:cs="Times New Roman"/>
          <w:b w:val="0"/>
          <w:bCs w:val="0"/>
          <w:color w:val="auto"/>
          <w:lang w:val="en-US" w:eastAsia="zh-CN"/>
        </w:rPr>
        <w:t>3</w:t>
      </w:r>
      <w:r>
        <w:rPr>
          <w:rFonts w:hint="default" w:ascii="Times New Roman" w:hAnsi="Times New Roman" w:cs="Times New Roman"/>
          <w:b w:val="0"/>
          <w:bCs w:val="0"/>
          <w:color w:val="auto"/>
          <w:lang w:val="en-US" w:eastAsia="zh-CN"/>
        </w:rPr>
        <w:t>.</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221</w:t>
      </w:r>
      <w:r>
        <w:rPr>
          <w:rFonts w:hint="default" w:ascii="Times New Roman" w:hAnsi="Times New Roman" w:cs="Times New Roman"/>
          <w:b w:val="0"/>
          <w:bCs w:val="0"/>
          <w:color w:val="auto"/>
        </w:rPr>
        <w:t>（类）</w:t>
      </w:r>
      <w:r>
        <w:rPr>
          <w:rFonts w:hint="default" w:ascii="Times New Roman" w:hAnsi="Times New Roman" w:cs="Times New Roman"/>
          <w:b w:val="0"/>
          <w:bCs w:val="0"/>
          <w:color w:val="auto"/>
          <w:lang w:val="en-US" w:eastAsia="zh-CN"/>
        </w:rPr>
        <w:t>02</w:t>
      </w:r>
      <w:r>
        <w:rPr>
          <w:rFonts w:hint="default" w:ascii="Times New Roman" w:hAnsi="Times New Roman" w:cs="Times New Roman"/>
          <w:b w:val="0"/>
          <w:bCs w:val="0"/>
          <w:color w:val="auto"/>
        </w:rPr>
        <w:t>（款）</w:t>
      </w:r>
      <w:r>
        <w:rPr>
          <w:rFonts w:hint="default" w:ascii="Times New Roman" w:hAnsi="Times New Roman" w:cs="Times New Roman"/>
          <w:b w:val="0"/>
          <w:bCs w:val="0"/>
          <w:color w:val="auto"/>
          <w:highlight w:val="none"/>
          <w:lang w:val="en-US" w:eastAsia="zh-CN"/>
        </w:rPr>
        <w:t>住房公积金</w:t>
      </w:r>
      <w:r>
        <w:rPr>
          <w:rFonts w:hint="default" w:ascii="Times New Roman" w:hAnsi="Times New Roman" w:cs="Times New Roman"/>
          <w:b w:val="0"/>
          <w:bCs w:val="0"/>
          <w:color w:val="auto"/>
          <w:lang w:val="en-US" w:eastAsia="zh-CN"/>
        </w:rPr>
        <w:t>01</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default" w:cs="Times New Roman"/>
          <w:b w:val="0"/>
          <w:bCs w:val="0"/>
          <w:color w:val="auto"/>
          <w:lang w:val="en-US"/>
        </w:rPr>
        <w:t>9.18</w:t>
      </w:r>
      <w:r>
        <w:rPr>
          <w:rFonts w:hint="default" w:ascii="Times New Roman" w:hAnsi="Times New Roman" w:cs="Times New Roman"/>
          <w:b w:val="0"/>
          <w:bCs w:val="0"/>
          <w:color w:val="auto"/>
        </w:rPr>
        <w:t>万元，主要用于：</w:t>
      </w:r>
      <w:r>
        <w:rPr>
          <w:rFonts w:hint="default" w:ascii="Times New Roman" w:hAnsi="Times New Roman" w:cs="Times New Roman"/>
          <w:b w:val="0"/>
          <w:bCs w:val="0"/>
          <w:color w:val="auto"/>
          <w:highlight w:val="none"/>
          <w:lang w:val="en-US" w:eastAsia="zh-CN"/>
        </w:rPr>
        <w:t>住房公积金</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lang w:val="en-US"/>
        </w:rPr>
      </w:pPr>
      <w:r>
        <w:rPr>
          <w:rFonts w:hint="default" w:cs="Times New Roman"/>
          <w:b w:val="0"/>
          <w:bCs w:val="0"/>
          <w:color w:val="auto"/>
          <w:lang w:val="en-US"/>
        </w:rPr>
        <w:t>14.</w:t>
      </w:r>
      <w:r>
        <w:rPr>
          <w:rFonts w:hint="default" w:ascii="Times New Roman" w:hAnsi="Times New Roman" w:cs="Times New Roman"/>
          <w:b w:val="0"/>
          <w:bCs w:val="0"/>
          <w:color w:val="auto"/>
        </w:rPr>
        <w:t>一般公共服务</w:t>
      </w:r>
      <w:r>
        <w:rPr>
          <w:rFonts w:hint="default" w:ascii="Times New Roman" w:hAnsi="Times New Roman" w:cs="Times New Roman"/>
          <w:b w:val="0"/>
          <w:bCs w:val="0"/>
          <w:color w:val="auto"/>
          <w:lang w:val="en-US" w:eastAsia="zh-CN"/>
        </w:rPr>
        <w:t>22</w:t>
      </w:r>
      <w:r>
        <w:rPr>
          <w:rFonts w:hint="eastAsia" w:cs="Times New Roman"/>
          <w:b w:val="0"/>
          <w:bCs w:val="0"/>
          <w:color w:val="auto"/>
          <w:lang w:val="en-US" w:eastAsia="zh-CN"/>
        </w:rPr>
        <w:t>9</w:t>
      </w:r>
      <w:r>
        <w:rPr>
          <w:rFonts w:hint="default" w:ascii="Times New Roman" w:hAnsi="Times New Roman" w:cs="Times New Roman"/>
          <w:b w:val="0"/>
          <w:bCs w:val="0"/>
          <w:color w:val="auto"/>
        </w:rPr>
        <w:t>（类）</w:t>
      </w:r>
      <w:r>
        <w:rPr>
          <w:rFonts w:hint="eastAsia" w:cs="Times New Roman"/>
          <w:b w:val="0"/>
          <w:bCs w:val="0"/>
          <w:color w:val="auto"/>
          <w:lang w:val="en-US" w:eastAsia="zh-CN"/>
        </w:rPr>
        <w:t>99</w:t>
      </w:r>
      <w:r>
        <w:rPr>
          <w:rFonts w:hint="default" w:ascii="Times New Roman" w:hAnsi="Times New Roman" w:cs="Times New Roman"/>
          <w:b w:val="0"/>
          <w:bCs w:val="0"/>
          <w:color w:val="auto"/>
        </w:rPr>
        <w:t>（款）</w:t>
      </w:r>
      <w:r>
        <w:rPr>
          <w:rFonts w:hint="eastAsia" w:cs="Times New Roman"/>
          <w:b w:val="0"/>
          <w:bCs w:val="0"/>
          <w:color w:val="auto"/>
          <w:lang w:val="en-US" w:eastAsia="zh-CN"/>
        </w:rPr>
        <w:t>其他支出99</w:t>
      </w:r>
      <w:r>
        <w:rPr>
          <w:rFonts w:hint="default" w:ascii="Times New Roman" w:hAnsi="Times New Roman" w:cs="Times New Roman"/>
          <w:b w:val="0"/>
          <w:bCs w:val="0"/>
          <w:color w:val="auto"/>
        </w:rPr>
        <w:t>（项）20</w:t>
      </w:r>
      <w:r>
        <w:rPr>
          <w:rFonts w:hint="default" w:ascii="Times New Roman" w:hAnsi="Times New Roman" w:cs="Times New Roman"/>
          <w:b w:val="0"/>
          <w:bCs w:val="0"/>
          <w:color w:val="auto"/>
          <w:lang w:val="en-US" w:eastAsia="zh-CN"/>
        </w:rPr>
        <w:t>2</w:t>
      </w:r>
      <w:r>
        <w:rPr>
          <w:rFonts w:hint="default" w:cs="Times New Roman"/>
          <w:b w:val="0"/>
          <w:bCs w:val="0"/>
          <w:color w:val="auto"/>
          <w:lang w:val="en-US" w:eastAsia="zh-CN"/>
        </w:rPr>
        <w:t>4</w:t>
      </w:r>
      <w:r>
        <w:rPr>
          <w:rFonts w:hint="default" w:ascii="Times New Roman" w:hAnsi="Times New Roman" w:cs="Times New Roman"/>
          <w:b w:val="0"/>
          <w:bCs w:val="0"/>
          <w:color w:val="auto"/>
        </w:rPr>
        <w:t>年预算数为</w:t>
      </w:r>
      <w:r>
        <w:rPr>
          <w:rFonts w:hint="eastAsia" w:cs="Times New Roman"/>
          <w:b w:val="0"/>
          <w:bCs w:val="0"/>
          <w:color w:val="auto"/>
          <w:lang w:val="en-US" w:eastAsia="zh-CN"/>
        </w:rPr>
        <w:t>20.40</w:t>
      </w:r>
      <w:r>
        <w:rPr>
          <w:rFonts w:hint="default" w:ascii="Times New Roman" w:hAnsi="Times New Roman" w:cs="Times New Roman"/>
          <w:b w:val="0"/>
          <w:bCs w:val="0"/>
          <w:color w:val="auto"/>
        </w:rPr>
        <w:t>万元，主要用于：</w:t>
      </w:r>
      <w:r>
        <w:rPr>
          <w:rFonts w:hint="eastAsia" w:cs="Times New Roman"/>
          <w:b w:val="0"/>
          <w:bCs w:val="0"/>
          <w:color w:val="auto"/>
          <w:lang w:val="en-US" w:eastAsia="zh-CN"/>
        </w:rPr>
        <w:t>其他支出</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六、一般公共预算基本支出情况说明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年一般公共预算基本支出</w:t>
      </w:r>
      <w:r>
        <w:rPr>
          <w:rFonts w:hint="eastAsia" w:cs="Times New Roman"/>
          <w:b w:val="0"/>
          <w:bCs w:val="0"/>
          <w:color w:val="auto"/>
          <w:lang w:val="en-US" w:eastAsia="zh-CN"/>
        </w:rPr>
        <w:t>121.63</w:t>
      </w:r>
      <w:r>
        <w:rPr>
          <w:rFonts w:hint="default" w:ascii="Times New Roman" w:hAnsi="Times New Roman" w:cs="Times New Roman"/>
          <w:b w:val="0"/>
          <w:bCs w:val="0"/>
          <w:color w:val="auto"/>
        </w:rPr>
        <w:t>万元，其中：</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lang w:eastAsia="zh-CN"/>
        </w:rPr>
      </w:pPr>
      <w:r>
        <w:rPr>
          <w:rFonts w:hint="default" w:ascii="Times New Roman" w:hAnsi="Times New Roman" w:cs="Times New Roman"/>
          <w:b w:val="0"/>
          <w:bCs w:val="0"/>
          <w:color w:val="auto"/>
        </w:rPr>
        <w:t>人员经费</w:t>
      </w:r>
      <w:r>
        <w:rPr>
          <w:rFonts w:hint="eastAsia" w:cs="Times New Roman"/>
          <w:b w:val="0"/>
          <w:bCs w:val="0"/>
          <w:color w:val="auto"/>
          <w:lang w:val="en-US" w:eastAsia="zh-CN"/>
        </w:rPr>
        <w:t>97.88</w:t>
      </w:r>
      <w:r>
        <w:rPr>
          <w:rFonts w:hint="default" w:ascii="Times New Roman" w:hAnsi="Times New Roman" w:cs="Times New Roman"/>
          <w:b w:val="0"/>
          <w:bCs w:val="0"/>
          <w:color w:val="auto"/>
        </w:rPr>
        <w:t>万元，主要包括：基本工资、津贴补贴、</w:t>
      </w:r>
      <w:r>
        <w:rPr>
          <w:rFonts w:hint="default" w:ascii="Times New Roman" w:hAnsi="Times New Roman" w:cs="Times New Roman"/>
          <w:b w:val="0"/>
          <w:bCs w:val="0"/>
          <w:color w:val="auto"/>
          <w:lang w:eastAsia="zh-CN"/>
        </w:rPr>
        <w:t>奖金、</w:t>
      </w:r>
      <w:r>
        <w:rPr>
          <w:rFonts w:hint="default" w:ascii="Times New Roman" w:hAnsi="Times New Roman" w:cs="Times New Roman"/>
          <w:b w:val="0"/>
          <w:bCs w:val="0"/>
          <w:color w:val="auto"/>
        </w:rPr>
        <w:t>绩效工资、机关事业单位基本养老保险缴费、</w:t>
      </w:r>
      <w:r>
        <w:rPr>
          <w:rFonts w:hint="default" w:ascii="Times New Roman" w:hAnsi="Times New Roman" w:cs="Times New Roman"/>
          <w:b w:val="0"/>
          <w:bCs w:val="0"/>
          <w:color w:val="auto"/>
          <w:lang w:eastAsia="zh-CN"/>
        </w:rPr>
        <w:t>职业年金缴费、职工基本医疗保险缴费、公务员医疗补助缴费、</w:t>
      </w:r>
      <w:r>
        <w:rPr>
          <w:rFonts w:hint="eastAsia" w:cs="Times New Roman"/>
          <w:b w:val="0"/>
          <w:bCs w:val="0"/>
          <w:color w:val="auto"/>
          <w:lang w:eastAsia="zh-CN"/>
        </w:rPr>
        <w:t>其他</w:t>
      </w:r>
      <w:r>
        <w:rPr>
          <w:rFonts w:hint="default" w:ascii="Times New Roman" w:hAnsi="Times New Roman" w:cs="Times New Roman"/>
          <w:b w:val="0"/>
          <w:bCs w:val="0"/>
          <w:color w:val="auto"/>
          <w:lang w:eastAsia="zh-CN"/>
        </w:rPr>
        <w:t>社会保障缴费、</w:t>
      </w:r>
      <w:r>
        <w:rPr>
          <w:rFonts w:hint="default" w:ascii="Times New Roman" w:hAnsi="Times New Roman" w:cs="Times New Roman"/>
          <w:b w:val="0"/>
          <w:bCs w:val="0"/>
          <w:color w:val="auto"/>
        </w:rPr>
        <w:t>住房公积金、</w:t>
      </w:r>
      <w:r>
        <w:rPr>
          <w:rFonts w:hint="default" w:ascii="Times New Roman" w:hAnsi="Times New Roman" w:cs="Times New Roman"/>
          <w:b w:val="0"/>
          <w:bCs w:val="0"/>
          <w:color w:val="auto"/>
          <w:lang w:eastAsia="zh-CN"/>
        </w:rPr>
        <w:t>工会经费、福利费、</w:t>
      </w:r>
      <w:r>
        <w:rPr>
          <w:rFonts w:hint="eastAsia" w:cs="Times New Roman"/>
          <w:b w:val="0"/>
          <w:bCs w:val="0"/>
          <w:color w:val="auto"/>
          <w:lang w:eastAsia="zh-CN"/>
        </w:rPr>
        <w:t>其他</w:t>
      </w:r>
      <w:r>
        <w:rPr>
          <w:rFonts w:hint="default" w:ascii="Times New Roman" w:hAnsi="Times New Roman" w:cs="Times New Roman"/>
          <w:b w:val="0"/>
          <w:bCs w:val="0"/>
          <w:color w:val="auto"/>
          <w:lang w:eastAsia="zh-CN"/>
        </w:rPr>
        <w:t>交通费用。</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 w:val="0"/>
          <w:bCs w:val="0"/>
          <w:color w:val="auto"/>
          <w:lang w:eastAsia="zh-CN"/>
        </w:rPr>
      </w:pPr>
      <w:r>
        <w:rPr>
          <w:rFonts w:hint="default" w:ascii="Times New Roman" w:hAnsi="Times New Roman" w:cs="Times New Roman"/>
          <w:b w:val="0"/>
          <w:bCs w:val="0"/>
          <w:color w:val="auto"/>
        </w:rPr>
        <w:t>公用经费</w:t>
      </w:r>
      <w:r>
        <w:rPr>
          <w:rFonts w:hint="default" w:ascii="Times New Roman" w:hAnsi="Times New Roman" w:cs="Times New Roman"/>
          <w:b w:val="0"/>
          <w:bCs w:val="0"/>
          <w:color w:val="auto"/>
          <w:lang w:val="en-US" w:eastAsia="zh-CN"/>
        </w:rPr>
        <w:t>23.</w:t>
      </w:r>
      <w:r>
        <w:rPr>
          <w:rFonts w:hint="eastAsia" w:cs="Times New Roman"/>
          <w:b w:val="0"/>
          <w:bCs w:val="0"/>
          <w:color w:val="auto"/>
          <w:lang w:val="en-US" w:eastAsia="zh-CN"/>
        </w:rPr>
        <w:t>75</w:t>
      </w:r>
      <w:r>
        <w:rPr>
          <w:rFonts w:hint="default" w:ascii="Times New Roman" w:hAnsi="Times New Roman" w:cs="Times New Roman"/>
          <w:b w:val="0"/>
          <w:bCs w:val="0"/>
          <w:color w:val="auto"/>
        </w:rPr>
        <w:t>万元，主要包括：办公费、邮电费、</w:t>
      </w:r>
      <w:r>
        <w:rPr>
          <w:rFonts w:hint="default" w:ascii="Times New Roman" w:hAnsi="Times New Roman" w:cs="Times New Roman"/>
          <w:b w:val="0"/>
          <w:bCs w:val="0"/>
          <w:color w:val="auto"/>
          <w:lang w:eastAsia="zh-CN"/>
        </w:rPr>
        <w:t>公务接待费、福利费、</w:t>
      </w:r>
      <w:r>
        <w:rPr>
          <w:rFonts w:hint="eastAsia" w:cs="Times New Roman"/>
          <w:b w:val="0"/>
          <w:bCs w:val="0"/>
          <w:color w:val="auto"/>
          <w:lang w:eastAsia="zh-CN"/>
        </w:rPr>
        <w:t>其他</w:t>
      </w:r>
      <w:r>
        <w:rPr>
          <w:rFonts w:hint="default" w:ascii="Times New Roman" w:hAnsi="Times New Roman" w:cs="Times New Roman"/>
          <w:b w:val="0"/>
          <w:bCs w:val="0"/>
          <w:color w:val="auto"/>
          <w:lang w:eastAsia="zh-CN"/>
        </w:rPr>
        <w:t>交通费用、</w:t>
      </w:r>
      <w:r>
        <w:rPr>
          <w:rFonts w:hint="eastAsia" w:cs="Times New Roman"/>
          <w:b w:val="0"/>
          <w:bCs w:val="0"/>
          <w:color w:val="auto"/>
          <w:lang w:eastAsia="zh-CN"/>
        </w:rPr>
        <w:t>其他</w:t>
      </w:r>
      <w:r>
        <w:rPr>
          <w:rFonts w:hint="default" w:ascii="Times New Roman" w:hAnsi="Times New Roman" w:cs="Times New Roman"/>
          <w:b w:val="0"/>
          <w:bCs w:val="0"/>
          <w:color w:val="auto"/>
          <w:lang w:eastAsia="zh-CN"/>
        </w:rPr>
        <w:t>商品和服务支出、</w:t>
      </w:r>
      <w:r>
        <w:rPr>
          <w:rFonts w:hint="default" w:ascii="Times New Roman" w:hAnsi="Times New Roman" w:cs="Times New Roman"/>
          <w:b w:val="0"/>
          <w:bCs w:val="0"/>
          <w:color w:val="auto"/>
        </w:rPr>
        <w:t> 对个人和家庭的补助</w:t>
      </w:r>
      <w:r>
        <w:rPr>
          <w:rFonts w:hint="default" w:ascii="Times New Roman" w:hAnsi="Times New Roman" w:cs="Times New Roman"/>
          <w:b w:val="0"/>
          <w:bCs w:val="0"/>
          <w:color w:val="auto"/>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七、“三公”经费财政拨款预算安排情况说明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年“三公”经费财政拨款预算数</w:t>
      </w:r>
      <w:r>
        <w:rPr>
          <w:rFonts w:hint="default" w:ascii="Times New Roman" w:hAnsi="Times New Roman" w:cs="Times New Roman"/>
          <w:b w:val="0"/>
          <w:bCs w:val="0"/>
          <w:color w:val="auto"/>
          <w:lang w:val="en-US" w:eastAsia="zh-CN"/>
        </w:rPr>
        <w:t>1</w:t>
      </w:r>
      <w:r>
        <w:rPr>
          <w:rFonts w:hint="eastAsia" w:cs="Times New Roman"/>
          <w:b w:val="0"/>
          <w:bCs w:val="0"/>
          <w:color w:val="auto"/>
          <w:lang w:val="en-US" w:eastAsia="zh-CN"/>
        </w:rPr>
        <w:t>.05</w:t>
      </w:r>
      <w:r>
        <w:rPr>
          <w:rFonts w:hint="default" w:ascii="Times New Roman" w:hAnsi="Times New Roman" w:cs="Times New Roman"/>
          <w:b w:val="0"/>
          <w:bCs w:val="0"/>
          <w:color w:val="auto"/>
        </w:rPr>
        <w:t>万元，其中：因公出国（境）经费</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万元，公务接待费</w:t>
      </w:r>
      <w:r>
        <w:rPr>
          <w:rFonts w:hint="default" w:ascii="Times New Roman" w:hAnsi="Times New Roman" w:cs="Times New Roman"/>
          <w:b w:val="0"/>
          <w:bCs w:val="0"/>
          <w:color w:val="auto"/>
          <w:lang w:val="en-US" w:eastAsia="zh-CN"/>
        </w:rPr>
        <w:t>1</w:t>
      </w:r>
      <w:r>
        <w:rPr>
          <w:rFonts w:hint="eastAsia" w:cs="Times New Roman"/>
          <w:b w:val="0"/>
          <w:bCs w:val="0"/>
          <w:color w:val="auto"/>
          <w:lang w:val="en-US" w:eastAsia="zh-CN"/>
        </w:rPr>
        <w:t>.05</w:t>
      </w:r>
      <w:r>
        <w:rPr>
          <w:rFonts w:hint="default" w:ascii="Times New Roman" w:hAnsi="Times New Roman" w:cs="Times New Roman"/>
          <w:b w:val="0"/>
          <w:bCs w:val="0"/>
          <w:color w:val="auto"/>
        </w:rPr>
        <w:t>万元，公务用车购置及运行维护费</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万元。</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eastAsia="楷体_GB2312" w:cs="Times New Roman"/>
          <w:b w:val="0"/>
          <w:bCs w:val="0"/>
          <w:color w:val="auto"/>
        </w:rPr>
        <w:t>因公出国（境）经费较20</w:t>
      </w:r>
      <w:r>
        <w:rPr>
          <w:rFonts w:hint="default" w:ascii="Times New Roman" w:hAnsi="Times New Roman" w:eastAsia="楷体_GB2312" w:cs="Times New Roman"/>
          <w:b w:val="0"/>
          <w:bCs w:val="0"/>
          <w:color w:val="auto"/>
          <w:lang w:val="en-US" w:eastAsia="zh-CN"/>
        </w:rPr>
        <w:t>2</w:t>
      </w:r>
      <w:r>
        <w:rPr>
          <w:rFonts w:hint="eastAsia" w:eastAsia="楷体_GB2312" w:cs="Times New Roman"/>
          <w:b w:val="0"/>
          <w:bCs w:val="0"/>
          <w:color w:val="auto"/>
          <w:lang w:val="en-US" w:eastAsia="zh-CN"/>
        </w:rPr>
        <w:t>3</w:t>
      </w:r>
      <w:r>
        <w:rPr>
          <w:rFonts w:hint="default" w:ascii="Times New Roman" w:hAnsi="Times New Roman" w:eastAsia="楷体_GB2312" w:cs="Times New Roman"/>
          <w:b w:val="0"/>
          <w:bCs w:val="0"/>
          <w:color w:val="auto"/>
        </w:rPr>
        <w:t>年预算持平。</w:t>
      </w:r>
      <w:r>
        <w:rPr>
          <w:rFonts w:hint="default" w:ascii="Times New Roman" w:hAnsi="Times New Roman" w:cs="Times New Roman"/>
          <w:b w:val="0"/>
          <w:bCs w:val="0"/>
          <w:color w:val="auto"/>
          <w:lang w:eastAsia="zh-CN"/>
        </w:rPr>
        <w:t>主要原因没有特殊情况，无人因公出国。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eastAsia="楷体_GB2312" w:cs="Times New Roman"/>
          <w:b w:val="0"/>
          <w:bCs w:val="0"/>
          <w:color w:val="auto"/>
        </w:rPr>
        <w:t>（二）公务接待费较20</w:t>
      </w:r>
      <w:r>
        <w:rPr>
          <w:rFonts w:hint="default" w:ascii="Times New Roman" w:hAnsi="Times New Roman" w:eastAsia="楷体_GB2312" w:cs="Times New Roman"/>
          <w:b w:val="0"/>
          <w:bCs w:val="0"/>
          <w:color w:val="auto"/>
          <w:lang w:val="en-US" w:eastAsia="zh-CN"/>
        </w:rPr>
        <w:t>2</w:t>
      </w:r>
      <w:r>
        <w:rPr>
          <w:rFonts w:hint="eastAsia" w:eastAsia="楷体_GB2312" w:cs="Times New Roman"/>
          <w:b w:val="0"/>
          <w:bCs w:val="0"/>
          <w:color w:val="auto"/>
          <w:lang w:val="en-US" w:eastAsia="zh-CN"/>
        </w:rPr>
        <w:t>3</w:t>
      </w:r>
      <w:r>
        <w:rPr>
          <w:rFonts w:hint="default" w:ascii="Times New Roman" w:hAnsi="Times New Roman" w:eastAsia="楷体_GB2312" w:cs="Times New Roman"/>
          <w:b w:val="0"/>
          <w:bCs w:val="0"/>
          <w:color w:val="auto"/>
        </w:rPr>
        <w:t>年预算</w:t>
      </w:r>
      <w:r>
        <w:rPr>
          <w:rFonts w:hint="eastAsia" w:eastAsia="楷体_GB2312" w:cs="Times New Roman"/>
          <w:b w:val="0"/>
          <w:bCs w:val="0"/>
          <w:color w:val="auto"/>
          <w:lang w:val="en-US" w:eastAsia="zh-CN"/>
        </w:rPr>
        <w:t>增加</w:t>
      </w:r>
      <w:r>
        <w:rPr>
          <w:rFonts w:hint="default" w:ascii="Times New Roman" w:hAnsi="Times New Roman" w:eastAsia="楷体_GB2312" w:cs="Times New Roman"/>
          <w:b w:val="0"/>
          <w:bCs w:val="0"/>
          <w:color w:val="auto"/>
        </w:rPr>
        <w:t>。</w:t>
      </w:r>
      <w:r>
        <w:rPr>
          <w:rFonts w:hint="default" w:ascii="Times New Roman" w:hAnsi="Times New Roman" w:cs="Times New Roman"/>
          <w:b w:val="0"/>
          <w:bCs w:val="0"/>
          <w:color w:val="auto"/>
        </w:rPr>
        <w:t>主要原因是</w:t>
      </w:r>
      <w:r>
        <w:rPr>
          <w:rFonts w:hint="default" w:ascii="Times New Roman" w:hAnsi="Times New Roman" w:cs="Times New Roman"/>
          <w:b w:val="0"/>
          <w:bCs w:val="0"/>
          <w:color w:val="auto"/>
          <w:sz w:val="32"/>
          <w:szCs w:val="32"/>
          <w:lang w:eastAsia="zh-CN"/>
        </w:rPr>
        <w:t>莅临</w:t>
      </w:r>
      <w:r>
        <w:rPr>
          <w:rFonts w:hint="default" w:ascii="Times New Roman" w:hAnsi="Times New Roman" w:eastAsia="仿宋_GB2312" w:cs="Times New Roman"/>
          <w:b w:val="0"/>
          <w:bCs w:val="0"/>
          <w:color w:val="auto"/>
          <w:sz w:val="32"/>
          <w:szCs w:val="32"/>
          <w:lang w:eastAsia="zh-CN"/>
        </w:rPr>
        <w:t>园区</w:t>
      </w:r>
      <w:r>
        <w:rPr>
          <w:rFonts w:hint="eastAsia" w:cs="Times New Roman"/>
          <w:b w:val="0"/>
          <w:bCs w:val="0"/>
          <w:color w:val="auto"/>
          <w:sz w:val="32"/>
          <w:szCs w:val="32"/>
          <w:lang w:val="en-US" w:eastAsia="zh-CN"/>
        </w:rPr>
        <w:t>学习</w:t>
      </w:r>
      <w:r>
        <w:rPr>
          <w:rFonts w:hint="default" w:ascii="Times New Roman" w:hAnsi="Times New Roman" w:eastAsia="仿宋_GB2312" w:cs="Times New Roman"/>
          <w:b w:val="0"/>
          <w:bCs w:val="0"/>
          <w:color w:val="auto"/>
          <w:sz w:val="32"/>
          <w:szCs w:val="32"/>
          <w:lang w:eastAsia="zh-CN"/>
        </w:rPr>
        <w:t>交流的单位数量</w:t>
      </w:r>
      <w:r>
        <w:rPr>
          <w:rFonts w:hint="eastAsia" w:cs="Times New Roman"/>
          <w:b w:val="0"/>
          <w:bCs w:val="0"/>
          <w:color w:val="auto"/>
          <w:sz w:val="32"/>
          <w:szCs w:val="32"/>
          <w:lang w:val="en-US" w:eastAsia="zh-CN"/>
        </w:rPr>
        <w:t>增加</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年公务接待费计划用于</w:t>
      </w:r>
      <w:r>
        <w:rPr>
          <w:rFonts w:hint="default" w:ascii="Times New Roman" w:hAnsi="Times New Roman" w:cs="Times New Roman"/>
          <w:b w:val="0"/>
          <w:bCs w:val="0"/>
          <w:color w:val="auto"/>
          <w:sz w:val="32"/>
          <w:szCs w:val="32"/>
          <w:lang w:eastAsia="zh-CN"/>
        </w:rPr>
        <w:t>执行公务、考察调研等公务活动开支的餐饮费、住宿费等</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eastAsia="楷体_GB2312" w:cs="Times New Roman"/>
          <w:b w:val="0"/>
          <w:bCs w:val="0"/>
          <w:color w:val="auto"/>
        </w:rPr>
        <w:t>（三）公务用车购置及运行维护费较20</w:t>
      </w:r>
      <w:r>
        <w:rPr>
          <w:rFonts w:hint="default" w:ascii="Times New Roman" w:hAnsi="Times New Roman" w:eastAsia="楷体_GB2312" w:cs="Times New Roman"/>
          <w:b w:val="0"/>
          <w:bCs w:val="0"/>
          <w:color w:val="auto"/>
          <w:lang w:val="en-US" w:eastAsia="zh-CN"/>
        </w:rPr>
        <w:t>2</w:t>
      </w:r>
      <w:r>
        <w:rPr>
          <w:rFonts w:hint="eastAsia" w:eastAsia="楷体_GB2312" w:cs="Times New Roman"/>
          <w:b w:val="0"/>
          <w:bCs w:val="0"/>
          <w:color w:val="auto"/>
          <w:lang w:val="en-US" w:eastAsia="zh-CN"/>
        </w:rPr>
        <w:t>3</w:t>
      </w:r>
      <w:r>
        <w:rPr>
          <w:rFonts w:hint="default" w:ascii="Times New Roman" w:hAnsi="Times New Roman" w:eastAsia="楷体_GB2312" w:cs="Times New Roman"/>
          <w:b w:val="0"/>
          <w:bCs w:val="0"/>
          <w:color w:val="auto"/>
        </w:rPr>
        <w:t>年预算持平。</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八、“会议费”、“培训费”、“差旅费”财政拨款预算安排情况说明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年“会议费”、“培训费”、“差旅费”财政拨款预算数</w:t>
      </w:r>
      <w:r>
        <w:rPr>
          <w:rFonts w:hint="default" w:ascii="Times New Roman" w:hAnsi="Times New Roman" w:cs="Times New Roman"/>
          <w:b w:val="0"/>
          <w:bCs w:val="0"/>
          <w:color w:val="auto"/>
          <w:lang w:val="en-US" w:eastAsia="zh-CN"/>
        </w:rPr>
        <w:t>110</w:t>
      </w:r>
      <w:r>
        <w:rPr>
          <w:rFonts w:hint="default" w:ascii="Times New Roman" w:hAnsi="Times New Roman" w:cs="Times New Roman"/>
          <w:b w:val="0"/>
          <w:bCs w:val="0"/>
          <w:color w:val="auto"/>
        </w:rPr>
        <w:t>万元，其中：会议费</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万元，培训费</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万元，差旅费</w:t>
      </w:r>
      <w:r>
        <w:rPr>
          <w:rFonts w:hint="default" w:ascii="Times New Roman" w:hAnsi="Times New Roman" w:cs="Times New Roman"/>
          <w:b w:val="0"/>
          <w:bCs w:val="0"/>
          <w:color w:val="auto"/>
          <w:lang w:val="en-US" w:eastAsia="zh-CN"/>
        </w:rPr>
        <w:t>110</w:t>
      </w:r>
      <w:r>
        <w:rPr>
          <w:rFonts w:hint="default" w:ascii="Times New Roman" w:hAnsi="Times New Roman" w:cs="Times New Roman"/>
          <w:b w:val="0"/>
          <w:bCs w:val="0"/>
          <w:color w:val="auto"/>
        </w:rPr>
        <w:t>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eastAsia="楷体_GB2312" w:cs="Times New Roman"/>
          <w:b w:val="0"/>
          <w:bCs w:val="0"/>
          <w:color w:val="auto"/>
        </w:rPr>
        <w:t>（一）会议费较20</w:t>
      </w:r>
      <w:r>
        <w:rPr>
          <w:rFonts w:hint="default" w:ascii="Times New Roman" w:hAnsi="Times New Roman" w:eastAsia="楷体_GB2312" w:cs="Times New Roman"/>
          <w:b w:val="0"/>
          <w:bCs w:val="0"/>
          <w:color w:val="auto"/>
          <w:lang w:val="en-US" w:eastAsia="zh-CN"/>
        </w:rPr>
        <w:t>2</w:t>
      </w:r>
      <w:r>
        <w:rPr>
          <w:rFonts w:hint="eastAsia" w:eastAsia="楷体_GB2312" w:cs="Times New Roman"/>
          <w:b w:val="0"/>
          <w:bCs w:val="0"/>
          <w:color w:val="auto"/>
          <w:lang w:val="en-US" w:eastAsia="zh-CN"/>
        </w:rPr>
        <w:t>3</w:t>
      </w:r>
      <w:r>
        <w:rPr>
          <w:rFonts w:hint="default" w:ascii="Times New Roman" w:hAnsi="Times New Roman" w:eastAsia="楷体_GB2312" w:cs="Times New Roman"/>
          <w:b w:val="0"/>
          <w:bCs w:val="0"/>
          <w:color w:val="auto"/>
        </w:rPr>
        <w:t>年预算</w:t>
      </w:r>
      <w:r>
        <w:rPr>
          <w:rFonts w:hint="default" w:ascii="Times New Roman" w:hAnsi="Times New Roman" w:eastAsia="楷体_GB2312" w:cs="Times New Roman"/>
          <w:b w:val="0"/>
          <w:bCs w:val="0"/>
          <w:color w:val="auto"/>
          <w:lang w:eastAsia="zh-CN"/>
        </w:rPr>
        <w:t>持平</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eastAsia="楷体_GB2312" w:cs="Times New Roman"/>
          <w:b w:val="0"/>
          <w:bCs w:val="0"/>
          <w:color w:val="auto"/>
        </w:rPr>
        <w:t>（二）培训费较20</w:t>
      </w:r>
      <w:r>
        <w:rPr>
          <w:rFonts w:hint="default" w:ascii="Times New Roman" w:hAnsi="Times New Roman" w:eastAsia="楷体_GB2312" w:cs="Times New Roman"/>
          <w:b w:val="0"/>
          <w:bCs w:val="0"/>
          <w:color w:val="auto"/>
          <w:lang w:val="en-US" w:eastAsia="zh-CN"/>
        </w:rPr>
        <w:t>2</w:t>
      </w:r>
      <w:r>
        <w:rPr>
          <w:rFonts w:hint="eastAsia" w:eastAsia="楷体_GB2312" w:cs="Times New Roman"/>
          <w:b w:val="0"/>
          <w:bCs w:val="0"/>
          <w:color w:val="auto"/>
          <w:lang w:val="en-US" w:eastAsia="zh-CN"/>
        </w:rPr>
        <w:t>3</w:t>
      </w:r>
      <w:r>
        <w:rPr>
          <w:rFonts w:hint="default" w:ascii="Times New Roman" w:hAnsi="Times New Roman" w:eastAsia="楷体_GB2312" w:cs="Times New Roman"/>
          <w:b w:val="0"/>
          <w:bCs w:val="0"/>
          <w:color w:val="auto"/>
        </w:rPr>
        <w:t>年预算</w:t>
      </w:r>
      <w:r>
        <w:rPr>
          <w:rFonts w:hint="default" w:ascii="Times New Roman" w:hAnsi="Times New Roman" w:eastAsia="楷体_GB2312" w:cs="Times New Roman"/>
          <w:b w:val="0"/>
          <w:bCs w:val="0"/>
          <w:color w:val="auto"/>
          <w:lang w:eastAsia="zh-CN"/>
        </w:rPr>
        <w:t>持平</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（三）差旅费较20</w:t>
      </w:r>
      <w:r>
        <w:rPr>
          <w:rFonts w:hint="default" w:ascii="Times New Roman" w:hAnsi="Times New Roman" w:eastAsia="楷体_GB2312" w:cs="Times New Roman"/>
          <w:b w:val="0"/>
          <w:bCs w:val="0"/>
          <w:color w:val="auto"/>
          <w:lang w:val="en-US" w:eastAsia="zh-CN"/>
        </w:rPr>
        <w:t>2</w:t>
      </w:r>
      <w:r>
        <w:rPr>
          <w:rFonts w:hint="eastAsia" w:eastAsia="楷体_GB2312" w:cs="Times New Roman"/>
          <w:b w:val="0"/>
          <w:bCs w:val="0"/>
          <w:color w:val="auto"/>
          <w:lang w:val="en-US" w:eastAsia="zh-CN"/>
        </w:rPr>
        <w:t>3</w:t>
      </w:r>
      <w:r>
        <w:rPr>
          <w:rFonts w:hint="default" w:ascii="Times New Roman" w:hAnsi="Times New Roman" w:eastAsia="楷体_GB2312" w:cs="Times New Roman"/>
          <w:b w:val="0"/>
          <w:bCs w:val="0"/>
          <w:color w:val="auto"/>
        </w:rPr>
        <w:t>年预算</w:t>
      </w:r>
      <w:r>
        <w:rPr>
          <w:rFonts w:hint="default" w:ascii="Times New Roman" w:hAnsi="Times New Roman" w:eastAsia="楷体_GB2312" w:cs="Times New Roman"/>
          <w:b w:val="0"/>
          <w:bCs w:val="0"/>
          <w:color w:val="auto"/>
          <w:lang w:eastAsia="zh-CN"/>
        </w:rPr>
        <w:t>持平</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九、政府性基金预算支出情况说明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年没有使用政府性基金预算拨款安排的支出。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十、国有资本经营预算支出情况说明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lang w:val="en-US" w:eastAsia="zh-CN"/>
        </w:rPr>
        <w:t>经济合作中心202</w:t>
      </w:r>
      <w:r>
        <w:rPr>
          <w:rFonts w:hint="eastAsia" w:cs="Times New Roman"/>
          <w:b w:val="0"/>
          <w:bCs w:val="0"/>
          <w:color w:val="auto"/>
          <w:lang w:val="en-US" w:eastAsia="zh-CN"/>
        </w:rPr>
        <w:t>4</w:t>
      </w:r>
      <w:r>
        <w:rPr>
          <w:rFonts w:hint="default" w:ascii="Times New Roman" w:hAnsi="Times New Roman" w:cs="Times New Roman"/>
          <w:b w:val="0"/>
          <w:bCs w:val="0"/>
          <w:color w:val="auto"/>
        </w:rPr>
        <w:t>年没有使用国有资本经营预算拨款安排的支出。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十一、其他重要事项的情况说明</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（一）机关运行经费</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202</w:t>
      </w:r>
      <w:r>
        <w:rPr>
          <w:rFonts w:hint="eastAsia"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eastAsia="zh-CN"/>
        </w:rPr>
        <w:t>遂宁高新区经济合作</w:t>
      </w:r>
      <w:r>
        <w:rPr>
          <w:rFonts w:hint="eastAsia" w:cs="Times New Roman"/>
          <w:b w:val="0"/>
          <w:bCs w:val="0"/>
          <w:color w:val="auto"/>
          <w:sz w:val="32"/>
          <w:szCs w:val="32"/>
          <w:lang w:val="en-US" w:eastAsia="zh-CN"/>
        </w:rPr>
        <w:t>中心</w:t>
      </w:r>
      <w:r>
        <w:rPr>
          <w:rFonts w:hint="default" w:ascii="Times New Roman" w:hAnsi="Times New Roman" w:eastAsia="仿宋_GB2312" w:cs="Times New Roman"/>
          <w:b w:val="0"/>
          <w:bCs w:val="0"/>
          <w:color w:val="auto"/>
          <w:sz w:val="32"/>
          <w:szCs w:val="32"/>
        </w:rPr>
        <w:t>的机关运行经费财政拨款预算为</w:t>
      </w:r>
      <w:r>
        <w:rPr>
          <w:rFonts w:hint="eastAsia" w:cs="Times New Roman"/>
          <w:b w:val="0"/>
          <w:bCs w:val="0"/>
          <w:color w:val="auto"/>
          <w:sz w:val="32"/>
          <w:szCs w:val="32"/>
          <w:lang w:val="en-US" w:eastAsia="zh-CN"/>
        </w:rPr>
        <w:t>37.43</w:t>
      </w:r>
      <w:r>
        <w:rPr>
          <w:rFonts w:hint="default" w:ascii="Times New Roman" w:hAnsi="Times New Roman" w:eastAsia="仿宋_GB2312" w:cs="Times New Roman"/>
          <w:b w:val="0"/>
          <w:bCs w:val="0"/>
          <w:color w:val="auto"/>
          <w:sz w:val="32"/>
          <w:szCs w:val="32"/>
          <w:lang w:eastAsia="zh-CN"/>
        </w:rPr>
        <w:t>万</w:t>
      </w:r>
      <w:r>
        <w:rPr>
          <w:rFonts w:hint="default" w:ascii="Times New Roman" w:hAnsi="Times New Roman" w:eastAsia="仿宋_GB2312" w:cs="Times New Roman"/>
          <w:b w:val="0"/>
          <w:bCs w:val="0"/>
          <w:color w:val="auto"/>
          <w:sz w:val="32"/>
          <w:szCs w:val="32"/>
        </w:rPr>
        <w:t>元，较上年</w:t>
      </w:r>
      <w:r>
        <w:rPr>
          <w:rFonts w:hint="default" w:ascii="Times New Roman" w:hAnsi="Times New Roman" w:cs="Times New Roman"/>
          <w:b w:val="0"/>
          <w:bCs w:val="0"/>
          <w:color w:val="auto"/>
          <w:sz w:val="32"/>
          <w:szCs w:val="32"/>
          <w:lang w:eastAsia="zh-CN"/>
        </w:rPr>
        <w:t>增加</w:t>
      </w:r>
      <w:r>
        <w:rPr>
          <w:rFonts w:hint="eastAsia" w:cs="Times New Roman"/>
          <w:b w:val="0"/>
          <w:bCs w:val="0"/>
          <w:color w:val="auto"/>
          <w:sz w:val="32"/>
          <w:szCs w:val="32"/>
          <w:lang w:val="en-US" w:eastAsia="zh-CN"/>
        </w:rPr>
        <w:t>14.1</w:t>
      </w:r>
      <w:r>
        <w:rPr>
          <w:rFonts w:hint="default" w:ascii="Times New Roman" w:hAnsi="Times New Roman" w:eastAsia="仿宋_GB2312" w:cs="Times New Roman"/>
          <w:b w:val="0"/>
          <w:bCs w:val="0"/>
          <w:color w:val="auto"/>
          <w:sz w:val="32"/>
          <w:szCs w:val="32"/>
        </w:rPr>
        <w:t>万元，主要是</w:t>
      </w:r>
      <w:r>
        <w:rPr>
          <w:rFonts w:hint="default" w:ascii="Times New Roman" w:hAnsi="Times New Roman" w:eastAsia="仿宋_GB2312" w:cs="Times New Roman"/>
          <w:b w:val="0"/>
          <w:bCs w:val="0"/>
          <w:color w:val="auto"/>
          <w:sz w:val="32"/>
          <w:szCs w:val="32"/>
          <w:lang w:eastAsia="zh-CN"/>
        </w:rPr>
        <w:t>人员</w:t>
      </w:r>
      <w:r>
        <w:rPr>
          <w:rFonts w:hint="default" w:ascii="Times New Roman" w:hAnsi="Times New Roman" w:cs="Times New Roman"/>
          <w:b w:val="0"/>
          <w:bCs w:val="0"/>
          <w:color w:val="auto"/>
          <w:sz w:val="32"/>
          <w:szCs w:val="32"/>
          <w:lang w:eastAsia="zh-CN"/>
        </w:rPr>
        <w:t>增加</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（二）政府采购情况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w:t>
      </w:r>
      <w:r>
        <w:rPr>
          <w:rFonts w:hint="eastAsia" w:cs="Times New Roman"/>
          <w:b w:val="0"/>
          <w:bCs w:val="0"/>
          <w:color w:val="auto"/>
          <w:lang w:val="en-US" w:eastAsia="zh-CN"/>
        </w:rPr>
        <w:t>无政府采购预算</w:t>
      </w:r>
      <w:r>
        <w:rPr>
          <w:rFonts w:hint="default" w:ascii="Times New Roman" w:hAnsi="Times New Roman" w:cs="Times New Roman"/>
          <w:b w:val="0"/>
          <w:bCs w:val="0"/>
          <w:color w:val="auto"/>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b w:val="0"/>
          <w:bCs w:val="0"/>
          <w:color w:val="auto"/>
        </w:rPr>
      </w:pPr>
      <w:r>
        <w:rPr>
          <w:rFonts w:hint="default" w:ascii="Times New Roman" w:hAnsi="Times New Roman" w:eastAsia="楷体_GB2312" w:cs="Times New Roman"/>
          <w:b w:val="0"/>
          <w:bCs w:val="0"/>
          <w:color w:val="auto"/>
        </w:rPr>
        <w:t>（三）国有资产占有使用情况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截至20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3</w:t>
      </w:r>
      <w:r>
        <w:rPr>
          <w:rFonts w:hint="default" w:ascii="Times New Roman" w:hAnsi="Times New Roman" w:cs="Times New Roman"/>
          <w:b w:val="0"/>
          <w:bCs w:val="0"/>
          <w:color w:val="auto"/>
        </w:rPr>
        <w:t>年底，</w:t>
      </w:r>
      <w:r>
        <w:rPr>
          <w:rFonts w:hint="default" w:ascii="Times New Roman" w:hAnsi="Times New Roman" w:cs="Times New Roman"/>
          <w:b w:val="0"/>
          <w:bCs w:val="0"/>
          <w:color w:val="auto"/>
          <w:lang w:eastAsia="zh-CN"/>
        </w:rPr>
        <w:t>经济合作中心</w:t>
      </w:r>
      <w:r>
        <w:rPr>
          <w:rFonts w:hint="default" w:ascii="Times New Roman" w:hAnsi="Times New Roman" w:cs="Times New Roman"/>
          <w:b w:val="0"/>
          <w:bCs w:val="0"/>
          <w:color w:val="auto"/>
        </w:rPr>
        <w:t>所属各预算单位共有车辆</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辆，其中，地厅级领导干部用车</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辆、定向保障用车</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辆、执法执勤用车</w:t>
      </w:r>
      <w:r>
        <w:rPr>
          <w:rFonts w:hint="default" w:ascii="Times New Roman" w:hAnsi="Times New Roman" w:cs="Times New Roman"/>
          <w:b w:val="0"/>
          <w:bCs w:val="0"/>
          <w:color w:val="auto"/>
          <w:lang w:val="en-US" w:eastAsia="zh-CN"/>
        </w:rPr>
        <w:t>0</w:t>
      </w:r>
      <w:r>
        <w:rPr>
          <w:rFonts w:hint="default" w:ascii="Times New Roman" w:hAnsi="Times New Roman" w:cs="Times New Roman"/>
          <w:b w:val="0"/>
          <w:bCs w:val="0"/>
          <w:color w:val="auto"/>
        </w:rPr>
        <w:t>辆。单位价值200万元以上大型设备</w:t>
      </w:r>
      <w:r>
        <w:rPr>
          <w:rFonts w:hint="default" w:ascii="Times New Roman" w:hAnsi="Times New Roman" w:eastAsia="楷体_GB2312" w:cs="Times New Roman"/>
          <w:b w:val="0"/>
          <w:bCs w:val="0"/>
          <w:color w:val="auto"/>
          <w:lang w:val="en-US" w:eastAsia="zh-CN"/>
        </w:rPr>
        <w:t>0</w:t>
      </w:r>
      <w:r>
        <w:rPr>
          <w:rFonts w:hint="default" w:ascii="Times New Roman" w:hAnsi="Times New Roman" w:cs="Times New Roman"/>
          <w:b w:val="0"/>
          <w:bCs w:val="0"/>
          <w:color w:val="auto"/>
        </w:rPr>
        <w:t>台（套）。</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rPr>
      </w:pPr>
      <w:r>
        <w:rPr>
          <w:rFonts w:hint="default" w:ascii="Times New Roman" w:hAnsi="Times New Roman" w:cs="Times New Roman"/>
          <w:b w:val="0"/>
          <w:bCs w:val="0"/>
          <w:color w:val="auto"/>
        </w:rPr>
        <w:t>20</w:t>
      </w:r>
      <w:r>
        <w:rPr>
          <w:rFonts w:hint="default" w:ascii="Times New Roman" w:hAnsi="Times New Roman" w:cs="Times New Roman"/>
          <w:b w:val="0"/>
          <w:bCs w:val="0"/>
          <w:color w:val="auto"/>
          <w:lang w:val="en-US" w:eastAsia="zh-CN"/>
        </w:rPr>
        <w:t>2</w:t>
      </w:r>
      <w:r>
        <w:rPr>
          <w:rFonts w:hint="eastAsia" w:cs="Times New Roman"/>
          <w:b w:val="0"/>
          <w:bCs w:val="0"/>
          <w:color w:val="auto"/>
          <w:lang w:val="en-US" w:eastAsia="zh-CN"/>
        </w:rPr>
        <w:t>4</w:t>
      </w:r>
      <w:r>
        <w:rPr>
          <w:rFonts w:hint="default" w:ascii="Times New Roman" w:hAnsi="Times New Roman" w:cs="Times New Roman"/>
          <w:b w:val="0"/>
          <w:bCs w:val="0"/>
          <w:color w:val="auto"/>
        </w:rPr>
        <w:t>年部门预算未安排购置车辆及单位价值200万元以上大型设备。</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（四）预算绩效情况</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b w:val="0"/>
          <w:bCs w:val="0"/>
          <w:color w:val="auto"/>
          <w:highlight w:val="yellow"/>
        </w:rPr>
      </w:pPr>
      <w:r>
        <w:rPr>
          <w:rFonts w:hint="default" w:ascii="Times New Roman" w:hAnsi="Times New Roman" w:cs="Times New Roman"/>
          <w:b w:val="0"/>
          <w:bCs w:val="0"/>
          <w:color w:val="auto"/>
          <w:lang w:val="en-US" w:eastAsia="zh-CN"/>
        </w:rPr>
        <w:t>2024年经济合作中心开展绩效目标管理的项目3个，涉及预算320.4万元。其中：人员类项目0个，涉及预算0万元；运转类项目0个，涉及预算0万元；特定目标类项目3个，涉及预算320.4万元。</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rPr>
        <w:t>十二、名词解释</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sans-serif" w:cs="Times New Roman"/>
          <w:b w:val="0"/>
          <w:bCs w:val="0"/>
          <w:color w:val="auto"/>
          <w:sz w:val="32"/>
          <w:szCs w:val="32"/>
        </w:rPr>
        <w:t>1.</w:t>
      </w:r>
      <w:r>
        <w:rPr>
          <w:rFonts w:hint="default" w:ascii="Times New Roman" w:hAnsi="Times New Roman" w:eastAsia="仿宋_GB2312" w:cs="Times New Roman"/>
          <w:b w:val="0"/>
          <w:bCs w:val="0"/>
          <w:color w:val="auto"/>
          <w:sz w:val="32"/>
          <w:szCs w:val="32"/>
        </w:rPr>
        <w:t>一般公共预算拨款收入：指市本级财政当年拨付的资金。</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sans-serif" w:cs="Times New Roman"/>
          <w:b w:val="0"/>
          <w:bCs w:val="0"/>
          <w:color w:val="auto"/>
          <w:sz w:val="32"/>
          <w:szCs w:val="32"/>
        </w:rPr>
        <w:t>2.</w:t>
      </w:r>
      <w:r>
        <w:rPr>
          <w:rFonts w:hint="default" w:ascii="Times New Roman" w:hAnsi="Times New Roman" w:eastAsia="仿宋_GB2312" w:cs="Times New Roman"/>
          <w:b w:val="0"/>
          <w:bCs w:val="0"/>
          <w:color w:val="auto"/>
          <w:sz w:val="32"/>
          <w:szCs w:val="32"/>
        </w:rPr>
        <w:t>基本支出：指为保证机构正常运转，完成日常工作任务而发生的人员支出和公用支出。</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sans-serif" w:cs="Times New Roman"/>
          <w:b w:val="0"/>
          <w:bCs w:val="0"/>
          <w:color w:val="auto"/>
          <w:sz w:val="32"/>
          <w:szCs w:val="32"/>
        </w:rPr>
        <w:t>3.</w:t>
      </w:r>
      <w:r>
        <w:rPr>
          <w:rFonts w:hint="default" w:ascii="Times New Roman" w:hAnsi="Times New Roman" w:eastAsia="仿宋_GB2312" w:cs="Times New Roman"/>
          <w:b w:val="0"/>
          <w:bCs w:val="0"/>
          <w:color w:val="auto"/>
          <w:sz w:val="32"/>
          <w:szCs w:val="32"/>
        </w:rPr>
        <w:t>项目支出：指在基本支出之外为完成特定行政任务和事业发展目标所发生的支出。</w:t>
      </w:r>
    </w:p>
    <w:p>
      <w:pPr>
        <w:pStyle w:val="6"/>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sans-serif" w:cs="Times New Roman"/>
          <w:b w:val="0"/>
          <w:bCs w:val="0"/>
          <w:color w:val="auto"/>
          <w:sz w:val="32"/>
          <w:szCs w:val="32"/>
        </w:rPr>
        <w:t>4.“</w:t>
      </w:r>
      <w:r>
        <w:rPr>
          <w:rFonts w:hint="default" w:ascii="Times New Roman" w:hAnsi="Times New Roman" w:eastAsia="仿宋_GB2312" w:cs="Times New Roman"/>
          <w:b w:val="0"/>
          <w:bCs w:val="0"/>
          <w:color w:val="auto"/>
          <w:sz w:val="32"/>
          <w:szCs w:val="32"/>
        </w:rPr>
        <w:t>三公</w:t>
      </w:r>
      <w:r>
        <w:rPr>
          <w:rFonts w:hint="default" w:ascii="Times New Roman" w:hAnsi="Times New Roman" w:eastAsia="sans-serif" w:cs="Times New Roman"/>
          <w:b w:val="0"/>
          <w:bCs w:val="0"/>
          <w:color w:val="auto"/>
          <w:sz w:val="32"/>
          <w:szCs w:val="32"/>
        </w:rPr>
        <w:t>”</w:t>
      </w:r>
      <w:r>
        <w:rPr>
          <w:rFonts w:hint="default" w:ascii="Times New Roman" w:hAnsi="Times New Roman" w:eastAsia="仿宋_GB2312" w:cs="Times New Roman"/>
          <w:b w:val="0"/>
          <w:bCs w:val="0"/>
          <w:color w:val="auto"/>
          <w:sz w:val="32"/>
          <w:szCs w:val="32"/>
        </w:rPr>
        <w:t>经费：纳入单位预算管理的</w:t>
      </w:r>
      <w:r>
        <w:rPr>
          <w:rFonts w:hint="default" w:ascii="Times New Roman" w:hAnsi="Times New Roman" w:eastAsia="sans-serif" w:cs="Times New Roman"/>
          <w:b w:val="0"/>
          <w:bCs w:val="0"/>
          <w:color w:val="auto"/>
          <w:sz w:val="32"/>
          <w:szCs w:val="32"/>
        </w:rPr>
        <w:t>“</w:t>
      </w:r>
      <w:r>
        <w:rPr>
          <w:rFonts w:hint="default" w:ascii="Times New Roman" w:hAnsi="Times New Roman" w:eastAsia="仿宋_GB2312" w:cs="Times New Roman"/>
          <w:b w:val="0"/>
          <w:bCs w:val="0"/>
          <w:color w:val="auto"/>
          <w:sz w:val="32"/>
          <w:szCs w:val="32"/>
        </w:rPr>
        <w:t>三公</w:t>
      </w:r>
      <w:r>
        <w:rPr>
          <w:rFonts w:hint="default" w:ascii="Times New Roman" w:hAnsi="Times New Roman" w:eastAsia="sans-serif" w:cs="Times New Roman"/>
          <w:b w:val="0"/>
          <w:bCs w:val="0"/>
          <w:color w:val="auto"/>
          <w:sz w:val="32"/>
          <w:szCs w:val="32"/>
        </w:rPr>
        <w:t>”</w:t>
      </w:r>
      <w:r>
        <w:rPr>
          <w:rFonts w:hint="default" w:ascii="Times New Roman" w:hAnsi="Times New Roman" w:eastAsia="仿宋_GB2312" w:cs="Times New Roman"/>
          <w:b w:val="0"/>
          <w:bCs w:val="0"/>
          <w:color w:val="auto"/>
          <w:sz w:val="32"/>
          <w:szCs w:val="32"/>
        </w:rPr>
        <w:t>经费，是指单位用财政拨款安排的因公出国（境）费、公务用车购置及运行费和公务接待费。其中，因公出国（境）费反映单位公务出国（境）的国际旅费、国外城市间交通费、住宿费、伙食费、培训费、公杂费等支出；公务用车购置及运行费反映部门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1258" w:firstLineChars="398"/>
        <w:textAlignment w:val="auto"/>
        <w:rPr>
          <w:rFonts w:hint="default" w:ascii="Times New Roman" w:hAnsi="Times New Roman" w:cs="Times New Roman"/>
          <w:b w:val="0"/>
          <w:bCs w:val="0"/>
          <w:color w:val="auto"/>
        </w:rPr>
      </w:pPr>
    </w:p>
    <w:sectPr>
      <w:headerReference r:id="rId3" w:type="default"/>
      <w:footerReference r:id="rId4" w:type="default"/>
      <w:footerReference r:id="rId5" w:type="even"/>
      <w:pgSz w:w="11906" w:h="16838"/>
      <w:pgMar w:top="2098" w:right="1474" w:bottom="1985" w:left="1588"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sans-serif">
    <w:altName w:val="MiSans Normal"/>
    <w:panose1 w:val="00000000000000000000"/>
    <w:charset w:val="00"/>
    <w:family w:val="auto"/>
    <w:pitch w:val="default"/>
    <w:sig w:usb0="00000000" w:usb1="00000000" w:usb2="00000000" w:usb3="00000000" w:csb0="00040001" w:csb1="00000000"/>
  </w:font>
  <w:font w:name="MiSans Normal">
    <w:panose1 w:val="00000500000000000000"/>
    <w:charset w:val="86"/>
    <w:family w:val="auto"/>
    <w:pitch w:val="default"/>
    <w:sig w:usb0="80000287" w:usb1="080F1811"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0" w:leftChars="100" w:right="32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- 12 -</w:t>
    </w:r>
    <w:r>
      <w:rPr>
        <w:rFonts w:ascii="宋体" w:hAnsi="宋体" w:eastAsia="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B28F3B"/>
    <w:multiLevelType w:val="singleLevel"/>
    <w:tmpl w:val="40B28F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ZWFkYzIzNTEzNmJkOWYyZDdjMWJhYjNiMDQ3ZDQifQ=="/>
  </w:docVars>
  <w:rsids>
    <w:rsidRoot w:val="23E52B1F"/>
    <w:rsid w:val="000000E0"/>
    <w:rsid w:val="00003678"/>
    <w:rsid w:val="00006226"/>
    <w:rsid w:val="00015411"/>
    <w:rsid w:val="00015FFE"/>
    <w:rsid w:val="00017377"/>
    <w:rsid w:val="000201C2"/>
    <w:rsid w:val="000236B2"/>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3E79"/>
    <w:rsid w:val="000B1096"/>
    <w:rsid w:val="000B4C12"/>
    <w:rsid w:val="000B677D"/>
    <w:rsid w:val="000C0FCB"/>
    <w:rsid w:val="000C4A9E"/>
    <w:rsid w:val="000C6F2D"/>
    <w:rsid w:val="000D0112"/>
    <w:rsid w:val="000D0EDB"/>
    <w:rsid w:val="000D14F6"/>
    <w:rsid w:val="000D2427"/>
    <w:rsid w:val="000E0010"/>
    <w:rsid w:val="000E6683"/>
    <w:rsid w:val="000E6D15"/>
    <w:rsid w:val="000E7585"/>
    <w:rsid w:val="00100327"/>
    <w:rsid w:val="00112878"/>
    <w:rsid w:val="00113C69"/>
    <w:rsid w:val="0012393D"/>
    <w:rsid w:val="001256C6"/>
    <w:rsid w:val="001260D6"/>
    <w:rsid w:val="00137284"/>
    <w:rsid w:val="00141A01"/>
    <w:rsid w:val="00145BB8"/>
    <w:rsid w:val="0014670B"/>
    <w:rsid w:val="00161001"/>
    <w:rsid w:val="0016203C"/>
    <w:rsid w:val="001753D5"/>
    <w:rsid w:val="001762E8"/>
    <w:rsid w:val="00176B3D"/>
    <w:rsid w:val="00182C70"/>
    <w:rsid w:val="00183E5A"/>
    <w:rsid w:val="001874C8"/>
    <w:rsid w:val="001961A6"/>
    <w:rsid w:val="001A6057"/>
    <w:rsid w:val="001A6DE1"/>
    <w:rsid w:val="001A6FC1"/>
    <w:rsid w:val="001B3342"/>
    <w:rsid w:val="001B3BBE"/>
    <w:rsid w:val="001C29B2"/>
    <w:rsid w:val="001C488A"/>
    <w:rsid w:val="001C75EA"/>
    <w:rsid w:val="001D1098"/>
    <w:rsid w:val="001D3886"/>
    <w:rsid w:val="001D753F"/>
    <w:rsid w:val="001E1127"/>
    <w:rsid w:val="001E306F"/>
    <w:rsid w:val="001F2E5F"/>
    <w:rsid w:val="001F367A"/>
    <w:rsid w:val="00205171"/>
    <w:rsid w:val="00206808"/>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EFA"/>
    <w:rsid w:val="002A1961"/>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5E17"/>
    <w:rsid w:val="00367ED3"/>
    <w:rsid w:val="003859A9"/>
    <w:rsid w:val="00390718"/>
    <w:rsid w:val="00390C5D"/>
    <w:rsid w:val="00392D9B"/>
    <w:rsid w:val="0039588F"/>
    <w:rsid w:val="0039765E"/>
    <w:rsid w:val="003A491D"/>
    <w:rsid w:val="003A615E"/>
    <w:rsid w:val="003A6658"/>
    <w:rsid w:val="003B2168"/>
    <w:rsid w:val="003B4C9C"/>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6EBF"/>
    <w:rsid w:val="00440711"/>
    <w:rsid w:val="00440E4D"/>
    <w:rsid w:val="0044325F"/>
    <w:rsid w:val="0044463D"/>
    <w:rsid w:val="0044594D"/>
    <w:rsid w:val="00452FE0"/>
    <w:rsid w:val="00453A7D"/>
    <w:rsid w:val="00455680"/>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B6EB8"/>
    <w:rsid w:val="004C0268"/>
    <w:rsid w:val="004D13FD"/>
    <w:rsid w:val="004D17E0"/>
    <w:rsid w:val="004D2CC3"/>
    <w:rsid w:val="004E1B65"/>
    <w:rsid w:val="004E3816"/>
    <w:rsid w:val="004E41A4"/>
    <w:rsid w:val="004F00EE"/>
    <w:rsid w:val="004F15E3"/>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63859"/>
    <w:rsid w:val="005677BE"/>
    <w:rsid w:val="00567B35"/>
    <w:rsid w:val="00567D70"/>
    <w:rsid w:val="005733A7"/>
    <w:rsid w:val="0059740E"/>
    <w:rsid w:val="005A17BC"/>
    <w:rsid w:val="005A32BD"/>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801B5"/>
    <w:rsid w:val="006830F6"/>
    <w:rsid w:val="00694C11"/>
    <w:rsid w:val="006A139D"/>
    <w:rsid w:val="006A5897"/>
    <w:rsid w:val="006B0C61"/>
    <w:rsid w:val="006C15EF"/>
    <w:rsid w:val="006C3A5B"/>
    <w:rsid w:val="006C4F67"/>
    <w:rsid w:val="006D0858"/>
    <w:rsid w:val="006E1D88"/>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7F59"/>
    <w:rsid w:val="007B2003"/>
    <w:rsid w:val="007B4CFE"/>
    <w:rsid w:val="007B6D52"/>
    <w:rsid w:val="007C0277"/>
    <w:rsid w:val="007C35B4"/>
    <w:rsid w:val="007C3C96"/>
    <w:rsid w:val="007D0B80"/>
    <w:rsid w:val="007D0EFA"/>
    <w:rsid w:val="007D343B"/>
    <w:rsid w:val="007D7956"/>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301D"/>
    <w:rsid w:val="0088096B"/>
    <w:rsid w:val="00882B24"/>
    <w:rsid w:val="00884DB0"/>
    <w:rsid w:val="0088572E"/>
    <w:rsid w:val="00891DFB"/>
    <w:rsid w:val="008A1EE5"/>
    <w:rsid w:val="008A2186"/>
    <w:rsid w:val="008A277F"/>
    <w:rsid w:val="008B1F17"/>
    <w:rsid w:val="008B25DF"/>
    <w:rsid w:val="008B29CE"/>
    <w:rsid w:val="008B6AF8"/>
    <w:rsid w:val="008C2B52"/>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606A"/>
    <w:rsid w:val="00920505"/>
    <w:rsid w:val="009266CF"/>
    <w:rsid w:val="00926E3F"/>
    <w:rsid w:val="009322F9"/>
    <w:rsid w:val="009378B1"/>
    <w:rsid w:val="00940EB5"/>
    <w:rsid w:val="00942C81"/>
    <w:rsid w:val="00946215"/>
    <w:rsid w:val="00946B58"/>
    <w:rsid w:val="00950FE2"/>
    <w:rsid w:val="00951ADF"/>
    <w:rsid w:val="00953178"/>
    <w:rsid w:val="009610EA"/>
    <w:rsid w:val="00971C12"/>
    <w:rsid w:val="00983596"/>
    <w:rsid w:val="00983B1D"/>
    <w:rsid w:val="00990112"/>
    <w:rsid w:val="00995AC2"/>
    <w:rsid w:val="0099726A"/>
    <w:rsid w:val="00997B62"/>
    <w:rsid w:val="009A016C"/>
    <w:rsid w:val="009A0986"/>
    <w:rsid w:val="009A1AC8"/>
    <w:rsid w:val="009A23BD"/>
    <w:rsid w:val="009A2C17"/>
    <w:rsid w:val="009B6E5A"/>
    <w:rsid w:val="009B6F8F"/>
    <w:rsid w:val="009C0F2F"/>
    <w:rsid w:val="009C25C8"/>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137F"/>
    <w:rsid w:val="00BF6CC1"/>
    <w:rsid w:val="00C054D2"/>
    <w:rsid w:val="00C06C8B"/>
    <w:rsid w:val="00C06D68"/>
    <w:rsid w:val="00C2202C"/>
    <w:rsid w:val="00C27535"/>
    <w:rsid w:val="00C317A0"/>
    <w:rsid w:val="00C3399B"/>
    <w:rsid w:val="00C3677B"/>
    <w:rsid w:val="00C42EBA"/>
    <w:rsid w:val="00C4653B"/>
    <w:rsid w:val="00C4700D"/>
    <w:rsid w:val="00C5079F"/>
    <w:rsid w:val="00C60CC9"/>
    <w:rsid w:val="00C62BEB"/>
    <w:rsid w:val="00C65822"/>
    <w:rsid w:val="00C70090"/>
    <w:rsid w:val="00C74A6A"/>
    <w:rsid w:val="00C755FF"/>
    <w:rsid w:val="00C83201"/>
    <w:rsid w:val="00C84E87"/>
    <w:rsid w:val="00C87031"/>
    <w:rsid w:val="00C903DE"/>
    <w:rsid w:val="00C90CE4"/>
    <w:rsid w:val="00C969FC"/>
    <w:rsid w:val="00C97EA6"/>
    <w:rsid w:val="00CA3448"/>
    <w:rsid w:val="00CA3CDD"/>
    <w:rsid w:val="00CA54E5"/>
    <w:rsid w:val="00CA698F"/>
    <w:rsid w:val="00CA79DC"/>
    <w:rsid w:val="00CB4325"/>
    <w:rsid w:val="00CB466C"/>
    <w:rsid w:val="00CB53B5"/>
    <w:rsid w:val="00CB5F59"/>
    <w:rsid w:val="00CC4C1D"/>
    <w:rsid w:val="00CD2F2D"/>
    <w:rsid w:val="00CD6658"/>
    <w:rsid w:val="00CD75E6"/>
    <w:rsid w:val="00CE3537"/>
    <w:rsid w:val="00CE6587"/>
    <w:rsid w:val="00D16A78"/>
    <w:rsid w:val="00D24280"/>
    <w:rsid w:val="00D261B3"/>
    <w:rsid w:val="00D26BE8"/>
    <w:rsid w:val="00D317A6"/>
    <w:rsid w:val="00D32379"/>
    <w:rsid w:val="00D32693"/>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726E"/>
    <w:rsid w:val="00DA73A7"/>
    <w:rsid w:val="00DB07F8"/>
    <w:rsid w:val="00DB0DA9"/>
    <w:rsid w:val="00DB7559"/>
    <w:rsid w:val="00DC3CCE"/>
    <w:rsid w:val="00DC4E2E"/>
    <w:rsid w:val="00DE79D8"/>
    <w:rsid w:val="00DF485A"/>
    <w:rsid w:val="00E05F4F"/>
    <w:rsid w:val="00E0672A"/>
    <w:rsid w:val="00E068A1"/>
    <w:rsid w:val="00E25ADB"/>
    <w:rsid w:val="00E2775E"/>
    <w:rsid w:val="00E4733C"/>
    <w:rsid w:val="00E52CAD"/>
    <w:rsid w:val="00E551E2"/>
    <w:rsid w:val="00E704BC"/>
    <w:rsid w:val="00E71552"/>
    <w:rsid w:val="00E72440"/>
    <w:rsid w:val="00E81340"/>
    <w:rsid w:val="00E839C9"/>
    <w:rsid w:val="00E8434A"/>
    <w:rsid w:val="00E867C5"/>
    <w:rsid w:val="00E86B3A"/>
    <w:rsid w:val="00E91315"/>
    <w:rsid w:val="00E9250E"/>
    <w:rsid w:val="00E96E06"/>
    <w:rsid w:val="00E9769D"/>
    <w:rsid w:val="00EA6938"/>
    <w:rsid w:val="00EA70C3"/>
    <w:rsid w:val="00EA7501"/>
    <w:rsid w:val="00EB07F3"/>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4026E"/>
    <w:rsid w:val="00F4290D"/>
    <w:rsid w:val="00F45894"/>
    <w:rsid w:val="00F46BAC"/>
    <w:rsid w:val="00F51B7E"/>
    <w:rsid w:val="00F569D5"/>
    <w:rsid w:val="00F57747"/>
    <w:rsid w:val="00F64AF2"/>
    <w:rsid w:val="00F71808"/>
    <w:rsid w:val="00F829AC"/>
    <w:rsid w:val="00F843C4"/>
    <w:rsid w:val="00F874D4"/>
    <w:rsid w:val="00F97A44"/>
    <w:rsid w:val="00FA05F4"/>
    <w:rsid w:val="00FA353C"/>
    <w:rsid w:val="00FB011C"/>
    <w:rsid w:val="00FB0A44"/>
    <w:rsid w:val="00FB1754"/>
    <w:rsid w:val="00FB77C2"/>
    <w:rsid w:val="00FC3CA6"/>
    <w:rsid w:val="00FC577F"/>
    <w:rsid w:val="00FC5F43"/>
    <w:rsid w:val="00FE47EA"/>
    <w:rsid w:val="00FE5FB9"/>
    <w:rsid w:val="00FF7A58"/>
    <w:rsid w:val="0359240B"/>
    <w:rsid w:val="06CD591E"/>
    <w:rsid w:val="18920C62"/>
    <w:rsid w:val="234A4B65"/>
    <w:rsid w:val="23E52B1F"/>
    <w:rsid w:val="25D54367"/>
    <w:rsid w:val="27905C63"/>
    <w:rsid w:val="2B297F57"/>
    <w:rsid w:val="2EFA6601"/>
    <w:rsid w:val="34D658BF"/>
    <w:rsid w:val="35C40A85"/>
    <w:rsid w:val="3BF325B6"/>
    <w:rsid w:val="40DF396B"/>
    <w:rsid w:val="42624E8A"/>
    <w:rsid w:val="485D51F5"/>
    <w:rsid w:val="54B72613"/>
    <w:rsid w:val="57B03660"/>
    <w:rsid w:val="59445080"/>
    <w:rsid w:val="5C736D01"/>
    <w:rsid w:val="5CFF31EC"/>
    <w:rsid w:val="627C0BA5"/>
    <w:rsid w:val="677E71BA"/>
    <w:rsid w:val="6E7B4D55"/>
    <w:rsid w:val="70086687"/>
    <w:rsid w:val="791160C4"/>
    <w:rsid w:val="79405A75"/>
    <w:rsid w:val="7A2E73ED"/>
    <w:rsid w:val="7FFD8396"/>
    <w:rsid w:val="F9DF7BE1"/>
    <w:rsid w:val="FFAB73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customStyle="1" w:styleId="10">
    <w:name w:val="10"/>
    <w:basedOn w:val="8"/>
    <w:uiPriority w:val="0"/>
    <w:rPr>
      <w:rFonts w:hint="default" w:ascii="Times New Roman" w:hAnsi="Times New Roman" w:cs="Times New Roman"/>
    </w:rPr>
  </w:style>
  <w:style w:type="character" w:customStyle="1" w:styleId="11">
    <w:name w:val="15"/>
    <w:basedOn w:val="8"/>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Desktop\&#36130;&#21153;&#30456;&#20851;&#36164;&#26009;\2023&#24180;&#39044;&#31639;\2023&#24180;&#39033;&#30446;&#39044;&#31639;&#36164;&#26009;\2023&#24180;&#39044;&#31639;&#20449;&#24687;&#20844;&#24320;&#24037;&#20316;&#27969;&#31243;\&#38468;&#20214;2%20&#37096;&#38376;&#39044;&#31639;&#32534;&#21046;&#35828;&#2612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附件2 部门预算编制说明.doc</Template>
  <Pages>1</Pages>
  <Words>3217</Words>
  <Characters>3663</Characters>
  <Lines>1</Lines>
  <Paragraphs>1</Paragraphs>
  <TotalTime>189</TotalTime>
  <ScaleCrop>false</ScaleCrop>
  <LinksUpToDate>false</LinksUpToDate>
  <CharactersWithSpaces>3690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2023-05-26T02:02:00Z</dcterms:created>
  <dc:creator>Administrator</dc:creator>
  <cp:lastModifiedBy>User</cp:lastModifiedBy>
  <dcterms:modified xsi:type="dcterms:W3CDTF">2024-04-02T11:28:23Z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F33B535D217C44DA9E76B9411A75D4EC_11</vt:lpwstr>
  </property>
</Properties>
</file>