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Cs w:val="32"/>
          <w:lang w:eastAsia="zh-CN"/>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jc w:val="center"/>
        <w:rPr>
          <w:rFonts w:hint="eastAsia" w:ascii="方正小标宋简体" w:hAnsi="Times New Roman" w:eastAsia="方正小标宋简体" w:cs="Times New Roman"/>
          <w:sz w:val="52"/>
          <w:szCs w:val="52"/>
        </w:rPr>
      </w:pPr>
      <w:r>
        <w:rPr>
          <w:rFonts w:hint="eastAsia" w:ascii="方正小标宋简体" w:hAnsi="Times New Roman" w:eastAsia="方正小标宋简体" w:cs="Times New Roman"/>
          <w:sz w:val="52"/>
          <w:szCs w:val="52"/>
          <w:lang w:val="en-US" w:eastAsia="zh-CN"/>
        </w:rPr>
        <w:t>遂宁</w:t>
      </w:r>
      <w:r>
        <w:rPr>
          <w:rFonts w:hint="default" w:ascii="方正小标宋简体" w:eastAsia="方正小标宋简体" w:cs="Times New Roman"/>
          <w:sz w:val="52"/>
          <w:szCs w:val="52"/>
          <w:lang w:eastAsia="zh-CN"/>
        </w:rPr>
        <w:t>高新</w:t>
      </w:r>
      <w:r>
        <w:rPr>
          <w:rFonts w:hint="eastAsia" w:ascii="方正小标宋简体" w:hAnsi="Times New Roman" w:eastAsia="方正小标宋简体" w:cs="Times New Roman"/>
          <w:sz w:val="52"/>
          <w:szCs w:val="52"/>
          <w:lang w:val="en-US" w:eastAsia="zh-CN"/>
        </w:rPr>
        <w:t>区西宁街道</w:t>
      </w:r>
    </w:p>
    <w:p>
      <w:pPr>
        <w:jc w:val="center"/>
        <w:rPr>
          <w:rFonts w:ascii="方正小标宋简体" w:eastAsia="方正小标宋简体"/>
          <w:sz w:val="52"/>
          <w:szCs w:val="52"/>
        </w:rPr>
      </w:pPr>
      <w:r>
        <w:rPr>
          <w:rFonts w:hint="eastAsia" w:ascii="方正小标宋简体" w:eastAsia="方正小标宋简体"/>
          <w:sz w:val="52"/>
          <w:szCs w:val="52"/>
        </w:rPr>
        <w:t>20</w:t>
      </w:r>
      <w:r>
        <w:rPr>
          <w:rFonts w:hint="eastAsia" w:ascii="方正小标宋简体" w:eastAsia="方正小标宋简体"/>
          <w:sz w:val="52"/>
          <w:szCs w:val="52"/>
          <w:lang w:val="en-US" w:eastAsia="zh-CN"/>
        </w:rPr>
        <w:t>24</w:t>
      </w:r>
      <w:r>
        <w:rPr>
          <w:rFonts w:hint="eastAsia" w:ascii="方正小标宋简体" w:eastAsia="方正小标宋简体"/>
          <w:sz w:val="52"/>
          <w:szCs w:val="52"/>
        </w:rPr>
        <w:t>年部门预算</w:t>
      </w:r>
    </w:p>
    <w:p>
      <w:pPr>
        <w:spacing w:line="600" w:lineRule="exact"/>
        <w:jc w:val="center"/>
        <w:rPr>
          <w:rFonts w:ascii="仿宋_GB2312"/>
          <w:szCs w:val="44"/>
        </w:rPr>
      </w:pPr>
    </w:p>
    <w:p>
      <w:pPr>
        <w:spacing w:line="600" w:lineRule="exact"/>
        <w:jc w:val="center"/>
        <w:rPr>
          <w:rFonts w:ascii="仿宋_GB2312"/>
          <w:szCs w:val="44"/>
        </w:rPr>
      </w:pPr>
    </w:p>
    <w:p>
      <w:pPr>
        <w:spacing w:line="600" w:lineRule="exact"/>
        <w:jc w:val="center"/>
        <w:rPr>
          <w:rFonts w:hint="eastAsia" w:ascii="仿宋_GB2312"/>
          <w:szCs w:val="44"/>
        </w:rPr>
      </w:pPr>
    </w:p>
    <w:p>
      <w:pPr>
        <w:spacing w:line="600" w:lineRule="exact"/>
        <w:jc w:val="center"/>
        <w:rPr>
          <w:rFonts w:ascii="黑体" w:hAnsi="黑体" w:eastAsia="黑体"/>
          <w:sz w:val="44"/>
          <w:szCs w:val="44"/>
        </w:rPr>
      </w:pPr>
      <w:r>
        <w:rPr>
          <w:rFonts w:ascii="仿宋_GB2312"/>
          <w:szCs w:val="44"/>
        </w:rPr>
        <w:br w:type="page"/>
      </w:r>
      <w:r>
        <w:rPr>
          <w:rFonts w:hint="eastAsia" w:ascii="黑体" w:hAnsi="黑体" w:eastAsia="黑体"/>
          <w:sz w:val="44"/>
          <w:szCs w:val="44"/>
        </w:rPr>
        <w:t>目  录</w:t>
      </w:r>
    </w:p>
    <w:p>
      <w:pPr>
        <w:spacing w:line="600" w:lineRule="exact"/>
        <w:jc w:val="center"/>
        <w:rPr>
          <w:rFonts w:ascii="仿宋_GB2312"/>
          <w:szCs w:val="44"/>
        </w:rPr>
      </w:pPr>
    </w:p>
    <w:p>
      <w:pPr>
        <w:spacing w:line="600" w:lineRule="exact"/>
        <w:rPr>
          <w:rFonts w:ascii="黑体" w:hAnsi="黑体" w:eastAsia="黑体"/>
          <w:szCs w:val="44"/>
        </w:rPr>
      </w:pPr>
      <w:r>
        <w:rPr>
          <w:rFonts w:hint="eastAsia" w:ascii="黑体" w:hAnsi="黑体" w:eastAsia="黑体"/>
          <w:szCs w:val="44"/>
        </w:rPr>
        <w:t xml:space="preserve">第一部分  </w:t>
      </w:r>
      <w:r>
        <w:rPr>
          <w:rFonts w:ascii="黑体" w:hAnsi="黑体" w:eastAsia="黑体"/>
          <w:szCs w:val="44"/>
        </w:rPr>
        <w:t>20</w:t>
      </w:r>
      <w:r>
        <w:rPr>
          <w:rFonts w:hint="eastAsia" w:ascii="黑体" w:hAnsi="黑体" w:eastAsia="黑体"/>
          <w:szCs w:val="44"/>
          <w:lang w:val="en-US" w:eastAsia="zh-CN"/>
        </w:rPr>
        <w:t>24</w:t>
      </w:r>
      <w:r>
        <w:rPr>
          <w:rFonts w:hint="eastAsia" w:ascii="黑体" w:hAnsi="黑体" w:eastAsia="黑体"/>
          <w:szCs w:val="44"/>
        </w:rPr>
        <w:t>年部门</w:t>
      </w:r>
      <w:r>
        <w:rPr>
          <w:rFonts w:ascii="黑体" w:hAnsi="黑体" w:eastAsia="黑体"/>
          <w:szCs w:val="44"/>
        </w:rPr>
        <w:t>预算编制说明</w:t>
      </w:r>
    </w:p>
    <w:p>
      <w:pPr>
        <w:spacing w:line="600" w:lineRule="exact"/>
        <w:ind w:firstLine="632" w:firstLineChars="200"/>
        <w:rPr>
          <w:rFonts w:ascii="仿宋_GB2312"/>
          <w:szCs w:val="44"/>
        </w:rPr>
      </w:pPr>
      <w:r>
        <w:rPr>
          <w:rFonts w:hint="eastAsia" w:ascii="仿宋_GB2312"/>
          <w:szCs w:val="44"/>
        </w:rPr>
        <w:t>一、基本职能及主要工作</w:t>
      </w:r>
    </w:p>
    <w:p>
      <w:pPr>
        <w:spacing w:line="600" w:lineRule="exact"/>
        <w:ind w:firstLine="632" w:firstLineChars="200"/>
        <w:rPr>
          <w:rFonts w:ascii="仿宋_GB2312"/>
          <w:szCs w:val="44"/>
        </w:rPr>
      </w:pPr>
      <w:r>
        <w:rPr>
          <w:rFonts w:hint="eastAsia" w:ascii="仿宋_GB2312"/>
          <w:szCs w:val="44"/>
        </w:rPr>
        <w:t>二、部门预算单位构成</w:t>
      </w:r>
    </w:p>
    <w:p>
      <w:pPr>
        <w:spacing w:line="600" w:lineRule="exact"/>
        <w:ind w:firstLine="632" w:firstLineChars="200"/>
        <w:rPr>
          <w:rFonts w:ascii="仿宋_GB2312"/>
          <w:szCs w:val="44"/>
        </w:rPr>
      </w:pPr>
      <w:r>
        <w:rPr>
          <w:rFonts w:hint="eastAsia" w:ascii="仿宋_GB2312"/>
          <w:szCs w:val="44"/>
        </w:rPr>
        <w:t>三、收支预算情况说明</w:t>
      </w:r>
    </w:p>
    <w:p>
      <w:pPr>
        <w:spacing w:line="600" w:lineRule="exact"/>
        <w:ind w:firstLine="632" w:firstLineChars="200"/>
        <w:rPr>
          <w:rFonts w:ascii="仿宋_GB2312"/>
          <w:szCs w:val="44"/>
        </w:rPr>
      </w:pPr>
      <w:r>
        <w:rPr>
          <w:rFonts w:hint="eastAsia" w:ascii="仿宋_GB2312"/>
          <w:szCs w:val="44"/>
        </w:rPr>
        <w:t>四、财政拨款收支预算情况说明</w:t>
      </w:r>
    </w:p>
    <w:p>
      <w:pPr>
        <w:spacing w:line="600" w:lineRule="exact"/>
        <w:ind w:firstLine="632" w:firstLineChars="200"/>
        <w:rPr>
          <w:rFonts w:ascii="仿宋_GB2312"/>
          <w:szCs w:val="44"/>
        </w:rPr>
      </w:pPr>
      <w:r>
        <w:rPr>
          <w:rFonts w:hint="eastAsia" w:ascii="仿宋_GB2312"/>
          <w:szCs w:val="44"/>
        </w:rPr>
        <w:t>五、一般公共预算当年拨款情况说明</w:t>
      </w:r>
    </w:p>
    <w:p>
      <w:pPr>
        <w:spacing w:line="600" w:lineRule="exact"/>
        <w:ind w:firstLine="632" w:firstLineChars="200"/>
        <w:rPr>
          <w:rFonts w:hint="eastAsia" w:ascii="仿宋_GB2312"/>
          <w:szCs w:val="44"/>
        </w:rPr>
      </w:pPr>
      <w:r>
        <w:rPr>
          <w:rFonts w:hint="eastAsia" w:ascii="仿宋_GB2312"/>
          <w:szCs w:val="44"/>
        </w:rPr>
        <w:t>六、一般公共预算基本支出情况说明</w:t>
      </w:r>
    </w:p>
    <w:p>
      <w:pPr>
        <w:spacing w:line="600" w:lineRule="exact"/>
        <w:ind w:firstLine="632" w:firstLineChars="200"/>
        <w:rPr>
          <w:rFonts w:ascii="仿宋_GB2312"/>
          <w:szCs w:val="44"/>
        </w:rPr>
      </w:pPr>
      <w:r>
        <w:rPr>
          <w:rFonts w:hint="eastAsia" w:ascii="仿宋_GB2312"/>
          <w:szCs w:val="44"/>
        </w:rPr>
        <w:t>七、“三公”经费财政拨款预算安排情况说明</w:t>
      </w:r>
    </w:p>
    <w:p>
      <w:pPr>
        <w:spacing w:line="600" w:lineRule="exact"/>
        <w:ind w:left="1264" w:leftChars="200" w:hanging="632" w:hangingChars="200"/>
        <w:rPr>
          <w:rFonts w:ascii="仿宋_GB2312"/>
          <w:szCs w:val="44"/>
        </w:rPr>
      </w:pPr>
      <w:r>
        <w:rPr>
          <w:rFonts w:hint="eastAsia" w:ascii="仿宋_GB2312"/>
          <w:szCs w:val="44"/>
        </w:rPr>
        <w:t>八、“会议费”、“培训费”、“差旅费”财政拨款预算安排情况说明</w:t>
      </w:r>
    </w:p>
    <w:p>
      <w:pPr>
        <w:spacing w:line="600" w:lineRule="exact"/>
        <w:ind w:firstLine="632" w:firstLineChars="200"/>
        <w:rPr>
          <w:rFonts w:ascii="仿宋_GB2312"/>
          <w:szCs w:val="44"/>
        </w:rPr>
      </w:pPr>
      <w:r>
        <w:rPr>
          <w:rFonts w:hint="eastAsia" w:ascii="仿宋_GB2312"/>
          <w:szCs w:val="44"/>
        </w:rPr>
        <w:t>九、政府性基金预算支出情况说明</w:t>
      </w:r>
    </w:p>
    <w:p>
      <w:pPr>
        <w:spacing w:line="600" w:lineRule="exact"/>
        <w:ind w:firstLine="632" w:firstLineChars="200"/>
        <w:rPr>
          <w:rFonts w:ascii="仿宋_GB2312"/>
          <w:szCs w:val="44"/>
        </w:rPr>
      </w:pPr>
      <w:r>
        <w:rPr>
          <w:rFonts w:hint="eastAsia" w:ascii="仿宋_GB2312"/>
          <w:szCs w:val="44"/>
        </w:rPr>
        <w:t>十、国有资本经营预算支出情况说明</w:t>
      </w:r>
    </w:p>
    <w:p>
      <w:pPr>
        <w:spacing w:line="600" w:lineRule="exact"/>
        <w:ind w:firstLine="632" w:firstLineChars="200"/>
        <w:rPr>
          <w:rFonts w:ascii="仿宋_GB2312"/>
          <w:szCs w:val="44"/>
        </w:rPr>
      </w:pPr>
      <w:r>
        <w:rPr>
          <w:rFonts w:hint="eastAsia" w:ascii="仿宋_GB2312"/>
          <w:szCs w:val="44"/>
        </w:rPr>
        <w:t>十一、其他重要事项的情况说明</w:t>
      </w:r>
    </w:p>
    <w:p>
      <w:pPr>
        <w:spacing w:line="600" w:lineRule="exact"/>
        <w:ind w:firstLine="632" w:firstLineChars="200"/>
        <w:rPr>
          <w:rFonts w:hint="eastAsia" w:ascii="仿宋_GB2312"/>
          <w:szCs w:val="44"/>
        </w:rPr>
      </w:pPr>
      <w:r>
        <w:rPr>
          <w:rFonts w:hint="eastAsia" w:ascii="仿宋_GB2312"/>
          <w:szCs w:val="44"/>
        </w:rPr>
        <w:t>十二</w:t>
      </w:r>
      <w:r>
        <w:rPr>
          <w:rFonts w:ascii="仿宋_GB2312"/>
          <w:szCs w:val="44"/>
        </w:rPr>
        <w:t>、名词解释</w:t>
      </w:r>
    </w:p>
    <w:p>
      <w:pPr>
        <w:spacing w:line="600" w:lineRule="exact"/>
        <w:rPr>
          <w:rFonts w:ascii="黑体" w:hAnsi="黑体" w:eastAsia="黑体"/>
          <w:szCs w:val="44"/>
        </w:rPr>
      </w:pPr>
      <w:r>
        <w:rPr>
          <w:rFonts w:hint="eastAsia" w:ascii="黑体" w:hAnsi="黑体" w:eastAsia="黑体"/>
          <w:szCs w:val="44"/>
        </w:rPr>
        <w:t xml:space="preserve">第二部分  </w:t>
      </w:r>
      <w:r>
        <w:rPr>
          <w:rFonts w:ascii="黑体" w:hAnsi="黑体" w:eastAsia="黑体"/>
          <w:szCs w:val="44"/>
        </w:rPr>
        <w:t>20</w:t>
      </w:r>
      <w:r>
        <w:rPr>
          <w:rFonts w:hint="eastAsia" w:ascii="黑体" w:hAnsi="黑体" w:eastAsia="黑体"/>
          <w:szCs w:val="44"/>
          <w:lang w:val="en-US" w:eastAsia="zh-CN"/>
        </w:rPr>
        <w:t>24</w:t>
      </w:r>
      <w:r>
        <w:rPr>
          <w:rFonts w:hint="eastAsia" w:ascii="黑体" w:hAnsi="黑体" w:eastAsia="黑体"/>
          <w:szCs w:val="44"/>
        </w:rPr>
        <w:t>年</w:t>
      </w:r>
      <w:r>
        <w:rPr>
          <w:rFonts w:ascii="黑体" w:hAnsi="黑体" w:eastAsia="黑体"/>
          <w:szCs w:val="44"/>
        </w:rPr>
        <w:t>部门预算报表</w:t>
      </w:r>
    </w:p>
    <w:p>
      <w:pPr>
        <w:spacing w:line="600" w:lineRule="exact"/>
        <w:ind w:firstLine="632" w:firstLineChars="200"/>
        <w:rPr>
          <w:rFonts w:hint="eastAsia" w:ascii="仿宋_GB2312"/>
          <w:szCs w:val="44"/>
        </w:rPr>
      </w:pPr>
      <w:r>
        <w:rPr>
          <w:rFonts w:hint="eastAsia" w:ascii="仿宋_GB2312"/>
          <w:szCs w:val="44"/>
        </w:rPr>
        <w:t>表1. 部门收支总表</w:t>
      </w:r>
    </w:p>
    <w:p>
      <w:pPr>
        <w:spacing w:line="600" w:lineRule="exact"/>
        <w:ind w:firstLine="632" w:firstLineChars="200"/>
        <w:rPr>
          <w:rFonts w:hint="eastAsia" w:ascii="仿宋_GB2312"/>
          <w:szCs w:val="44"/>
        </w:rPr>
      </w:pPr>
      <w:r>
        <w:rPr>
          <w:rFonts w:hint="eastAsia" w:ascii="仿宋_GB2312"/>
          <w:szCs w:val="44"/>
        </w:rPr>
        <w:t>表1-1. 部门收入总表</w:t>
      </w:r>
    </w:p>
    <w:p>
      <w:pPr>
        <w:spacing w:line="600" w:lineRule="exact"/>
        <w:ind w:firstLine="632" w:firstLineChars="200"/>
        <w:rPr>
          <w:rFonts w:hint="eastAsia" w:ascii="仿宋_GB2312"/>
          <w:szCs w:val="44"/>
        </w:rPr>
      </w:pPr>
      <w:r>
        <w:rPr>
          <w:rFonts w:hint="eastAsia" w:ascii="仿宋_GB2312"/>
          <w:szCs w:val="44"/>
        </w:rPr>
        <w:t>表1-2. 部门支出总表</w:t>
      </w:r>
    </w:p>
    <w:p>
      <w:pPr>
        <w:spacing w:line="600" w:lineRule="exact"/>
        <w:ind w:firstLine="632" w:firstLineChars="200"/>
        <w:rPr>
          <w:rFonts w:hint="eastAsia" w:ascii="仿宋_GB2312"/>
          <w:szCs w:val="44"/>
        </w:rPr>
      </w:pPr>
      <w:r>
        <w:rPr>
          <w:rFonts w:hint="eastAsia" w:ascii="仿宋_GB2312"/>
          <w:szCs w:val="44"/>
        </w:rPr>
        <w:t>表2. 财政拨款收支预算总表</w:t>
      </w:r>
    </w:p>
    <w:p>
      <w:pPr>
        <w:spacing w:line="600" w:lineRule="exact"/>
        <w:ind w:firstLine="632" w:firstLineChars="200"/>
        <w:rPr>
          <w:rFonts w:hint="eastAsia" w:ascii="仿宋_GB2312"/>
          <w:szCs w:val="44"/>
        </w:rPr>
      </w:pPr>
      <w:r>
        <w:rPr>
          <w:rFonts w:hint="eastAsia" w:ascii="仿宋_GB2312"/>
          <w:szCs w:val="44"/>
        </w:rPr>
        <w:t>表2-1. 财政拨款支出预算表（政府经济分类科目）</w:t>
      </w:r>
    </w:p>
    <w:p>
      <w:pPr>
        <w:spacing w:line="600" w:lineRule="exact"/>
        <w:ind w:firstLine="632" w:firstLineChars="200"/>
        <w:rPr>
          <w:rFonts w:hint="eastAsia" w:ascii="仿宋_GB2312"/>
          <w:szCs w:val="44"/>
        </w:rPr>
      </w:pPr>
      <w:r>
        <w:rPr>
          <w:rFonts w:hint="eastAsia" w:ascii="仿宋_GB2312"/>
          <w:szCs w:val="44"/>
        </w:rPr>
        <w:t>表3. 一般公共预算支出预算表</w:t>
      </w:r>
    </w:p>
    <w:p>
      <w:pPr>
        <w:spacing w:line="600" w:lineRule="exact"/>
        <w:ind w:firstLine="632" w:firstLineChars="200"/>
        <w:rPr>
          <w:rFonts w:hint="eastAsia" w:ascii="仿宋_GB2312"/>
          <w:szCs w:val="44"/>
        </w:rPr>
      </w:pPr>
      <w:r>
        <w:rPr>
          <w:rFonts w:hint="eastAsia" w:ascii="仿宋_GB2312"/>
          <w:szCs w:val="44"/>
        </w:rPr>
        <w:t>表3-1. 一般公共预算基本支出预算表</w:t>
      </w:r>
    </w:p>
    <w:p>
      <w:pPr>
        <w:spacing w:line="600" w:lineRule="exact"/>
        <w:ind w:firstLine="632" w:firstLineChars="200"/>
        <w:rPr>
          <w:rFonts w:hint="eastAsia" w:ascii="仿宋_GB2312"/>
          <w:szCs w:val="44"/>
        </w:rPr>
      </w:pPr>
      <w:r>
        <w:rPr>
          <w:rFonts w:hint="eastAsia" w:ascii="仿宋_GB2312"/>
          <w:szCs w:val="44"/>
        </w:rPr>
        <w:t>表3-2. 一般公共预算项目支出预算表</w:t>
      </w:r>
    </w:p>
    <w:p>
      <w:pPr>
        <w:spacing w:line="600" w:lineRule="exact"/>
        <w:ind w:firstLine="632" w:firstLineChars="200"/>
        <w:rPr>
          <w:rFonts w:hint="eastAsia" w:ascii="仿宋_GB2312"/>
          <w:szCs w:val="44"/>
        </w:rPr>
      </w:pPr>
      <w:r>
        <w:rPr>
          <w:rFonts w:hint="eastAsia" w:ascii="仿宋_GB2312"/>
          <w:szCs w:val="44"/>
        </w:rPr>
        <w:t>表3-3. 一般公共预算“三公”经费支出预算表</w:t>
      </w:r>
    </w:p>
    <w:p>
      <w:pPr>
        <w:spacing w:line="600" w:lineRule="exact"/>
        <w:ind w:firstLine="632" w:firstLineChars="200"/>
        <w:rPr>
          <w:rFonts w:hint="eastAsia" w:ascii="仿宋_GB2312"/>
          <w:szCs w:val="44"/>
        </w:rPr>
      </w:pPr>
      <w:r>
        <w:rPr>
          <w:rFonts w:hint="eastAsia" w:ascii="仿宋_GB2312"/>
          <w:szCs w:val="44"/>
        </w:rPr>
        <w:t>表4. 政府性基金支出预算表</w:t>
      </w:r>
    </w:p>
    <w:p>
      <w:pPr>
        <w:spacing w:line="600" w:lineRule="exact"/>
        <w:ind w:firstLine="632" w:firstLineChars="200"/>
        <w:rPr>
          <w:rFonts w:hint="eastAsia" w:ascii="仿宋_GB2312"/>
          <w:szCs w:val="44"/>
        </w:rPr>
      </w:pPr>
      <w:r>
        <w:rPr>
          <w:rFonts w:hint="eastAsia" w:ascii="仿宋_GB2312"/>
          <w:szCs w:val="44"/>
        </w:rPr>
        <w:t>表4-1. 政府性基金预算“三公”经费支出预算表</w:t>
      </w:r>
    </w:p>
    <w:p>
      <w:pPr>
        <w:spacing w:line="600" w:lineRule="exact"/>
        <w:ind w:firstLine="632" w:firstLineChars="200"/>
        <w:rPr>
          <w:rFonts w:ascii="仿宋_GB2312"/>
          <w:szCs w:val="44"/>
        </w:rPr>
      </w:pPr>
      <w:r>
        <w:rPr>
          <w:rFonts w:hint="eastAsia" w:ascii="仿宋_GB2312"/>
          <w:szCs w:val="44"/>
        </w:rPr>
        <w:t>表5. 国有资本经营预算支出预算表</w:t>
      </w:r>
    </w:p>
    <w:p>
      <w:pPr>
        <w:spacing w:line="600" w:lineRule="exact"/>
        <w:rPr>
          <w:rFonts w:ascii="黑体" w:hAnsi="黑体" w:eastAsia="黑体"/>
          <w:szCs w:val="44"/>
        </w:rPr>
      </w:pPr>
      <w:r>
        <w:rPr>
          <w:rFonts w:hint="eastAsia" w:ascii="黑体" w:hAnsi="黑体" w:eastAsia="黑体"/>
          <w:szCs w:val="44"/>
        </w:rPr>
        <w:t>第三部分  20</w:t>
      </w:r>
      <w:r>
        <w:rPr>
          <w:rFonts w:hint="eastAsia" w:ascii="黑体" w:hAnsi="黑体" w:eastAsia="黑体"/>
          <w:szCs w:val="44"/>
          <w:lang w:val="en-US" w:eastAsia="zh-CN"/>
        </w:rPr>
        <w:t>24</w:t>
      </w:r>
      <w:r>
        <w:rPr>
          <w:rFonts w:hint="eastAsia" w:ascii="黑体" w:hAnsi="黑体" w:eastAsia="黑体"/>
          <w:szCs w:val="44"/>
        </w:rPr>
        <w:t>年部门预算项目绩效目标表</w:t>
      </w:r>
    </w:p>
    <w:p>
      <w:pPr>
        <w:pStyle w:val="7"/>
        <w:keepNext w:val="0"/>
        <w:keepLines w:val="0"/>
        <w:widowControl/>
        <w:suppressLineNumbers w:val="0"/>
        <w:suppressAutoHyphens/>
        <w:autoSpaceDE w:val="0"/>
        <w:autoSpaceDN/>
        <w:spacing w:before="0" w:beforeAutospacing="0" w:after="0" w:afterAutospacing="0" w:line="600" w:lineRule="atLeast"/>
        <w:ind w:left="0" w:leftChars="0" w:right="0" w:firstLine="632" w:firstLineChars="200"/>
        <w:jc w:val="left"/>
        <w:rPr>
          <w:rFonts w:hint="default" w:ascii="Times New Roman" w:hAnsi="Times New Roman" w:eastAsia="sans-serif" w:cs="Times New Roman"/>
          <w:color w:val="000000"/>
          <w:kern w:val="0"/>
          <w:sz w:val="24"/>
          <w:szCs w:val="24"/>
        </w:rPr>
      </w:pPr>
      <w:r>
        <w:rPr>
          <w:rFonts w:hint="eastAsia" w:ascii="仿宋_GB2312" w:hAnsi="Times New Roman" w:eastAsia="仿宋_GB2312" w:cs="仿宋_GB2312"/>
          <w:color w:val="000000"/>
          <w:kern w:val="0"/>
          <w:sz w:val="32"/>
          <w:szCs w:val="32"/>
          <w:lang w:val="en-US" w:eastAsia="zh-CN" w:bidi="ar"/>
        </w:rPr>
        <w:t>表</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部门整体支出绩效目标表</w:t>
      </w:r>
    </w:p>
    <w:p>
      <w:pPr>
        <w:pStyle w:val="7"/>
        <w:keepNext w:val="0"/>
        <w:keepLines w:val="0"/>
        <w:widowControl/>
        <w:suppressLineNumbers w:val="0"/>
        <w:suppressAutoHyphens/>
        <w:autoSpaceDE w:val="0"/>
        <w:autoSpaceDN/>
        <w:spacing w:before="0" w:beforeAutospacing="0" w:after="0" w:afterAutospacing="0" w:line="600" w:lineRule="atLeast"/>
        <w:ind w:left="0" w:right="0" w:firstLine="632" w:firstLineChars="200"/>
        <w:jc w:val="left"/>
        <w:rPr>
          <w:rFonts w:hint="default" w:ascii="Times New Roman" w:hAnsi="Times New Roman" w:eastAsia="sans-serif" w:cs="Times New Roman"/>
          <w:color w:val="000000"/>
          <w:kern w:val="0"/>
          <w:sz w:val="24"/>
          <w:szCs w:val="24"/>
        </w:rPr>
      </w:pPr>
      <w:r>
        <w:rPr>
          <w:rFonts w:hint="eastAsia" w:ascii="仿宋_GB2312" w:hAnsi="Times New Roman" w:eastAsia="仿宋_GB2312" w:cs="仿宋_GB2312"/>
          <w:color w:val="000000"/>
          <w:kern w:val="0"/>
          <w:sz w:val="32"/>
          <w:szCs w:val="32"/>
          <w:lang w:val="en-US" w:eastAsia="zh-CN" w:bidi="ar"/>
        </w:rPr>
        <w:t>表</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部门预算项目支出绩效目标表</w:t>
      </w:r>
    </w:p>
    <w:p>
      <w:pPr>
        <w:spacing w:line="600" w:lineRule="exact"/>
        <w:rPr>
          <w:rFonts w:ascii="仿宋_GB2312"/>
          <w:szCs w:val="44"/>
        </w:rPr>
      </w:pPr>
    </w:p>
    <w:p>
      <w:pPr>
        <w:spacing w:line="600" w:lineRule="exact"/>
        <w:rPr>
          <w:rFonts w:hint="eastAsia" w:ascii="仿宋_GB2312"/>
          <w:szCs w:val="44"/>
        </w:rPr>
      </w:pPr>
    </w:p>
    <w:p>
      <w:pPr>
        <w:spacing w:line="600" w:lineRule="exact"/>
        <w:jc w:val="center"/>
        <w:rPr>
          <w:rFonts w:hint="default" w:ascii="方正小标宋简体" w:eastAsia="方正小标宋简体"/>
          <w:color w:val="FF0000"/>
          <w:sz w:val="44"/>
          <w:szCs w:val="44"/>
          <w:lang w:val="en-US" w:eastAsia="zh-CN"/>
        </w:rPr>
      </w:pPr>
      <w:r>
        <w:rPr>
          <w:rFonts w:ascii="仿宋_GB2312"/>
          <w:szCs w:val="44"/>
        </w:rPr>
        <w:br w:type="page"/>
      </w:r>
      <w:r>
        <w:rPr>
          <w:rFonts w:hint="eastAsia" w:ascii="方正小标宋简体" w:eastAsia="方正小标宋简体"/>
          <w:color w:val="auto"/>
          <w:sz w:val="44"/>
          <w:szCs w:val="44"/>
          <w:u w:val="none"/>
          <w:lang w:val="en-US" w:eastAsia="zh-CN"/>
        </w:rPr>
        <w:t>遂</w:t>
      </w:r>
      <w:r>
        <w:rPr>
          <w:rFonts w:hint="default" w:ascii="方正小标宋简体" w:eastAsia="方正小标宋简体"/>
          <w:color w:val="auto"/>
          <w:sz w:val="44"/>
          <w:szCs w:val="44"/>
          <w:u w:val="none"/>
          <w:lang w:eastAsia="zh-CN"/>
        </w:rPr>
        <w:t>宁高新</w:t>
      </w:r>
      <w:r>
        <w:rPr>
          <w:rFonts w:hint="eastAsia" w:ascii="方正小标宋简体" w:eastAsia="方正小标宋简体"/>
          <w:color w:val="auto"/>
          <w:sz w:val="44"/>
          <w:szCs w:val="44"/>
          <w:u w:val="none"/>
          <w:lang w:val="en-US" w:eastAsia="zh-CN"/>
        </w:rPr>
        <w:t>区西宁街道办事处</w:t>
      </w:r>
    </w:p>
    <w:p>
      <w:pPr>
        <w:spacing w:line="600" w:lineRule="exact"/>
        <w:jc w:val="cente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24</w:t>
      </w:r>
      <w:r>
        <w:rPr>
          <w:rFonts w:hint="eastAsia" w:ascii="方正小标宋简体" w:eastAsia="方正小标宋简体"/>
          <w:sz w:val="44"/>
          <w:szCs w:val="44"/>
        </w:rPr>
        <w:t>年部门预算编制说明</w:t>
      </w:r>
    </w:p>
    <w:p>
      <w:pPr>
        <w:spacing w:line="600" w:lineRule="exact"/>
        <w:ind w:firstLine="632" w:firstLineChars="200"/>
        <w:rPr>
          <w:rFonts w:ascii="黑体" w:hAnsi="黑体" w:eastAsia="黑体"/>
        </w:rPr>
      </w:pPr>
    </w:p>
    <w:p>
      <w:pPr>
        <w:spacing w:line="600" w:lineRule="exact"/>
        <w:ind w:firstLine="632" w:firstLineChars="200"/>
        <w:rPr>
          <w:rFonts w:ascii="黑体" w:hAnsi="黑体" w:eastAsia="黑体"/>
        </w:rPr>
      </w:pPr>
      <w:r>
        <w:rPr>
          <w:rFonts w:ascii="黑体" w:hAnsi="黑体" w:eastAsia="黑体"/>
        </w:rPr>
        <w:t>一、基本职能及主要工作</w:t>
      </w:r>
    </w:p>
    <w:p>
      <w:pPr>
        <w:pStyle w:val="7"/>
        <w:widowControl/>
        <w:spacing w:before="0" w:beforeAutospacing="0" w:after="0" w:afterAutospacing="0" w:line="600" w:lineRule="exact"/>
        <w:ind w:firstLine="632" w:firstLineChars="200"/>
        <w:rPr>
          <w:rFonts w:ascii="sans-serif" w:hAnsi="sans-serif" w:eastAsia="sans-serif" w:cs="sans-serif"/>
          <w:color w:val="000000"/>
        </w:rPr>
      </w:pPr>
      <w:r>
        <w:rPr>
          <w:rStyle w:val="11"/>
          <w:rFonts w:hint="eastAsia" w:ascii="楷体_GB2312" w:eastAsia="楷体_GB2312" w:cs="楷体_GB2312"/>
          <w:color w:val="000000"/>
          <w:sz w:val="32"/>
          <w:szCs w:val="32"/>
        </w:rPr>
        <w:t>（一）</w:t>
      </w:r>
      <w:r>
        <w:rPr>
          <w:rStyle w:val="11"/>
          <w:rFonts w:hint="eastAsia" w:ascii="楷体_GB2312" w:hAnsi="Times New Roman" w:eastAsia="楷体_GB2312" w:cs="楷体_GB2312"/>
          <w:color w:val="000000"/>
          <w:sz w:val="30"/>
          <w:szCs w:val="30"/>
          <w:lang w:val="en-US" w:eastAsia="zh-CN"/>
        </w:rPr>
        <w:t>西宁街道</w:t>
      </w:r>
      <w:r>
        <w:rPr>
          <w:rStyle w:val="11"/>
          <w:rFonts w:hint="eastAsia" w:ascii="楷体_GB2312" w:eastAsia="楷体_GB2312" w:cs="楷体_GB2312"/>
          <w:color w:val="000000"/>
          <w:sz w:val="30"/>
          <w:szCs w:val="30"/>
        </w:rPr>
        <w:t>职能简介</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32" w:firstLineChars="200"/>
        <w:jc w:val="both"/>
        <w:textAlignment w:val="auto"/>
        <w:rPr>
          <w:rFonts w:hint="default" w:ascii="Times New Roman" w:hAnsi="Times New Roman" w:eastAsia="仿宋_GB2312" w:cs="Times New Roman"/>
          <w:color w:val="auto"/>
          <w:sz w:val="32"/>
          <w:szCs w:val="32"/>
          <w:shd w:val="clear" w:color="auto" w:fill="FFFFFF"/>
          <w:lang w:bidi="ar"/>
        </w:rPr>
      </w:pPr>
      <w:r>
        <w:rPr>
          <w:rFonts w:hint="eastAsia" w:ascii="Times New Roman" w:hAnsi="Times New Roman" w:eastAsia="仿宋_GB2312" w:cs="Times New Roman"/>
          <w:color w:val="auto"/>
          <w:sz w:val="32"/>
          <w:szCs w:val="32"/>
          <w:shd w:val="clear" w:color="auto" w:fill="FFFFFF"/>
          <w:lang w:val="en-US" w:eastAsia="zh-CN" w:bidi="ar"/>
        </w:rPr>
        <w:t>1.</w:t>
      </w:r>
      <w:r>
        <w:rPr>
          <w:rFonts w:hint="default" w:ascii="Times New Roman" w:hAnsi="Times New Roman" w:eastAsia="仿宋_GB2312" w:cs="Times New Roman"/>
          <w:color w:val="auto"/>
          <w:sz w:val="32"/>
          <w:szCs w:val="32"/>
          <w:shd w:val="clear" w:color="auto" w:fill="FFFFFF"/>
          <w:lang w:bidi="ar"/>
        </w:rPr>
        <w:t>加强党的建设。落实基层党建工作责任制，统筹街道和社区区域化党建，实现党的组织和工作全覆盖。加强意识形态阵地及队伍建设。落实管党治党责任，不断提高党的建设质量，推动全面从严治党向基层延伸。</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32" w:firstLineChars="200"/>
        <w:jc w:val="both"/>
        <w:textAlignment w:val="auto"/>
        <w:rPr>
          <w:rFonts w:hint="default" w:ascii="Times New Roman" w:hAnsi="Times New Roman" w:eastAsia="仿宋_GB2312" w:cs="Times New Roman"/>
          <w:color w:val="auto"/>
          <w:sz w:val="32"/>
          <w:szCs w:val="32"/>
          <w:shd w:val="clear" w:color="auto" w:fill="FFFFFF"/>
          <w:lang w:bidi="ar"/>
        </w:rPr>
      </w:pPr>
      <w:r>
        <w:rPr>
          <w:rFonts w:hint="eastAsia" w:ascii="Times New Roman" w:hAnsi="Times New Roman" w:eastAsia="仿宋_GB2312" w:cs="Times New Roman"/>
          <w:color w:val="auto"/>
          <w:sz w:val="32"/>
          <w:szCs w:val="32"/>
          <w:shd w:val="clear" w:color="auto" w:fill="FFFFFF"/>
          <w:lang w:val="en-US" w:eastAsia="zh-CN" w:bidi="ar"/>
        </w:rPr>
        <w:t>2.</w:t>
      </w:r>
      <w:r>
        <w:rPr>
          <w:rFonts w:hint="default" w:ascii="Times New Roman" w:hAnsi="Times New Roman" w:eastAsia="仿宋_GB2312" w:cs="Times New Roman"/>
          <w:color w:val="auto"/>
          <w:sz w:val="32"/>
          <w:szCs w:val="32"/>
          <w:shd w:val="clear" w:color="auto" w:fill="FFFFFF"/>
          <w:lang w:bidi="ar"/>
        </w:rPr>
        <w:t>统筹区域发展。参与拟订市区两级关于辖区发展的重大决策和建设规划并统筹落实，负责促进辖区经济建设、项目发展工作，承担优化发展环境、采集企业信息、服务辖区企业、促进项目发展等工作。</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32" w:firstLineChars="200"/>
        <w:jc w:val="both"/>
        <w:textAlignment w:val="auto"/>
        <w:rPr>
          <w:rFonts w:hint="default" w:ascii="Times New Roman" w:hAnsi="Times New Roman" w:eastAsia="仿宋_GB2312" w:cs="Times New Roman"/>
          <w:color w:val="auto"/>
          <w:sz w:val="32"/>
          <w:szCs w:val="32"/>
          <w:shd w:val="clear" w:color="auto" w:fill="FFFFFF"/>
          <w:lang w:bidi="ar"/>
        </w:rPr>
      </w:pPr>
      <w:r>
        <w:rPr>
          <w:rFonts w:hint="eastAsia" w:ascii="Times New Roman" w:hAnsi="Times New Roman" w:eastAsia="仿宋_GB2312" w:cs="Times New Roman"/>
          <w:color w:val="auto"/>
          <w:sz w:val="32"/>
          <w:szCs w:val="32"/>
          <w:shd w:val="clear" w:color="auto" w:fill="FFFFFF"/>
          <w:lang w:val="en-US" w:eastAsia="zh-CN" w:bidi="ar"/>
        </w:rPr>
        <w:t>3.</w:t>
      </w:r>
      <w:r>
        <w:rPr>
          <w:rFonts w:hint="default" w:ascii="Times New Roman" w:hAnsi="Times New Roman" w:eastAsia="仿宋_GB2312" w:cs="Times New Roman"/>
          <w:color w:val="auto"/>
          <w:sz w:val="32"/>
          <w:szCs w:val="32"/>
          <w:shd w:val="clear" w:color="auto" w:fill="FFFFFF"/>
          <w:lang w:bidi="ar"/>
        </w:rPr>
        <w:t>组织公共服务。组织实施与居民生活密切相关的各项公共服务事项，落实人力资源</w:t>
      </w:r>
      <w:r>
        <w:rPr>
          <w:rFonts w:hint="eastAsia" w:cs="Times New Roman"/>
          <w:color w:val="auto"/>
          <w:sz w:val="32"/>
          <w:szCs w:val="32"/>
          <w:shd w:val="clear" w:color="auto" w:fill="FFFFFF"/>
          <w:lang w:val="en-US" w:eastAsia="zh-CN" w:bidi="ar"/>
        </w:rPr>
        <w:t>和</w:t>
      </w:r>
      <w:r>
        <w:rPr>
          <w:rFonts w:hint="default" w:ascii="Times New Roman" w:hAnsi="Times New Roman" w:eastAsia="仿宋_GB2312" w:cs="Times New Roman"/>
          <w:color w:val="auto"/>
          <w:sz w:val="32"/>
          <w:szCs w:val="32"/>
          <w:shd w:val="clear" w:color="auto" w:fill="FFFFFF"/>
          <w:lang w:bidi="ar"/>
        </w:rPr>
        <w:t>社会保障、民政、教育、科技、文化、体育、卫生健康、退役军人事务、居民小区物业管理等领域相关法规政策。</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32" w:firstLineChars="200"/>
        <w:jc w:val="both"/>
        <w:textAlignment w:val="auto"/>
        <w:rPr>
          <w:rFonts w:hint="default" w:ascii="Times New Roman" w:hAnsi="Times New Roman" w:eastAsia="仿宋_GB2312" w:cs="Times New Roman"/>
          <w:color w:val="auto"/>
          <w:sz w:val="32"/>
          <w:szCs w:val="32"/>
          <w:shd w:val="clear" w:color="auto" w:fill="FFFFFF"/>
          <w:lang w:bidi="ar"/>
        </w:rPr>
      </w:pPr>
      <w:r>
        <w:rPr>
          <w:rFonts w:hint="eastAsia" w:ascii="Times New Roman" w:hAnsi="Times New Roman" w:eastAsia="仿宋_GB2312" w:cs="Times New Roman"/>
          <w:color w:val="auto"/>
          <w:sz w:val="32"/>
          <w:szCs w:val="32"/>
          <w:shd w:val="clear" w:color="auto" w:fill="FFFFFF"/>
          <w:lang w:val="en-US" w:eastAsia="zh-CN" w:bidi="ar"/>
        </w:rPr>
        <w:t>4.</w:t>
      </w:r>
      <w:r>
        <w:rPr>
          <w:rFonts w:hint="default" w:ascii="Times New Roman" w:hAnsi="Times New Roman" w:eastAsia="仿宋_GB2312" w:cs="Times New Roman"/>
          <w:color w:val="auto"/>
          <w:sz w:val="32"/>
          <w:szCs w:val="32"/>
          <w:shd w:val="clear" w:color="auto" w:fill="FFFFFF"/>
          <w:lang w:bidi="ar"/>
        </w:rPr>
        <w:t>实施公共管理。负责辖区内生态环境保护、城市管理、控违拆违、征地拆迁等综合性管理工作，承担组织领导和综合协调职能。</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32" w:firstLineChars="200"/>
        <w:jc w:val="both"/>
        <w:textAlignment w:val="auto"/>
        <w:rPr>
          <w:rFonts w:hint="default" w:ascii="Times New Roman" w:hAnsi="Times New Roman" w:eastAsia="仿宋_GB2312" w:cs="Times New Roman"/>
          <w:color w:val="auto"/>
          <w:sz w:val="32"/>
          <w:szCs w:val="32"/>
          <w:shd w:val="clear" w:color="auto" w:fill="FFFFFF"/>
          <w:lang w:bidi="ar"/>
        </w:rPr>
      </w:pPr>
      <w:r>
        <w:rPr>
          <w:rFonts w:hint="eastAsia" w:ascii="Times New Roman" w:hAnsi="Times New Roman" w:eastAsia="仿宋_GB2312" w:cs="Times New Roman"/>
          <w:color w:val="auto"/>
          <w:sz w:val="32"/>
          <w:szCs w:val="32"/>
          <w:shd w:val="clear" w:color="auto" w:fill="FFFFFF"/>
          <w:lang w:val="en-US" w:eastAsia="zh-CN" w:bidi="ar"/>
        </w:rPr>
        <w:t>5.</w:t>
      </w:r>
      <w:r>
        <w:rPr>
          <w:rFonts w:hint="default" w:ascii="Times New Roman" w:hAnsi="Times New Roman" w:eastAsia="仿宋_GB2312" w:cs="Times New Roman"/>
          <w:color w:val="auto"/>
          <w:sz w:val="32"/>
          <w:szCs w:val="32"/>
          <w:shd w:val="clear" w:color="auto" w:fill="FFFFFF"/>
          <w:lang w:bidi="ar"/>
        </w:rPr>
        <w:t>维护公共安全。承担辖区内社会治安综合治理、平安建设、应急管理等有关工作，接待群众来信来访，反映社情民意，化解矛盾纠纷等。</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32" w:firstLineChars="200"/>
        <w:jc w:val="both"/>
        <w:textAlignment w:val="auto"/>
        <w:rPr>
          <w:rFonts w:hint="default" w:ascii="Times New Roman" w:hAnsi="Times New Roman" w:eastAsia="仿宋_GB2312" w:cs="Times New Roman"/>
          <w:color w:val="auto"/>
          <w:sz w:val="32"/>
          <w:szCs w:val="32"/>
          <w:shd w:val="clear" w:color="auto" w:fill="FFFFFF"/>
          <w:lang w:bidi="ar"/>
        </w:rPr>
      </w:pPr>
      <w:r>
        <w:rPr>
          <w:rFonts w:hint="eastAsia" w:ascii="Times New Roman" w:hAnsi="Times New Roman" w:eastAsia="仿宋_GB2312" w:cs="Times New Roman"/>
          <w:color w:val="auto"/>
          <w:sz w:val="32"/>
          <w:szCs w:val="32"/>
          <w:shd w:val="clear" w:color="auto" w:fill="FFFFFF"/>
          <w:lang w:val="en-US" w:eastAsia="zh-CN" w:bidi="ar"/>
        </w:rPr>
        <w:t>6.</w:t>
      </w:r>
      <w:r>
        <w:rPr>
          <w:rFonts w:hint="default" w:ascii="Times New Roman" w:hAnsi="Times New Roman" w:eastAsia="仿宋_GB2312" w:cs="Times New Roman"/>
          <w:color w:val="auto"/>
          <w:sz w:val="32"/>
          <w:szCs w:val="32"/>
          <w:shd w:val="clear" w:color="auto" w:fill="FFFFFF"/>
          <w:lang w:bidi="ar"/>
        </w:rPr>
        <w:t>监督执法管理。对辖区内各类行政执法工作进行统筹协调，组织开展群众监督和社会监督。</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32" w:firstLineChars="200"/>
        <w:jc w:val="both"/>
        <w:textAlignment w:val="auto"/>
        <w:rPr>
          <w:rFonts w:hint="default" w:ascii="Times New Roman" w:hAnsi="Times New Roman" w:eastAsia="仿宋_GB2312" w:cs="Times New Roman"/>
          <w:color w:val="auto"/>
          <w:sz w:val="32"/>
          <w:szCs w:val="32"/>
          <w:shd w:val="clear" w:color="auto" w:fill="FFFFFF"/>
          <w:lang w:bidi="ar"/>
        </w:rPr>
      </w:pPr>
      <w:r>
        <w:rPr>
          <w:rFonts w:hint="eastAsia" w:ascii="Times New Roman" w:hAnsi="Times New Roman" w:eastAsia="仿宋_GB2312" w:cs="Times New Roman"/>
          <w:color w:val="auto"/>
          <w:sz w:val="32"/>
          <w:szCs w:val="32"/>
          <w:shd w:val="clear" w:color="auto" w:fill="FFFFFF"/>
          <w:lang w:val="en-US" w:eastAsia="zh-CN" w:bidi="ar"/>
        </w:rPr>
        <w:t>7.</w:t>
      </w:r>
      <w:r>
        <w:rPr>
          <w:rFonts w:hint="default" w:ascii="Times New Roman" w:hAnsi="Times New Roman" w:eastAsia="仿宋_GB2312" w:cs="Times New Roman"/>
          <w:color w:val="auto"/>
          <w:sz w:val="32"/>
          <w:szCs w:val="32"/>
          <w:shd w:val="clear" w:color="auto" w:fill="FFFFFF"/>
          <w:lang w:bidi="ar"/>
        </w:rPr>
        <w:t>动员社会参与。动员辖区内各类单位、社会组织、社区居民等社会力量参与社会治理，为街道发展服务。</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32" w:firstLineChars="200"/>
        <w:jc w:val="both"/>
        <w:textAlignment w:val="auto"/>
        <w:rPr>
          <w:rFonts w:hint="default" w:ascii="Times New Roman" w:hAnsi="Times New Roman" w:eastAsia="仿宋_GB2312" w:cs="Times New Roman"/>
          <w:color w:val="auto"/>
          <w:sz w:val="32"/>
          <w:szCs w:val="32"/>
          <w:shd w:val="clear" w:color="auto" w:fill="FFFFFF"/>
          <w:lang w:bidi="ar"/>
        </w:rPr>
      </w:pPr>
      <w:r>
        <w:rPr>
          <w:rFonts w:hint="eastAsia" w:ascii="Times New Roman" w:hAnsi="Times New Roman" w:eastAsia="仿宋_GB2312" w:cs="Times New Roman"/>
          <w:color w:val="auto"/>
          <w:sz w:val="32"/>
          <w:szCs w:val="32"/>
          <w:shd w:val="clear" w:color="auto" w:fill="FFFFFF"/>
          <w:lang w:val="en-US" w:eastAsia="zh-CN" w:bidi="ar"/>
        </w:rPr>
        <w:t>8.</w:t>
      </w:r>
      <w:r>
        <w:rPr>
          <w:rFonts w:hint="default" w:ascii="Times New Roman" w:hAnsi="Times New Roman" w:eastAsia="仿宋_GB2312" w:cs="Times New Roman"/>
          <w:color w:val="auto"/>
          <w:sz w:val="32"/>
          <w:szCs w:val="32"/>
          <w:shd w:val="clear" w:color="auto" w:fill="FFFFFF"/>
          <w:lang w:bidi="ar"/>
        </w:rPr>
        <w:t>保障居民自治。指导社区居民委员会建设，健全居民自治平台，组织辖区单位和居民参与社区建设、管理。</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32" w:firstLineChars="200"/>
        <w:jc w:val="both"/>
        <w:textAlignment w:val="auto"/>
        <w:rPr>
          <w:rFonts w:hint="default" w:ascii="Times New Roman" w:hAnsi="Times New Roman" w:eastAsia="仿宋_GB2312" w:cs="Times New Roman"/>
          <w:b w:val="0"/>
          <w:bCs w:val="0"/>
          <w:color w:val="auto"/>
          <w:sz w:val="31"/>
          <w:szCs w:val="31"/>
          <w:u w:val="none"/>
        </w:rPr>
      </w:pPr>
      <w:r>
        <w:rPr>
          <w:rFonts w:hint="eastAsia" w:ascii="Times New Roman" w:hAnsi="Times New Roman" w:eastAsia="仿宋_GB2312" w:cs="Times New Roman"/>
          <w:color w:val="auto"/>
          <w:sz w:val="32"/>
          <w:szCs w:val="32"/>
          <w:shd w:val="clear" w:color="auto" w:fill="FFFFFF"/>
          <w:lang w:val="en-US" w:eastAsia="zh-CN" w:bidi="ar"/>
        </w:rPr>
        <w:t>9.</w:t>
      </w:r>
      <w:r>
        <w:rPr>
          <w:rFonts w:hint="default" w:ascii="Times New Roman" w:hAnsi="Times New Roman" w:eastAsia="仿宋_GB2312" w:cs="Times New Roman"/>
          <w:color w:val="auto"/>
          <w:sz w:val="32"/>
          <w:szCs w:val="32"/>
          <w:shd w:val="clear" w:color="auto" w:fill="FFFFFF"/>
          <w:lang w:bidi="ar"/>
        </w:rPr>
        <w:t>完成上级</w:t>
      </w:r>
      <w:r>
        <w:rPr>
          <w:rFonts w:hint="eastAsia" w:cs="Times New Roman"/>
          <w:color w:val="auto"/>
          <w:sz w:val="32"/>
          <w:szCs w:val="32"/>
          <w:shd w:val="clear" w:color="auto" w:fill="FFFFFF"/>
          <w:lang w:eastAsia="zh-CN" w:bidi="ar"/>
        </w:rPr>
        <w:t>部门</w:t>
      </w:r>
      <w:r>
        <w:rPr>
          <w:rFonts w:hint="default" w:ascii="Times New Roman" w:hAnsi="Times New Roman" w:eastAsia="仿宋_GB2312" w:cs="Times New Roman"/>
          <w:color w:val="auto"/>
          <w:sz w:val="32"/>
          <w:szCs w:val="32"/>
          <w:shd w:val="clear" w:color="auto" w:fill="FFFFFF"/>
          <w:lang w:bidi="ar"/>
        </w:rPr>
        <w:t>交办的其他事项。</w:t>
      </w:r>
    </w:p>
    <w:p>
      <w:pPr>
        <w:spacing w:line="600" w:lineRule="exact"/>
        <w:ind w:firstLine="592" w:firstLineChars="200"/>
        <w:rPr>
          <w:rStyle w:val="11"/>
          <w:rFonts w:hint="eastAsia" w:ascii="楷体_GB2312" w:hAnsi="Times New Roman" w:eastAsia="楷体_GB2312" w:cs="楷体_GB2312"/>
          <w:color w:val="000000"/>
          <w:kern w:val="0"/>
          <w:sz w:val="30"/>
          <w:szCs w:val="30"/>
          <w:lang w:val="en-US" w:eastAsia="zh-CN" w:bidi="ar"/>
        </w:rPr>
      </w:pPr>
      <w:r>
        <w:rPr>
          <w:rStyle w:val="11"/>
          <w:rFonts w:hint="eastAsia" w:ascii="楷体_GB2312" w:hAnsi="Times New Roman" w:eastAsia="楷体_GB2312" w:cs="楷体_GB2312"/>
          <w:color w:val="000000"/>
          <w:kern w:val="0"/>
          <w:sz w:val="30"/>
          <w:szCs w:val="30"/>
          <w:lang w:val="en-US" w:eastAsia="zh-CN" w:bidi="ar"/>
        </w:rPr>
        <w:t>（二）2024年重点工作</w:t>
      </w:r>
    </w:p>
    <w:p>
      <w:pPr>
        <w:spacing w:line="600" w:lineRule="exact"/>
        <w:ind w:firstLine="632" w:firstLineChars="200"/>
        <w:rPr>
          <w:rFonts w:hint="eastAsia" w:ascii="Times New Roman" w:hAnsi="Times New Roman" w:cs="Times New Roman"/>
          <w:color w:val="auto"/>
          <w:sz w:val="32"/>
          <w:szCs w:val="32"/>
          <w:shd w:val="clear" w:color="auto" w:fill="FFFFFF"/>
          <w:lang w:val="en-US" w:eastAsia="zh-CN" w:bidi="ar"/>
        </w:rPr>
      </w:pPr>
      <w:r>
        <w:rPr>
          <w:rFonts w:hint="eastAsia" w:ascii="Times New Roman" w:hAnsi="Times New Roman" w:cs="Times New Roman"/>
          <w:color w:val="auto"/>
          <w:sz w:val="32"/>
          <w:szCs w:val="32"/>
          <w:shd w:val="clear" w:color="auto" w:fill="FFFFFF"/>
          <w:lang w:val="en-US" w:eastAsia="zh-CN" w:bidi="ar"/>
        </w:rPr>
        <w:t>1.提升思想政治建设。切实增强“四个意识”、坚定“四个自信”、做到“两个维护”，不断增强政治判断力、政治领悟力和政治执行力，强化党员教育、着力干部队伍建设，提升干部作风。</w:t>
      </w:r>
    </w:p>
    <w:p>
      <w:pPr>
        <w:spacing w:line="600" w:lineRule="exact"/>
        <w:ind w:firstLine="632" w:firstLineChars="200"/>
        <w:rPr>
          <w:rFonts w:hint="eastAsia" w:cs="Times New Roman"/>
          <w:color w:val="auto"/>
          <w:sz w:val="32"/>
          <w:szCs w:val="32"/>
          <w:shd w:val="clear" w:color="auto" w:fill="FFFFFF"/>
          <w:lang w:val="en-US" w:eastAsia="zh-CN" w:bidi="ar"/>
        </w:rPr>
      </w:pPr>
      <w:r>
        <w:rPr>
          <w:rFonts w:hint="eastAsia" w:cs="Times New Roman"/>
          <w:color w:val="auto"/>
          <w:sz w:val="32"/>
          <w:szCs w:val="32"/>
          <w:shd w:val="clear" w:color="auto" w:fill="FFFFFF"/>
          <w:lang w:val="en-US" w:eastAsia="zh-CN" w:bidi="ar"/>
        </w:rPr>
        <w:t>2</w:t>
      </w:r>
      <w:r>
        <w:rPr>
          <w:rFonts w:hint="eastAsia" w:ascii="Times New Roman" w:hAnsi="Times New Roman" w:cs="Times New Roman"/>
          <w:color w:val="auto"/>
          <w:sz w:val="32"/>
          <w:szCs w:val="32"/>
          <w:shd w:val="clear" w:color="auto" w:fill="FFFFFF"/>
          <w:lang w:val="en-US" w:eastAsia="zh-CN" w:bidi="ar"/>
        </w:rPr>
        <w:t>．坚持党建引领，创新模式强化基层治理。以建立治理示范区为目标，以大党建格局推动社区治理，探索“一核多元、共建共治”的社会治理模式，着力把做实小区党建作为推进城市基层治理的突破口和重难点，健全小区党建的组织体系</w:t>
      </w:r>
      <w:r>
        <w:rPr>
          <w:rFonts w:hint="eastAsia" w:cs="Times New Roman"/>
          <w:color w:val="auto"/>
          <w:sz w:val="32"/>
          <w:szCs w:val="32"/>
          <w:shd w:val="clear" w:color="auto" w:fill="FFFFFF"/>
          <w:lang w:val="en-US" w:eastAsia="zh-CN" w:bidi="ar"/>
        </w:rPr>
        <w:t>，</w:t>
      </w:r>
      <w:r>
        <w:rPr>
          <w:rFonts w:hint="eastAsia" w:ascii="Times New Roman" w:hAnsi="Times New Roman" w:cs="Times New Roman"/>
          <w:color w:val="auto"/>
          <w:sz w:val="32"/>
          <w:szCs w:val="32"/>
          <w:shd w:val="clear" w:color="auto" w:fill="FFFFFF"/>
          <w:lang w:val="en-US" w:eastAsia="zh-CN" w:bidi="ar"/>
        </w:rPr>
        <w:t>抓好七里桥党建引领小区治理项目</w:t>
      </w:r>
      <w:r>
        <w:rPr>
          <w:rFonts w:hint="eastAsia" w:cs="Times New Roman"/>
          <w:color w:val="auto"/>
          <w:sz w:val="32"/>
          <w:szCs w:val="32"/>
          <w:shd w:val="clear" w:color="auto" w:fill="FFFFFF"/>
          <w:lang w:val="en-US" w:eastAsia="zh-CN" w:bidi="ar"/>
        </w:rPr>
        <w:t xml:space="preserve">，运营好文星桥农贸市场，打响“党建引领、智慧赋能、共治共享”品牌。 </w:t>
      </w:r>
    </w:p>
    <w:p>
      <w:pPr>
        <w:spacing w:line="600" w:lineRule="exact"/>
        <w:ind w:firstLine="632" w:firstLineChars="200"/>
        <w:rPr>
          <w:rFonts w:hint="eastAsia" w:ascii="Times New Roman" w:hAnsi="Times New Roman" w:cs="Times New Roman"/>
          <w:color w:val="auto"/>
          <w:sz w:val="32"/>
          <w:szCs w:val="32"/>
          <w:shd w:val="clear" w:color="auto" w:fill="FFFFFF"/>
          <w:lang w:val="en-US" w:eastAsia="zh-CN" w:bidi="ar"/>
        </w:rPr>
      </w:pPr>
      <w:r>
        <w:rPr>
          <w:rFonts w:hint="eastAsia" w:cs="Times New Roman"/>
          <w:color w:val="auto"/>
          <w:sz w:val="32"/>
          <w:szCs w:val="32"/>
          <w:shd w:val="clear" w:color="auto" w:fill="FFFFFF"/>
          <w:lang w:val="en-US" w:eastAsia="zh-CN" w:bidi="ar"/>
        </w:rPr>
        <w:t>3</w:t>
      </w:r>
      <w:r>
        <w:rPr>
          <w:rFonts w:hint="eastAsia" w:ascii="Times New Roman" w:hAnsi="Times New Roman" w:cs="Times New Roman"/>
          <w:color w:val="auto"/>
          <w:sz w:val="32"/>
          <w:szCs w:val="32"/>
          <w:shd w:val="clear" w:color="auto" w:fill="FFFFFF"/>
          <w:lang w:val="en-US" w:eastAsia="zh-CN" w:bidi="ar"/>
        </w:rPr>
        <w:t>.着力党风廉政建设。开展警示教育，梳理廉政风险隐患点，制定事务运行规程图和风险管理树状图，集中观看廉政教育片，积极倡导以正面先进为榜样、以反面典型为警醒。</w:t>
      </w:r>
    </w:p>
    <w:p>
      <w:pPr>
        <w:spacing w:line="600" w:lineRule="exact"/>
        <w:ind w:firstLine="632" w:firstLineChars="200"/>
        <w:rPr>
          <w:rFonts w:hint="eastAsia" w:ascii="Times New Roman" w:hAnsi="Times New Roman" w:cs="Times New Roman"/>
          <w:color w:val="auto"/>
          <w:sz w:val="32"/>
          <w:szCs w:val="32"/>
          <w:shd w:val="clear" w:color="auto" w:fill="FFFFFF"/>
          <w:lang w:val="en-US" w:eastAsia="zh-CN" w:bidi="ar"/>
        </w:rPr>
      </w:pPr>
      <w:r>
        <w:rPr>
          <w:rFonts w:hint="eastAsia" w:cs="Times New Roman"/>
          <w:color w:val="auto"/>
          <w:sz w:val="32"/>
          <w:szCs w:val="32"/>
          <w:shd w:val="clear" w:color="auto" w:fill="FFFFFF"/>
          <w:lang w:val="en-US" w:eastAsia="zh-CN" w:bidi="ar"/>
        </w:rPr>
        <w:t>4</w:t>
      </w:r>
      <w:r>
        <w:rPr>
          <w:rFonts w:hint="eastAsia" w:ascii="Times New Roman" w:hAnsi="Times New Roman" w:cs="Times New Roman"/>
          <w:color w:val="auto"/>
          <w:sz w:val="32"/>
          <w:szCs w:val="32"/>
          <w:shd w:val="clear" w:color="auto" w:fill="FFFFFF"/>
          <w:lang w:val="en-US" w:eastAsia="zh-CN" w:bidi="ar"/>
        </w:rPr>
        <w:t>.围绕高新经济社会发展，持续攻克了遂中、东方红大桥头、</w:t>
      </w:r>
    </w:p>
    <w:p>
      <w:pPr>
        <w:spacing w:line="600" w:lineRule="exact"/>
        <w:rPr>
          <w:rFonts w:hint="eastAsia" w:ascii="Times New Roman" w:hAnsi="Times New Roman" w:cs="Times New Roman"/>
          <w:color w:val="auto"/>
          <w:sz w:val="32"/>
          <w:szCs w:val="32"/>
          <w:shd w:val="clear" w:color="auto" w:fill="FFFFFF"/>
          <w:lang w:val="en-US" w:eastAsia="zh-CN" w:bidi="ar"/>
        </w:rPr>
      </w:pPr>
      <w:r>
        <w:rPr>
          <w:rFonts w:hint="eastAsia" w:ascii="Times New Roman" w:hAnsi="Times New Roman" w:cs="Times New Roman"/>
          <w:color w:val="auto"/>
          <w:sz w:val="32"/>
          <w:szCs w:val="32"/>
          <w:shd w:val="clear" w:color="auto" w:fill="FFFFFF"/>
          <w:lang w:val="en-US" w:eastAsia="zh-CN" w:bidi="ar"/>
        </w:rPr>
        <w:t>鹭栖湖等钉子户，已全面实现“拔钉清零”目标（特别是鹭栖湖</w:t>
      </w:r>
    </w:p>
    <w:p>
      <w:pPr>
        <w:spacing w:line="600" w:lineRule="exact"/>
        <w:rPr>
          <w:rFonts w:hint="eastAsia" w:ascii="Times New Roman" w:hAnsi="Times New Roman" w:cs="Times New Roman"/>
          <w:color w:val="auto"/>
          <w:sz w:val="32"/>
          <w:szCs w:val="32"/>
          <w:shd w:val="clear" w:color="auto" w:fill="FFFFFF"/>
          <w:lang w:val="en-US" w:eastAsia="zh-CN" w:bidi="ar"/>
        </w:rPr>
      </w:pPr>
      <w:r>
        <w:rPr>
          <w:rFonts w:hint="eastAsia" w:ascii="Times New Roman" w:hAnsi="Times New Roman" w:cs="Times New Roman"/>
          <w:color w:val="auto"/>
          <w:sz w:val="32"/>
          <w:szCs w:val="32"/>
          <w:shd w:val="clear" w:color="auto" w:fill="FFFFFF"/>
          <w:lang w:val="en-US" w:eastAsia="zh-CN" w:bidi="ar"/>
        </w:rPr>
        <w:t>钉子户，十余年、历经五届党委）；克服</w:t>
      </w:r>
      <w:r>
        <w:rPr>
          <w:rFonts w:hint="eastAsia" w:cs="Times New Roman"/>
          <w:color w:val="auto"/>
          <w:sz w:val="32"/>
          <w:szCs w:val="32"/>
          <w:shd w:val="clear" w:color="auto" w:fill="FFFFFF"/>
          <w:lang w:val="en-US" w:eastAsia="zh-CN" w:bidi="ar"/>
        </w:rPr>
        <w:t>跨区域</w:t>
      </w:r>
      <w:r>
        <w:rPr>
          <w:rFonts w:hint="eastAsia" w:ascii="Times New Roman" w:hAnsi="Times New Roman" w:cs="Times New Roman"/>
          <w:color w:val="auto"/>
          <w:sz w:val="32"/>
          <w:szCs w:val="32"/>
          <w:shd w:val="clear" w:color="auto" w:fill="FFFFFF"/>
          <w:lang w:val="en-US" w:eastAsia="zh-CN" w:bidi="ar"/>
        </w:rPr>
        <w:t>障碍，加强协调沟通，全面保障了职校、中烟、秀强、欧邦等经开区域项目落地</w:t>
      </w:r>
      <w:r>
        <w:rPr>
          <w:rFonts w:hint="eastAsia" w:cs="Times New Roman"/>
          <w:color w:val="auto"/>
          <w:sz w:val="32"/>
          <w:szCs w:val="32"/>
          <w:shd w:val="clear" w:color="auto" w:fill="FFFFFF"/>
          <w:lang w:val="en-US" w:eastAsia="zh-CN" w:bidi="ar"/>
        </w:rPr>
        <w:t>；</w:t>
      </w:r>
      <w:r>
        <w:rPr>
          <w:rFonts w:hint="eastAsia" w:ascii="Times New Roman" w:hAnsi="Times New Roman" w:cs="Times New Roman"/>
          <w:color w:val="auto"/>
          <w:sz w:val="32"/>
          <w:szCs w:val="32"/>
          <w:shd w:val="clear" w:color="auto" w:fill="FFFFFF"/>
          <w:lang w:val="en-US" w:eastAsia="zh-CN" w:bidi="ar"/>
        </w:rPr>
        <w:t>共报征土地1048亩、拆迁农房11000平方米，拔出重点户7户，</w:t>
      </w:r>
    </w:p>
    <w:p>
      <w:pPr>
        <w:spacing w:line="600" w:lineRule="exact"/>
        <w:rPr>
          <w:rFonts w:hint="eastAsia" w:ascii="Times New Roman" w:hAnsi="Times New Roman" w:cs="Times New Roman"/>
          <w:color w:val="auto"/>
          <w:sz w:val="32"/>
          <w:szCs w:val="32"/>
          <w:shd w:val="clear" w:color="auto" w:fill="FFFFFF"/>
          <w:lang w:val="en-US" w:eastAsia="zh-CN" w:bidi="ar"/>
        </w:rPr>
      </w:pPr>
      <w:r>
        <w:rPr>
          <w:rFonts w:hint="eastAsia" w:ascii="Times New Roman" w:hAnsi="Times New Roman" w:cs="Times New Roman"/>
          <w:color w:val="auto"/>
          <w:sz w:val="32"/>
          <w:szCs w:val="32"/>
          <w:shd w:val="clear" w:color="auto" w:fill="FFFFFF"/>
          <w:lang w:val="en-US" w:eastAsia="zh-CN" w:bidi="ar"/>
        </w:rPr>
        <w:t>安置农户1300户，做好2024年园区拟实施的147个项目中在西宁实施的92个项目的土地报征、群众支持工作</w:t>
      </w:r>
      <w:r>
        <w:rPr>
          <w:rFonts w:hint="eastAsia" w:ascii="Times New Roman" w:hAnsi="Times New Roman" w:cs="Times New Roman"/>
          <w:color w:val="auto"/>
          <w:sz w:val="32"/>
          <w:szCs w:val="32"/>
          <w:shd w:val="clear" w:color="auto" w:fill="FFFFFF"/>
          <w:lang w:val="en-US" w:eastAsia="zh-CN" w:bidi="ar"/>
        </w:rPr>
        <w:tab/>
      </w:r>
      <w:r>
        <w:rPr>
          <w:rFonts w:hint="eastAsia" w:ascii="Times New Roman" w:hAnsi="Times New Roman" w:cs="Times New Roman"/>
          <w:color w:val="auto"/>
          <w:sz w:val="32"/>
          <w:szCs w:val="32"/>
          <w:shd w:val="clear" w:color="auto" w:fill="FFFFFF"/>
          <w:lang w:val="en-US" w:eastAsia="zh-CN" w:bidi="ar"/>
        </w:rPr>
        <w:t>。</w:t>
      </w:r>
    </w:p>
    <w:p>
      <w:pPr>
        <w:numPr>
          <w:ilvl w:val="0"/>
          <w:numId w:val="0"/>
        </w:numPr>
        <w:spacing w:line="600" w:lineRule="exact"/>
        <w:ind w:firstLine="632" w:firstLineChars="200"/>
        <w:rPr>
          <w:rFonts w:hint="eastAsia" w:ascii="Times New Roman" w:hAnsi="Times New Roman" w:cs="Times New Roman"/>
          <w:color w:val="auto"/>
          <w:sz w:val="32"/>
          <w:szCs w:val="32"/>
          <w:shd w:val="clear" w:color="auto" w:fill="FFFFFF"/>
          <w:lang w:val="en-US" w:eastAsia="zh-CN" w:bidi="ar"/>
        </w:rPr>
      </w:pPr>
      <w:r>
        <w:rPr>
          <w:rFonts w:hint="eastAsia" w:cs="Times New Roman"/>
          <w:color w:val="auto"/>
          <w:sz w:val="32"/>
          <w:szCs w:val="32"/>
          <w:shd w:val="clear" w:color="auto" w:fill="FFFFFF"/>
          <w:lang w:val="en-US" w:eastAsia="zh-CN" w:bidi="ar"/>
        </w:rPr>
        <w:t>5.</w:t>
      </w:r>
      <w:bookmarkStart w:id="0" w:name="_GoBack"/>
      <w:bookmarkEnd w:id="0"/>
      <w:r>
        <w:rPr>
          <w:rFonts w:hint="eastAsia" w:ascii="Times New Roman" w:hAnsi="Times New Roman" w:cs="Times New Roman"/>
          <w:color w:val="auto"/>
          <w:sz w:val="32"/>
          <w:szCs w:val="32"/>
          <w:shd w:val="clear" w:color="auto" w:fill="FFFFFF"/>
          <w:lang w:val="en-US" w:eastAsia="zh-CN" w:bidi="ar"/>
        </w:rPr>
        <w:t>落实首问责任制，强化政务服务，坚持把人民群众利益放在至高位置，“为群众服务、为企业服务”，全面推进“最多跑一次”和“民事代办”，规范便民服务中心管理，明确便民服务中心职责。</w:t>
      </w:r>
    </w:p>
    <w:p>
      <w:pPr>
        <w:numPr>
          <w:ilvl w:val="0"/>
          <w:numId w:val="0"/>
        </w:numPr>
        <w:spacing w:line="600" w:lineRule="exact"/>
        <w:ind w:firstLine="632" w:firstLineChars="200"/>
        <w:rPr>
          <w:rFonts w:hint="eastAsia" w:ascii="Times New Roman" w:hAnsi="Times New Roman" w:cs="Times New Roman"/>
          <w:color w:val="auto"/>
          <w:sz w:val="32"/>
          <w:szCs w:val="32"/>
          <w:shd w:val="clear" w:color="auto" w:fill="FFFFFF"/>
          <w:lang w:val="en-US" w:eastAsia="zh-CN" w:bidi="ar"/>
        </w:rPr>
      </w:pPr>
      <w:r>
        <w:rPr>
          <w:rFonts w:hint="eastAsia" w:cs="Times New Roman"/>
          <w:color w:val="auto"/>
          <w:sz w:val="32"/>
          <w:szCs w:val="32"/>
          <w:shd w:val="clear" w:color="auto" w:fill="FFFFFF"/>
          <w:lang w:val="en-US" w:eastAsia="zh-CN" w:bidi="ar"/>
        </w:rPr>
        <w:t>6.</w:t>
      </w:r>
      <w:r>
        <w:rPr>
          <w:rFonts w:hint="eastAsia" w:ascii="Times New Roman" w:hAnsi="Times New Roman" w:cs="Times New Roman"/>
          <w:color w:val="auto"/>
          <w:sz w:val="32"/>
          <w:szCs w:val="32"/>
          <w:shd w:val="clear" w:color="auto" w:fill="FFFFFF"/>
          <w:lang w:val="en-US" w:eastAsia="zh-CN" w:bidi="ar"/>
        </w:rPr>
        <w:t>巩固好舒家河下清土地长效耕种工作，按时按质完成土地流出恢复任务</w:t>
      </w:r>
      <w:r>
        <w:rPr>
          <w:rFonts w:hint="eastAsia" w:cs="Times New Roman"/>
          <w:color w:val="auto"/>
          <w:sz w:val="32"/>
          <w:szCs w:val="32"/>
          <w:shd w:val="clear" w:color="auto" w:fill="FFFFFF"/>
          <w:lang w:val="en-US" w:eastAsia="zh-CN" w:bidi="ar"/>
        </w:rPr>
        <w:t>，</w:t>
      </w:r>
      <w:r>
        <w:rPr>
          <w:rFonts w:hint="eastAsia" w:ascii="Times New Roman" w:hAnsi="Times New Roman" w:cs="Times New Roman"/>
          <w:color w:val="auto"/>
          <w:sz w:val="32"/>
          <w:szCs w:val="32"/>
          <w:shd w:val="clear" w:color="auto" w:fill="FFFFFF"/>
          <w:lang w:val="en-US" w:eastAsia="zh-CN" w:bidi="ar"/>
        </w:rPr>
        <w:t>耕地保护全面实施“田长制”，切实落实“将饭碗端在自己手上”，提升撂荒地整治和耕地“进出平衡”</w:t>
      </w:r>
      <w:r>
        <w:rPr>
          <w:rFonts w:hint="eastAsia" w:cs="Times New Roman"/>
          <w:color w:val="auto"/>
          <w:sz w:val="32"/>
          <w:szCs w:val="32"/>
          <w:shd w:val="clear" w:color="auto" w:fill="FFFFFF"/>
          <w:lang w:val="en-US" w:eastAsia="zh-CN" w:bidi="ar"/>
        </w:rPr>
        <w:t>，</w:t>
      </w:r>
      <w:r>
        <w:rPr>
          <w:rFonts w:hint="eastAsia" w:ascii="Times New Roman" w:hAnsi="Times New Roman" w:cs="Times New Roman"/>
          <w:color w:val="auto"/>
          <w:sz w:val="32"/>
          <w:szCs w:val="32"/>
          <w:shd w:val="clear" w:color="auto" w:fill="FFFFFF"/>
          <w:lang w:val="en-US" w:eastAsia="zh-CN" w:bidi="ar"/>
        </w:rPr>
        <w:t>巩固好撂荒地复垦和种植成果</w:t>
      </w:r>
      <w:r>
        <w:rPr>
          <w:rFonts w:hint="eastAsia" w:cs="Times New Roman"/>
          <w:color w:val="auto"/>
          <w:sz w:val="32"/>
          <w:szCs w:val="32"/>
          <w:shd w:val="clear" w:color="auto" w:fill="FFFFFF"/>
          <w:lang w:val="en-US" w:eastAsia="zh-CN" w:bidi="ar"/>
        </w:rPr>
        <w:t>。</w:t>
      </w:r>
    </w:p>
    <w:p>
      <w:pPr>
        <w:spacing w:line="600" w:lineRule="exact"/>
        <w:ind w:firstLine="632" w:firstLineChars="200"/>
        <w:rPr>
          <w:rFonts w:hint="eastAsia" w:ascii="Times New Roman" w:hAnsi="Times New Roman" w:cs="Times New Roman"/>
          <w:color w:val="auto"/>
          <w:sz w:val="32"/>
          <w:szCs w:val="32"/>
          <w:shd w:val="clear" w:color="auto" w:fill="FFFFFF"/>
          <w:lang w:val="en-US" w:eastAsia="zh-CN" w:bidi="ar"/>
        </w:rPr>
      </w:pPr>
      <w:r>
        <w:rPr>
          <w:rFonts w:hint="eastAsia" w:cs="Times New Roman"/>
          <w:color w:val="auto"/>
          <w:sz w:val="32"/>
          <w:szCs w:val="32"/>
          <w:shd w:val="clear" w:color="auto" w:fill="FFFFFF"/>
          <w:lang w:val="en-US" w:eastAsia="zh-CN" w:bidi="ar"/>
        </w:rPr>
        <w:t>7</w:t>
      </w:r>
      <w:r>
        <w:rPr>
          <w:rFonts w:hint="eastAsia" w:ascii="Times New Roman" w:hAnsi="Times New Roman" w:cs="Times New Roman"/>
          <w:color w:val="auto"/>
          <w:sz w:val="32"/>
          <w:szCs w:val="32"/>
          <w:shd w:val="clear" w:color="auto" w:fill="FFFFFF"/>
          <w:lang w:val="en-US" w:eastAsia="zh-CN" w:bidi="ar"/>
        </w:rPr>
        <w:t>.做好安全稳定工作。继续落实常态化森林防灭火，加强开展河流、水库、塘堰等水域安全隐患排查工作，畅通群众诉求渠道，狠抓食品安全日常监管等工作，千方百计保障群众生命和财产安全。</w:t>
      </w:r>
    </w:p>
    <w:p>
      <w:pPr>
        <w:spacing w:line="600" w:lineRule="exact"/>
        <w:ind w:firstLine="632" w:firstLineChars="200"/>
        <w:rPr>
          <w:rFonts w:hint="eastAsia" w:ascii="Times New Roman" w:hAnsi="Times New Roman" w:cs="Times New Roman"/>
          <w:color w:val="auto"/>
          <w:sz w:val="32"/>
          <w:szCs w:val="32"/>
          <w:shd w:val="clear" w:color="auto" w:fill="FFFFFF"/>
          <w:lang w:val="en-US" w:eastAsia="zh-CN" w:bidi="ar"/>
        </w:rPr>
      </w:pPr>
      <w:r>
        <w:rPr>
          <w:rFonts w:hint="eastAsia" w:cs="Times New Roman"/>
          <w:color w:val="auto"/>
          <w:sz w:val="32"/>
          <w:szCs w:val="32"/>
          <w:shd w:val="clear" w:color="auto" w:fill="FFFFFF"/>
          <w:lang w:val="en-US" w:eastAsia="zh-CN" w:bidi="ar"/>
        </w:rPr>
        <w:t>8</w:t>
      </w:r>
      <w:r>
        <w:rPr>
          <w:rFonts w:hint="eastAsia" w:ascii="Times New Roman" w:hAnsi="Times New Roman" w:cs="Times New Roman"/>
          <w:color w:val="auto"/>
          <w:sz w:val="32"/>
          <w:szCs w:val="32"/>
          <w:shd w:val="clear" w:color="auto" w:fill="FFFFFF"/>
          <w:lang w:val="en-US" w:eastAsia="zh-CN" w:bidi="ar"/>
        </w:rPr>
        <w:t>.做好7个安置小区管理特别是机制创新改革工作；积极包装、储备、争取项目资金</w:t>
      </w:r>
      <w:r>
        <w:rPr>
          <w:rFonts w:hint="eastAsia" w:cs="Times New Roman"/>
          <w:color w:val="auto"/>
          <w:sz w:val="32"/>
          <w:szCs w:val="32"/>
          <w:shd w:val="clear" w:color="auto" w:fill="FFFFFF"/>
          <w:lang w:val="en-US" w:eastAsia="zh-CN" w:bidi="ar"/>
        </w:rPr>
        <w:t>，</w:t>
      </w:r>
      <w:r>
        <w:rPr>
          <w:rFonts w:hint="eastAsia" w:ascii="Times New Roman" w:hAnsi="Times New Roman" w:cs="Times New Roman"/>
          <w:color w:val="auto"/>
          <w:sz w:val="32"/>
          <w:szCs w:val="32"/>
          <w:shd w:val="clear" w:color="auto" w:fill="FFFFFF"/>
          <w:lang w:val="en-US" w:eastAsia="zh-CN" w:bidi="ar"/>
        </w:rPr>
        <w:t>解决安置小区基础设施差、安全隐患突出的问题</w:t>
      </w:r>
      <w:r>
        <w:rPr>
          <w:rFonts w:hint="eastAsia" w:cs="Times New Roman"/>
          <w:color w:val="auto"/>
          <w:sz w:val="32"/>
          <w:szCs w:val="32"/>
          <w:shd w:val="clear" w:color="auto" w:fill="FFFFFF"/>
          <w:lang w:val="en-US" w:eastAsia="zh-CN" w:bidi="ar"/>
        </w:rPr>
        <w:t>；</w:t>
      </w:r>
      <w:r>
        <w:rPr>
          <w:rFonts w:hint="eastAsia" w:ascii="Times New Roman" w:hAnsi="Times New Roman" w:cs="Times New Roman"/>
          <w:color w:val="auto"/>
          <w:sz w:val="32"/>
          <w:szCs w:val="32"/>
          <w:shd w:val="clear" w:color="auto" w:fill="FFFFFF"/>
          <w:lang w:val="en-US" w:eastAsia="zh-CN" w:bidi="ar"/>
        </w:rPr>
        <w:t>探索18个商业小区物业“黑名单</w:t>
      </w:r>
      <w:r>
        <w:rPr>
          <w:rFonts w:hint="eastAsia" w:cs="Times New Roman"/>
          <w:color w:val="auto"/>
          <w:sz w:val="32"/>
          <w:szCs w:val="32"/>
          <w:shd w:val="clear" w:color="auto" w:fill="FFFFFF"/>
          <w:lang w:val="en-US" w:eastAsia="zh-CN" w:bidi="ar"/>
        </w:rPr>
        <w:t>”</w:t>
      </w:r>
      <w:r>
        <w:rPr>
          <w:rFonts w:hint="eastAsia" w:ascii="Times New Roman" w:hAnsi="Times New Roman" w:cs="Times New Roman"/>
          <w:color w:val="auto"/>
          <w:sz w:val="32"/>
          <w:szCs w:val="32"/>
          <w:shd w:val="clear" w:color="auto" w:fill="FFFFFF"/>
          <w:lang w:val="en-US" w:eastAsia="zh-CN" w:bidi="ar"/>
        </w:rPr>
        <w:t>制度</w:t>
      </w:r>
      <w:r>
        <w:rPr>
          <w:rFonts w:hint="eastAsia" w:cs="Times New Roman"/>
          <w:color w:val="auto"/>
          <w:sz w:val="32"/>
          <w:szCs w:val="32"/>
          <w:shd w:val="clear" w:color="auto" w:fill="FFFFFF"/>
          <w:lang w:val="en-US" w:eastAsia="zh-CN" w:bidi="ar"/>
        </w:rPr>
        <w:t>、</w:t>
      </w:r>
      <w:r>
        <w:rPr>
          <w:rFonts w:hint="eastAsia" w:ascii="Times New Roman" w:hAnsi="Times New Roman" w:cs="Times New Roman"/>
          <w:color w:val="auto"/>
          <w:sz w:val="32"/>
          <w:szCs w:val="32"/>
          <w:shd w:val="clear" w:color="auto" w:fill="FFFFFF"/>
          <w:lang w:val="en-US" w:eastAsia="zh-CN" w:bidi="ar"/>
        </w:rPr>
        <w:t>推进“最，美小区”、“最差小区”评比创建活动</w:t>
      </w:r>
      <w:r>
        <w:rPr>
          <w:rFonts w:hint="eastAsia" w:cs="Times New Roman"/>
          <w:color w:val="auto"/>
          <w:sz w:val="32"/>
          <w:szCs w:val="32"/>
          <w:shd w:val="clear" w:color="auto" w:fill="FFFFFF"/>
          <w:lang w:val="en-US" w:eastAsia="zh-CN" w:bidi="ar"/>
        </w:rPr>
        <w:t>，</w:t>
      </w:r>
      <w:r>
        <w:rPr>
          <w:rFonts w:hint="eastAsia" w:ascii="Times New Roman" w:hAnsi="Times New Roman" w:cs="Times New Roman"/>
          <w:color w:val="auto"/>
          <w:sz w:val="32"/>
          <w:szCs w:val="32"/>
          <w:shd w:val="clear" w:color="auto" w:fill="FFFFFF"/>
          <w:lang w:val="en-US" w:eastAsia="zh-CN" w:bidi="ar"/>
        </w:rPr>
        <w:t>根本解决业委会成立矛盾、物业纠纷层出不穷的问题</w:t>
      </w:r>
      <w:r>
        <w:rPr>
          <w:rFonts w:hint="eastAsia" w:cs="Times New Roman"/>
          <w:color w:val="auto"/>
          <w:sz w:val="32"/>
          <w:szCs w:val="32"/>
          <w:shd w:val="clear" w:color="auto" w:fill="FFFFFF"/>
          <w:lang w:val="en-US" w:eastAsia="zh-CN" w:bidi="ar"/>
        </w:rPr>
        <w:t>；</w:t>
      </w:r>
      <w:r>
        <w:rPr>
          <w:rFonts w:hint="eastAsia" w:ascii="Times New Roman" w:hAnsi="Times New Roman" w:cs="Times New Roman"/>
          <w:color w:val="auto"/>
          <w:sz w:val="32"/>
          <w:szCs w:val="32"/>
          <w:shd w:val="clear" w:color="auto" w:fill="FFFFFF"/>
          <w:lang w:val="en-US" w:eastAsia="zh-CN" w:bidi="ar"/>
        </w:rPr>
        <w:t>做好文明城市复检、国卫复审等工作。</w:t>
      </w:r>
    </w:p>
    <w:p>
      <w:pPr>
        <w:spacing w:line="600" w:lineRule="exact"/>
        <w:ind w:firstLine="632" w:firstLineChars="200"/>
        <w:rPr>
          <w:rFonts w:hint="eastAsia" w:ascii="黑体" w:hAnsi="黑体" w:eastAsia="黑体"/>
        </w:rPr>
      </w:pPr>
      <w:r>
        <w:rPr>
          <w:rFonts w:ascii="黑体" w:hAnsi="黑体" w:eastAsia="黑体"/>
        </w:rPr>
        <w:t>三、收支预算情况</w:t>
      </w:r>
      <w:r>
        <w:rPr>
          <w:rFonts w:hint="eastAsia" w:ascii="黑体" w:hAnsi="黑体" w:eastAsia="黑体"/>
        </w:rPr>
        <w:t>说明</w:t>
      </w:r>
    </w:p>
    <w:p>
      <w:pPr>
        <w:spacing w:line="600" w:lineRule="exact"/>
        <w:ind w:firstLine="632" w:firstLineChars="200"/>
        <w:rPr>
          <w:rFonts w:hint="eastAsia"/>
          <w:highlight w:val="none"/>
          <w:lang w:val="en-US" w:eastAsia="zh-CN"/>
        </w:rPr>
      </w:pPr>
      <w:r>
        <w:rPr>
          <w:rFonts w:hint="eastAsia"/>
        </w:rPr>
        <w:t>按照综合预算的原则，</w:t>
      </w:r>
      <w:r>
        <w:rPr>
          <w:rFonts w:hint="eastAsia"/>
          <w:color w:val="auto"/>
          <w:lang w:val="en-US" w:eastAsia="zh-CN"/>
        </w:rPr>
        <w:t>西宁街道</w:t>
      </w:r>
      <w:r>
        <w:rPr>
          <w:rFonts w:hint="eastAsia"/>
        </w:rPr>
        <w:t>所有收入和支出均纳入部门预算管理。收入包括：一般公共预算拨款收入</w:t>
      </w:r>
      <w:r>
        <w:rPr>
          <w:rFonts w:hint="eastAsia"/>
          <w:highlight w:val="none"/>
          <w:lang w:val="en-US" w:eastAsia="zh-CN"/>
        </w:rPr>
        <w:t>2327.7</w:t>
      </w:r>
      <w:r>
        <w:rPr>
          <w:rFonts w:hint="eastAsia"/>
          <w:lang w:val="en-US" w:eastAsia="zh-CN"/>
        </w:rPr>
        <w:t>万元</w:t>
      </w:r>
      <w:r>
        <w:rPr>
          <w:rFonts w:hint="eastAsia"/>
        </w:rPr>
        <w:t>、政府性基金预算拨款收入</w:t>
      </w:r>
      <w:r>
        <w:rPr>
          <w:rFonts w:hint="eastAsia"/>
          <w:lang w:val="en-US" w:eastAsia="zh-CN"/>
        </w:rPr>
        <w:t>50万元</w:t>
      </w:r>
      <w:r>
        <w:rPr>
          <w:rFonts w:hint="eastAsia"/>
          <w:lang w:eastAsia="zh-CN"/>
        </w:rPr>
        <w:t>、</w:t>
      </w:r>
      <w:r>
        <w:rPr>
          <w:rFonts w:hint="eastAsia"/>
        </w:rPr>
        <w:t>上年结转</w:t>
      </w:r>
      <w:r>
        <w:rPr>
          <w:rFonts w:hint="eastAsia"/>
          <w:lang w:val="en-US" w:eastAsia="zh-CN"/>
        </w:rPr>
        <w:t>492.52万元</w:t>
      </w:r>
      <w:r>
        <w:rPr>
          <w:rFonts w:hint="eastAsia"/>
        </w:rPr>
        <w:t>；支出包括：一般公共服务支出10</w:t>
      </w:r>
      <w:r>
        <w:rPr>
          <w:rFonts w:hint="eastAsia"/>
          <w:lang w:val="en-US" w:eastAsia="zh-CN"/>
        </w:rPr>
        <w:t>50.33万元</w:t>
      </w:r>
      <w:r>
        <w:rPr>
          <w:rFonts w:hint="eastAsia"/>
        </w:rPr>
        <w:t>、社会保障和就业支出</w:t>
      </w:r>
      <w:r>
        <w:rPr>
          <w:rFonts w:hint="eastAsia"/>
          <w:lang w:val="en-US" w:eastAsia="zh-CN"/>
        </w:rPr>
        <w:t>224.81万元</w:t>
      </w:r>
      <w:r>
        <w:rPr>
          <w:rFonts w:hint="eastAsia"/>
          <w:lang w:eastAsia="zh-CN"/>
        </w:rPr>
        <w:t>、卫生健康支出</w:t>
      </w:r>
      <w:r>
        <w:rPr>
          <w:rFonts w:hint="eastAsia"/>
          <w:lang w:val="en-US" w:eastAsia="zh-CN"/>
        </w:rPr>
        <w:t>54.73万元</w:t>
      </w:r>
      <w:r>
        <w:rPr>
          <w:rFonts w:hint="eastAsia"/>
          <w:lang w:eastAsia="zh-CN"/>
        </w:rPr>
        <w:t>、城乡社区支出</w:t>
      </w:r>
      <w:r>
        <w:rPr>
          <w:rFonts w:hint="eastAsia"/>
          <w:lang w:val="en-US" w:eastAsia="zh-CN"/>
        </w:rPr>
        <w:t>542.52万元</w:t>
      </w:r>
      <w:r>
        <w:rPr>
          <w:rFonts w:hint="eastAsia"/>
          <w:lang w:eastAsia="zh-CN"/>
        </w:rPr>
        <w:t>、农林水支出</w:t>
      </w:r>
      <w:r>
        <w:rPr>
          <w:rFonts w:hint="eastAsia"/>
          <w:highlight w:val="none"/>
          <w:lang w:val="en-US" w:eastAsia="zh-CN"/>
        </w:rPr>
        <w:t>375.64</w:t>
      </w:r>
      <w:r>
        <w:rPr>
          <w:rFonts w:hint="eastAsia"/>
          <w:lang w:val="en-US" w:eastAsia="zh-CN"/>
        </w:rPr>
        <w:t>万元</w:t>
      </w:r>
      <w:r>
        <w:rPr>
          <w:rFonts w:hint="eastAsia"/>
          <w:lang w:eastAsia="zh-CN"/>
        </w:rPr>
        <w:t>、住房保障支出</w:t>
      </w:r>
      <w:r>
        <w:rPr>
          <w:rFonts w:hint="eastAsia"/>
          <w:lang w:val="en-US" w:eastAsia="zh-CN"/>
        </w:rPr>
        <w:t>581.2万元、</w:t>
      </w:r>
      <w:r>
        <w:rPr>
          <w:rFonts w:hint="eastAsia"/>
          <w:highlight w:val="none"/>
          <w:lang w:val="en-US" w:eastAsia="zh-CN"/>
        </w:rPr>
        <w:t>灾害防治及应急管理支出41万元。</w:t>
      </w:r>
    </w:p>
    <w:p>
      <w:pPr>
        <w:spacing w:line="600" w:lineRule="exact"/>
        <w:ind w:firstLine="632" w:firstLineChars="200"/>
        <w:rPr>
          <w:rFonts w:hint="eastAsia"/>
        </w:rPr>
      </w:pPr>
      <w:r>
        <w:rPr>
          <w:rFonts w:hint="eastAsia"/>
          <w:color w:val="auto"/>
          <w:u w:val="none"/>
          <w:lang w:val="en-US" w:eastAsia="zh-CN"/>
        </w:rPr>
        <w:t>西宁街道</w:t>
      </w:r>
      <w:r>
        <w:rPr>
          <w:rFonts w:hint="eastAsia"/>
        </w:rPr>
        <w:t>20</w:t>
      </w:r>
      <w:r>
        <w:rPr>
          <w:rFonts w:hint="eastAsia"/>
          <w:lang w:val="en-US" w:eastAsia="zh-CN"/>
        </w:rPr>
        <w:t>24</w:t>
      </w:r>
      <w:r>
        <w:rPr>
          <w:rFonts w:hint="eastAsia"/>
        </w:rPr>
        <w:t>年收支总预算</w:t>
      </w:r>
      <w:r>
        <w:rPr>
          <w:rFonts w:hint="eastAsia" w:ascii="楷体_GB2312" w:eastAsia="楷体_GB2312"/>
          <w:lang w:val="en-US" w:eastAsia="zh-CN"/>
        </w:rPr>
        <w:t>2870.22</w:t>
      </w:r>
      <w:r>
        <w:rPr>
          <w:rFonts w:hint="eastAsia"/>
        </w:rPr>
        <w:t>万元</w:t>
      </w:r>
      <w:r>
        <w:rPr>
          <w:rFonts w:hint="eastAsia"/>
          <w:lang w:eastAsia="zh-CN"/>
        </w:rPr>
        <w:t>，</w:t>
      </w:r>
      <w:r>
        <w:rPr>
          <w:rFonts w:hint="eastAsia"/>
        </w:rPr>
        <w:t>较20</w:t>
      </w:r>
      <w:r>
        <w:rPr>
          <w:rFonts w:hint="eastAsia"/>
          <w:lang w:val="en-US" w:eastAsia="zh-CN"/>
        </w:rPr>
        <w:t>23</w:t>
      </w:r>
      <w:r>
        <w:rPr>
          <w:rFonts w:hint="eastAsia"/>
        </w:rPr>
        <w:t>年收支预算总数</w:t>
      </w:r>
      <w:r>
        <w:rPr>
          <w:rFonts w:hint="eastAsia"/>
          <w:color w:val="auto"/>
          <w:u w:val="none"/>
        </w:rPr>
        <w:t>增加</w:t>
      </w:r>
      <w:r>
        <w:rPr>
          <w:rFonts w:hint="eastAsia" w:ascii="楷体_GB2312" w:eastAsia="楷体_GB2312"/>
          <w:lang w:val="en-US" w:eastAsia="zh-CN"/>
        </w:rPr>
        <w:t>280.86</w:t>
      </w:r>
      <w:r>
        <w:rPr>
          <w:rFonts w:hint="eastAsia"/>
        </w:rPr>
        <w:t>万元，主要是</w:t>
      </w:r>
      <w:r>
        <w:rPr>
          <w:rFonts w:hint="eastAsia"/>
          <w:lang w:val="en-US" w:eastAsia="zh-CN"/>
        </w:rPr>
        <w:t>一般公共预算收支增加，基金预算收支增加</w:t>
      </w:r>
      <w:r>
        <w:rPr>
          <w:rFonts w:hint="eastAsia"/>
        </w:rPr>
        <w:t>。</w:t>
      </w:r>
    </w:p>
    <w:p>
      <w:pPr>
        <w:spacing w:line="600" w:lineRule="exact"/>
        <w:ind w:firstLine="632" w:firstLineChars="200"/>
        <w:rPr>
          <w:rFonts w:hint="eastAsia" w:ascii="楷体_GB2312" w:eastAsia="楷体_GB2312"/>
          <w:b/>
        </w:rPr>
      </w:pPr>
      <w:r>
        <w:rPr>
          <w:rFonts w:hint="eastAsia" w:ascii="楷体_GB2312" w:eastAsia="楷体_GB2312"/>
          <w:b/>
        </w:rPr>
        <w:t>（一）收入预算情况</w:t>
      </w:r>
    </w:p>
    <w:p>
      <w:pPr>
        <w:spacing w:line="600" w:lineRule="exact"/>
        <w:ind w:firstLine="632" w:firstLineChars="200"/>
        <w:rPr>
          <w:rFonts w:hint="eastAsia"/>
        </w:rPr>
      </w:pPr>
      <w:r>
        <w:rPr>
          <w:rFonts w:hint="eastAsia"/>
          <w:color w:val="auto"/>
          <w:u w:val="none"/>
          <w:lang w:val="en-US" w:eastAsia="zh-CN"/>
        </w:rPr>
        <w:t>西宁街道</w:t>
      </w:r>
      <w:r>
        <w:rPr>
          <w:rFonts w:hint="eastAsia"/>
        </w:rPr>
        <w:t>20</w:t>
      </w:r>
      <w:r>
        <w:rPr>
          <w:rFonts w:hint="eastAsia"/>
          <w:lang w:val="en-US" w:eastAsia="zh-CN"/>
        </w:rPr>
        <w:t>24</w:t>
      </w:r>
      <w:r>
        <w:rPr>
          <w:rFonts w:hint="eastAsia"/>
        </w:rPr>
        <w:t>年收入预算</w:t>
      </w:r>
      <w:r>
        <w:rPr>
          <w:rFonts w:hint="eastAsia" w:ascii="楷体_GB2312" w:eastAsia="楷体_GB2312"/>
          <w:lang w:val="en-US" w:eastAsia="zh-CN"/>
        </w:rPr>
        <w:t>2870.22</w:t>
      </w:r>
      <w:r>
        <w:rPr>
          <w:rFonts w:hint="eastAsia"/>
        </w:rPr>
        <w:t>万元，其中：上年结转</w:t>
      </w:r>
      <w:r>
        <w:rPr>
          <w:rFonts w:hint="eastAsia" w:ascii="楷体_GB2312" w:eastAsia="楷体_GB2312"/>
          <w:lang w:val="en-US" w:eastAsia="zh-CN"/>
        </w:rPr>
        <w:t>492.52</w:t>
      </w:r>
      <w:r>
        <w:rPr>
          <w:rFonts w:hint="eastAsia"/>
        </w:rPr>
        <w:t>万元，占</w:t>
      </w:r>
      <w:r>
        <w:rPr>
          <w:rFonts w:hint="eastAsia" w:ascii="楷体_GB2312" w:eastAsia="楷体_GB2312"/>
          <w:lang w:val="en-US" w:eastAsia="zh-CN"/>
        </w:rPr>
        <w:t>17.16</w:t>
      </w:r>
      <w:r>
        <w:rPr>
          <w:rFonts w:hint="eastAsia"/>
        </w:rPr>
        <w:t>%；一般公共预算拨款收入</w:t>
      </w:r>
      <w:r>
        <w:rPr>
          <w:rFonts w:hint="eastAsia"/>
          <w:highlight w:val="none"/>
          <w:lang w:val="en-US" w:eastAsia="zh-CN"/>
        </w:rPr>
        <w:t>2327.7</w:t>
      </w:r>
      <w:r>
        <w:rPr>
          <w:rFonts w:hint="eastAsia"/>
        </w:rPr>
        <w:t>万元，占</w:t>
      </w:r>
      <w:r>
        <w:rPr>
          <w:rFonts w:hint="eastAsia" w:ascii="楷体_GB2312" w:eastAsia="楷体_GB2312"/>
          <w:lang w:val="en-US" w:eastAsia="zh-CN"/>
        </w:rPr>
        <w:t>81.1</w:t>
      </w:r>
      <w:r>
        <w:rPr>
          <w:rFonts w:hint="eastAsia"/>
        </w:rPr>
        <w:t>%；政府性基金预算拨款收入</w:t>
      </w:r>
      <w:r>
        <w:rPr>
          <w:rFonts w:hint="eastAsia"/>
          <w:lang w:val="en-US" w:eastAsia="zh-CN"/>
        </w:rPr>
        <w:t>50万元，</w:t>
      </w:r>
      <w:r>
        <w:rPr>
          <w:rFonts w:hint="eastAsia"/>
        </w:rPr>
        <w:t>占</w:t>
      </w:r>
      <w:r>
        <w:rPr>
          <w:rFonts w:hint="eastAsia"/>
          <w:lang w:val="en-US" w:eastAsia="zh-CN"/>
        </w:rPr>
        <w:t>1.74</w:t>
      </w:r>
      <w:r>
        <w:rPr>
          <w:rFonts w:hint="eastAsia"/>
        </w:rPr>
        <w:t>%。</w:t>
      </w:r>
    </w:p>
    <w:p>
      <w:pPr>
        <w:spacing w:line="600" w:lineRule="exact"/>
        <w:ind w:firstLine="632" w:firstLineChars="200"/>
        <w:rPr>
          <w:rFonts w:hint="eastAsia" w:ascii="楷体_GB2312" w:eastAsia="楷体_GB2312"/>
          <w:b/>
        </w:rPr>
      </w:pPr>
      <w:r>
        <w:rPr>
          <w:rFonts w:hint="eastAsia" w:ascii="楷体_GB2312" w:eastAsia="楷体_GB2312"/>
          <w:b/>
        </w:rPr>
        <w:t>（二）支出预算情况</w:t>
      </w:r>
    </w:p>
    <w:p>
      <w:pPr>
        <w:spacing w:line="600" w:lineRule="exact"/>
        <w:ind w:firstLine="632" w:firstLineChars="200"/>
        <w:rPr>
          <w:rFonts w:hint="eastAsia"/>
        </w:rPr>
      </w:pPr>
      <w:r>
        <w:rPr>
          <w:rFonts w:hint="eastAsia"/>
          <w:color w:val="auto"/>
          <w:u w:val="none"/>
          <w:lang w:val="en-US" w:eastAsia="zh-CN"/>
        </w:rPr>
        <w:t>西宁街道</w:t>
      </w:r>
      <w:r>
        <w:rPr>
          <w:rFonts w:hint="eastAsia"/>
        </w:rPr>
        <w:t>20</w:t>
      </w:r>
      <w:r>
        <w:rPr>
          <w:rFonts w:hint="eastAsia"/>
          <w:lang w:val="en-US" w:eastAsia="zh-CN"/>
        </w:rPr>
        <w:t>24</w:t>
      </w:r>
      <w:r>
        <w:rPr>
          <w:rFonts w:hint="eastAsia"/>
        </w:rPr>
        <w:t>年支出预算</w:t>
      </w:r>
      <w:r>
        <w:rPr>
          <w:rFonts w:hint="eastAsia" w:ascii="楷体_GB2312" w:eastAsia="楷体_GB2312"/>
          <w:highlight w:val="none"/>
          <w:lang w:val="en-US" w:eastAsia="zh-CN"/>
        </w:rPr>
        <w:t>2870.22</w:t>
      </w:r>
      <w:r>
        <w:rPr>
          <w:rFonts w:hint="eastAsia"/>
        </w:rPr>
        <w:t>万元，其中：基本支出</w:t>
      </w:r>
      <w:r>
        <w:rPr>
          <w:rFonts w:hint="eastAsia" w:ascii="楷体_GB2312" w:eastAsia="楷体_GB2312"/>
        </w:rPr>
        <w:t>1</w:t>
      </w:r>
      <w:r>
        <w:rPr>
          <w:rFonts w:hint="eastAsia" w:ascii="楷体_GB2312" w:eastAsia="楷体_GB2312"/>
          <w:lang w:val="en-US" w:eastAsia="zh-CN"/>
        </w:rPr>
        <w:t>445.72</w:t>
      </w:r>
      <w:r>
        <w:rPr>
          <w:rFonts w:hint="eastAsia"/>
        </w:rPr>
        <w:t>万元，占</w:t>
      </w:r>
      <w:r>
        <w:rPr>
          <w:rFonts w:hint="eastAsia" w:ascii="楷体_GB2312" w:eastAsia="楷体_GB2312"/>
          <w:lang w:val="en-US" w:eastAsia="zh-CN"/>
        </w:rPr>
        <w:t>50.3</w:t>
      </w:r>
      <w:r>
        <w:rPr>
          <w:rFonts w:hint="eastAsia"/>
        </w:rPr>
        <w:t>%；项目支出</w:t>
      </w:r>
      <w:r>
        <w:rPr>
          <w:rFonts w:hint="eastAsia" w:ascii="楷体_GB2312" w:eastAsia="楷体_GB2312"/>
          <w:lang w:val="en-US" w:eastAsia="zh-CN"/>
        </w:rPr>
        <w:t>1424.5</w:t>
      </w:r>
      <w:r>
        <w:rPr>
          <w:rFonts w:hint="eastAsia"/>
        </w:rPr>
        <w:t>万元，占</w:t>
      </w:r>
      <w:r>
        <w:rPr>
          <w:rFonts w:hint="eastAsia" w:ascii="楷体_GB2312" w:eastAsia="楷体_GB2312"/>
          <w:lang w:val="en-US" w:eastAsia="zh-CN"/>
        </w:rPr>
        <w:t>49.7</w:t>
      </w:r>
      <w:r>
        <w:rPr>
          <w:rFonts w:hint="eastAsia"/>
        </w:rPr>
        <w:t>%。</w:t>
      </w:r>
    </w:p>
    <w:p>
      <w:pPr>
        <w:spacing w:line="600" w:lineRule="exact"/>
        <w:ind w:firstLine="632" w:firstLineChars="200"/>
        <w:rPr>
          <w:rFonts w:hint="eastAsia" w:ascii="黑体" w:hAnsi="黑体" w:eastAsia="黑体"/>
        </w:rPr>
      </w:pPr>
      <w:r>
        <w:rPr>
          <w:rFonts w:ascii="黑体" w:hAnsi="黑体" w:eastAsia="黑体"/>
        </w:rPr>
        <w:t>四、财政拨款</w:t>
      </w:r>
      <w:r>
        <w:rPr>
          <w:rFonts w:hint="eastAsia" w:ascii="黑体" w:hAnsi="黑体" w:eastAsia="黑体"/>
        </w:rPr>
        <w:t>收支</w:t>
      </w:r>
      <w:r>
        <w:rPr>
          <w:rFonts w:ascii="黑体" w:hAnsi="黑体" w:eastAsia="黑体"/>
        </w:rPr>
        <w:t>预算情况</w:t>
      </w:r>
      <w:r>
        <w:rPr>
          <w:rFonts w:hint="eastAsia" w:ascii="黑体" w:hAnsi="黑体" w:eastAsia="黑体"/>
        </w:rPr>
        <w:t>说明</w:t>
      </w:r>
    </w:p>
    <w:p>
      <w:pPr>
        <w:spacing w:line="600" w:lineRule="exact"/>
        <w:ind w:firstLine="632" w:firstLineChars="200"/>
      </w:pPr>
      <w:r>
        <w:rPr>
          <w:rFonts w:hint="eastAsia"/>
          <w:color w:val="auto"/>
          <w:u w:val="none"/>
          <w:lang w:val="en-US" w:eastAsia="zh-CN"/>
        </w:rPr>
        <w:t>西宁街道</w:t>
      </w:r>
      <w:r>
        <w:rPr>
          <w:rFonts w:hint="eastAsia"/>
        </w:rPr>
        <w:t>20</w:t>
      </w:r>
      <w:r>
        <w:rPr>
          <w:rFonts w:hint="eastAsia"/>
          <w:lang w:val="en-US" w:eastAsia="zh-CN"/>
        </w:rPr>
        <w:t>24年收支总预算</w:t>
      </w:r>
      <w:r>
        <w:rPr>
          <w:rFonts w:hint="eastAsia" w:ascii="楷体_GB2312" w:eastAsia="楷体_GB2312"/>
          <w:lang w:val="en-US" w:eastAsia="zh-CN"/>
        </w:rPr>
        <w:t>2870.22</w:t>
      </w:r>
      <w:r>
        <w:rPr>
          <w:rFonts w:hint="eastAsia"/>
          <w:lang w:val="en-US" w:eastAsia="zh-CN"/>
        </w:rPr>
        <w:t>万元，</w:t>
      </w:r>
      <w:r>
        <w:rPr>
          <w:rFonts w:hint="eastAsia"/>
        </w:rPr>
        <w:t>较20</w:t>
      </w:r>
      <w:r>
        <w:rPr>
          <w:rFonts w:hint="eastAsia"/>
          <w:lang w:val="en-US" w:eastAsia="zh-CN"/>
        </w:rPr>
        <w:t>23</w:t>
      </w:r>
      <w:r>
        <w:rPr>
          <w:rFonts w:hint="eastAsia"/>
        </w:rPr>
        <w:t>年收支预算总数</w:t>
      </w:r>
      <w:r>
        <w:rPr>
          <w:rFonts w:hint="eastAsia"/>
          <w:color w:val="auto"/>
          <w:u w:val="none"/>
        </w:rPr>
        <w:t>增加</w:t>
      </w:r>
      <w:r>
        <w:rPr>
          <w:rFonts w:hint="eastAsia" w:ascii="楷体_GB2312" w:eastAsia="楷体_GB2312"/>
          <w:lang w:val="en-US" w:eastAsia="zh-CN"/>
        </w:rPr>
        <w:t>280.86</w:t>
      </w:r>
      <w:r>
        <w:rPr>
          <w:rFonts w:hint="eastAsia"/>
        </w:rPr>
        <w:t>万元，主要是</w:t>
      </w:r>
      <w:r>
        <w:rPr>
          <w:rFonts w:hint="eastAsia"/>
          <w:lang w:val="en-US" w:eastAsia="zh-CN"/>
        </w:rPr>
        <w:t>一般公共预算收支增加，基金预算收支增加</w:t>
      </w:r>
      <w:r>
        <w:rPr>
          <w:rFonts w:hint="eastAsia"/>
        </w:rPr>
        <w:t>。</w:t>
      </w:r>
    </w:p>
    <w:p>
      <w:pPr>
        <w:spacing w:line="600" w:lineRule="exact"/>
        <w:ind w:firstLine="632" w:firstLineChars="200"/>
        <w:rPr>
          <w:rFonts w:hint="eastAsia"/>
          <w:highlight w:val="none"/>
          <w:lang w:val="en-US" w:eastAsia="zh-CN"/>
        </w:rPr>
      </w:pPr>
      <w:r>
        <w:rPr>
          <w:rFonts w:hint="eastAsia"/>
        </w:rPr>
        <w:t>收入包括：本年</w:t>
      </w:r>
      <w:r>
        <w:rPr>
          <w:rFonts w:hint="eastAsia"/>
          <w:lang w:val="en-US" w:eastAsia="zh-CN"/>
        </w:rPr>
        <w:t>一</w:t>
      </w:r>
      <w:r>
        <w:rPr>
          <w:rFonts w:hint="eastAsia"/>
        </w:rPr>
        <w:t>般公共预算拨款收入</w:t>
      </w:r>
      <w:r>
        <w:rPr>
          <w:rFonts w:hint="eastAsia"/>
          <w:lang w:val="en-US" w:eastAsia="zh-CN"/>
        </w:rPr>
        <w:t>2327.7万元</w:t>
      </w:r>
      <w:r>
        <w:rPr>
          <w:rFonts w:hint="eastAsia"/>
        </w:rPr>
        <w:t>、政府性基金预算拨款收入</w:t>
      </w:r>
      <w:r>
        <w:rPr>
          <w:rFonts w:hint="eastAsia"/>
          <w:lang w:val="en-US" w:eastAsia="zh-CN"/>
        </w:rPr>
        <w:t>50万元</w:t>
      </w:r>
      <w:r>
        <w:rPr>
          <w:rFonts w:hint="eastAsia"/>
          <w:lang w:eastAsia="zh-CN"/>
        </w:rPr>
        <w:t>、</w:t>
      </w:r>
      <w:r>
        <w:rPr>
          <w:rFonts w:hint="eastAsia"/>
        </w:rPr>
        <w:t>上年结转</w:t>
      </w:r>
      <w:r>
        <w:rPr>
          <w:rFonts w:hint="eastAsia"/>
          <w:lang w:val="en-US" w:eastAsia="zh-CN"/>
        </w:rPr>
        <w:t>492.52万元</w:t>
      </w:r>
      <w:r>
        <w:rPr>
          <w:rFonts w:hint="eastAsia"/>
        </w:rPr>
        <w:t>；</w:t>
      </w:r>
      <w:r>
        <w:rPr>
          <w:rFonts w:hint="eastAsia"/>
          <w:highlight w:val="none"/>
        </w:rPr>
        <w:t>支出包括：一般公共服务支出10</w:t>
      </w:r>
      <w:r>
        <w:rPr>
          <w:rFonts w:hint="eastAsia"/>
          <w:highlight w:val="none"/>
          <w:lang w:val="en-US" w:eastAsia="zh-CN"/>
        </w:rPr>
        <w:t>50.33万元</w:t>
      </w:r>
      <w:r>
        <w:rPr>
          <w:rFonts w:hint="eastAsia"/>
          <w:highlight w:val="none"/>
        </w:rPr>
        <w:t>、社会保障和就业支出</w:t>
      </w:r>
      <w:r>
        <w:rPr>
          <w:rFonts w:hint="eastAsia"/>
          <w:highlight w:val="none"/>
          <w:lang w:val="en-US" w:eastAsia="zh-CN"/>
        </w:rPr>
        <w:t>224.81万元</w:t>
      </w:r>
      <w:r>
        <w:rPr>
          <w:rFonts w:hint="eastAsia"/>
          <w:highlight w:val="none"/>
          <w:lang w:eastAsia="zh-CN"/>
        </w:rPr>
        <w:t>、卫生健康支出</w:t>
      </w:r>
      <w:r>
        <w:rPr>
          <w:rFonts w:hint="eastAsia"/>
          <w:highlight w:val="none"/>
          <w:lang w:val="en-US" w:eastAsia="zh-CN"/>
        </w:rPr>
        <w:t>54.73万元</w:t>
      </w:r>
      <w:r>
        <w:rPr>
          <w:rFonts w:hint="eastAsia"/>
          <w:highlight w:val="none"/>
          <w:lang w:eastAsia="zh-CN"/>
        </w:rPr>
        <w:t>、城乡社区支出</w:t>
      </w:r>
      <w:r>
        <w:rPr>
          <w:rFonts w:hint="eastAsia"/>
          <w:highlight w:val="none"/>
          <w:lang w:val="en-US" w:eastAsia="zh-CN"/>
        </w:rPr>
        <w:t>542.52万元</w:t>
      </w:r>
      <w:r>
        <w:rPr>
          <w:rFonts w:hint="eastAsia"/>
          <w:highlight w:val="none"/>
          <w:lang w:eastAsia="zh-CN"/>
        </w:rPr>
        <w:t>、农林水支出</w:t>
      </w:r>
      <w:r>
        <w:rPr>
          <w:rFonts w:hint="eastAsia"/>
          <w:highlight w:val="none"/>
          <w:lang w:val="en-US" w:eastAsia="zh-CN"/>
        </w:rPr>
        <w:t>375.64万元</w:t>
      </w:r>
      <w:r>
        <w:rPr>
          <w:rFonts w:hint="eastAsia"/>
          <w:highlight w:val="none"/>
          <w:lang w:eastAsia="zh-CN"/>
        </w:rPr>
        <w:t>、住房保障支出</w:t>
      </w:r>
      <w:r>
        <w:rPr>
          <w:rFonts w:hint="eastAsia"/>
          <w:highlight w:val="none"/>
          <w:lang w:val="en-US" w:eastAsia="zh-CN"/>
        </w:rPr>
        <w:t>581.2万元 ，灾害防治及应急管理支出41万元。</w:t>
      </w:r>
    </w:p>
    <w:p>
      <w:pPr>
        <w:spacing w:line="600" w:lineRule="exact"/>
        <w:ind w:firstLine="632" w:firstLineChars="200"/>
        <w:rPr>
          <w:rFonts w:hint="eastAsia" w:ascii="黑体" w:hAnsi="黑体" w:eastAsia="黑体"/>
        </w:rPr>
      </w:pPr>
      <w:r>
        <w:rPr>
          <w:rFonts w:hint="eastAsia" w:ascii="黑体" w:hAnsi="黑体" w:eastAsia="黑体"/>
        </w:rPr>
        <w:t>五、一般公共预算当年拨款情况说明</w:t>
      </w:r>
    </w:p>
    <w:p>
      <w:pPr>
        <w:spacing w:line="600" w:lineRule="exact"/>
        <w:ind w:firstLine="632" w:firstLineChars="200"/>
        <w:rPr>
          <w:rFonts w:hint="eastAsia" w:ascii="楷体_GB2312" w:eastAsia="楷体_GB2312"/>
          <w:b/>
        </w:rPr>
      </w:pPr>
      <w:r>
        <w:rPr>
          <w:rFonts w:hint="eastAsia" w:ascii="楷体_GB2312" w:eastAsia="楷体_GB2312"/>
          <w:b/>
        </w:rPr>
        <w:t>（一）一般公共预算当年拨款规模变化情况</w:t>
      </w:r>
    </w:p>
    <w:p>
      <w:pPr>
        <w:spacing w:line="600" w:lineRule="exact"/>
        <w:ind w:firstLine="632" w:firstLineChars="200"/>
      </w:pPr>
      <w:r>
        <w:rPr>
          <w:rFonts w:hint="eastAsia"/>
          <w:color w:val="auto"/>
          <w:u w:val="none"/>
          <w:lang w:val="en-US" w:eastAsia="zh-CN"/>
        </w:rPr>
        <w:t>西宁街道</w:t>
      </w:r>
      <w:r>
        <w:rPr>
          <w:rFonts w:hint="eastAsia"/>
        </w:rPr>
        <w:t>20</w:t>
      </w:r>
      <w:r>
        <w:rPr>
          <w:rFonts w:hint="eastAsia"/>
          <w:lang w:val="en-US" w:eastAsia="zh-CN"/>
        </w:rPr>
        <w:t>24</w:t>
      </w:r>
      <w:r>
        <w:rPr>
          <w:rFonts w:hint="eastAsia"/>
        </w:rPr>
        <w:t>年收支总预算</w:t>
      </w:r>
      <w:r>
        <w:rPr>
          <w:rFonts w:hint="eastAsia" w:ascii="楷体_GB2312" w:eastAsia="楷体_GB2312"/>
          <w:lang w:val="en-US" w:eastAsia="zh-CN"/>
        </w:rPr>
        <w:t>2870.22</w:t>
      </w:r>
      <w:r>
        <w:rPr>
          <w:rFonts w:hint="eastAsia"/>
        </w:rPr>
        <w:t>万元</w:t>
      </w:r>
      <w:r>
        <w:rPr>
          <w:rFonts w:hint="eastAsia"/>
          <w:lang w:eastAsia="zh-CN"/>
        </w:rPr>
        <w:t>，</w:t>
      </w:r>
      <w:r>
        <w:rPr>
          <w:rFonts w:hint="eastAsia"/>
        </w:rPr>
        <w:t>较20</w:t>
      </w:r>
      <w:r>
        <w:rPr>
          <w:rFonts w:hint="eastAsia"/>
          <w:lang w:val="en-US" w:eastAsia="zh-CN"/>
        </w:rPr>
        <w:t>23</w:t>
      </w:r>
      <w:r>
        <w:rPr>
          <w:rFonts w:hint="eastAsia"/>
        </w:rPr>
        <w:t>年收支预算总数</w:t>
      </w:r>
      <w:r>
        <w:rPr>
          <w:rFonts w:hint="eastAsia"/>
          <w:color w:val="auto"/>
          <w:u w:val="none"/>
        </w:rPr>
        <w:t>增加</w:t>
      </w:r>
      <w:r>
        <w:rPr>
          <w:rFonts w:hint="eastAsia" w:ascii="楷体_GB2312" w:eastAsia="楷体_GB2312"/>
          <w:lang w:val="en-US" w:eastAsia="zh-CN"/>
        </w:rPr>
        <w:t>280.86</w:t>
      </w:r>
      <w:r>
        <w:rPr>
          <w:rFonts w:hint="eastAsia"/>
        </w:rPr>
        <w:t>万元，主要是一般公共服务支出</w:t>
      </w:r>
      <w:r>
        <w:rPr>
          <w:rFonts w:hint="eastAsia"/>
          <w:lang w:val="en-US" w:eastAsia="zh-CN"/>
        </w:rPr>
        <w:t>人员及日常公用经费、项目支出增长</w:t>
      </w:r>
      <w:r>
        <w:rPr>
          <w:rFonts w:hint="eastAsia"/>
        </w:rPr>
        <w:t>。</w:t>
      </w:r>
    </w:p>
    <w:p>
      <w:pPr>
        <w:spacing w:line="600" w:lineRule="exact"/>
        <w:ind w:firstLine="632" w:firstLineChars="200"/>
        <w:rPr>
          <w:rFonts w:ascii="楷体_GB2312" w:eastAsia="楷体_GB2312"/>
          <w:b/>
        </w:rPr>
      </w:pPr>
      <w:r>
        <w:rPr>
          <w:rFonts w:hint="eastAsia" w:ascii="楷体_GB2312" w:eastAsia="楷体_GB2312"/>
          <w:b/>
        </w:rPr>
        <w:t>（二）一般公共预算当年拨款结构情况</w:t>
      </w:r>
    </w:p>
    <w:p>
      <w:pPr>
        <w:spacing w:line="600" w:lineRule="exact"/>
        <w:ind w:firstLine="632" w:firstLineChars="200"/>
        <w:rPr>
          <w:rFonts w:hint="eastAsia"/>
          <w:color w:val="auto"/>
          <w:highlight w:val="none"/>
        </w:rPr>
      </w:pPr>
      <w:r>
        <w:rPr>
          <w:rFonts w:hint="eastAsia"/>
          <w:color w:val="auto"/>
          <w:highlight w:val="none"/>
        </w:rPr>
        <w:t>一般公共服务支出</w:t>
      </w:r>
      <w:r>
        <w:rPr>
          <w:rFonts w:hint="eastAsia"/>
          <w:color w:val="auto"/>
          <w:highlight w:val="none"/>
          <w:lang w:val="en-US" w:eastAsia="zh-CN"/>
        </w:rPr>
        <w:t>1050.33</w:t>
      </w:r>
      <w:r>
        <w:rPr>
          <w:rFonts w:hint="eastAsia"/>
          <w:color w:val="auto"/>
          <w:highlight w:val="none"/>
        </w:rPr>
        <w:t>万元，占</w:t>
      </w:r>
      <w:r>
        <w:rPr>
          <w:rFonts w:hint="eastAsia" w:ascii="楷体_GB2312" w:eastAsia="楷体_GB2312"/>
          <w:highlight w:val="none"/>
          <w:lang w:val="en-US" w:eastAsia="zh-CN"/>
        </w:rPr>
        <w:t>36.59</w:t>
      </w:r>
      <w:r>
        <w:rPr>
          <w:rFonts w:hint="eastAsia"/>
          <w:color w:val="auto"/>
          <w:highlight w:val="none"/>
        </w:rPr>
        <w:t>%；社会保障和就业支出</w:t>
      </w:r>
      <w:r>
        <w:rPr>
          <w:rFonts w:hint="eastAsia"/>
          <w:color w:val="auto"/>
          <w:highlight w:val="none"/>
          <w:lang w:val="en-US" w:eastAsia="zh-CN"/>
        </w:rPr>
        <w:t>224.81</w:t>
      </w:r>
      <w:r>
        <w:rPr>
          <w:rFonts w:hint="eastAsia"/>
          <w:color w:val="auto"/>
          <w:highlight w:val="none"/>
        </w:rPr>
        <w:t>万元，占</w:t>
      </w:r>
      <w:r>
        <w:rPr>
          <w:rFonts w:hint="eastAsia" w:ascii="楷体_GB2312" w:eastAsia="楷体_GB2312"/>
          <w:color w:val="auto"/>
          <w:highlight w:val="none"/>
          <w:lang w:val="en-US" w:eastAsia="zh-CN"/>
        </w:rPr>
        <w:t>7.83</w:t>
      </w:r>
      <w:r>
        <w:rPr>
          <w:rFonts w:hint="eastAsia"/>
          <w:color w:val="auto"/>
          <w:highlight w:val="none"/>
        </w:rPr>
        <w:t>%；</w:t>
      </w:r>
      <w:r>
        <w:rPr>
          <w:rFonts w:hint="eastAsia"/>
          <w:color w:val="auto"/>
          <w:highlight w:val="none"/>
          <w:lang w:eastAsia="zh-CN"/>
        </w:rPr>
        <w:t>卫生健康</w:t>
      </w:r>
      <w:r>
        <w:rPr>
          <w:rFonts w:hint="eastAsia"/>
          <w:color w:val="auto"/>
          <w:highlight w:val="none"/>
        </w:rPr>
        <w:t>支出</w:t>
      </w:r>
      <w:r>
        <w:rPr>
          <w:rFonts w:hint="eastAsia"/>
          <w:color w:val="auto"/>
          <w:highlight w:val="none"/>
          <w:lang w:val="en-US" w:eastAsia="zh-CN"/>
        </w:rPr>
        <w:t>54.73</w:t>
      </w:r>
      <w:r>
        <w:rPr>
          <w:rFonts w:hint="eastAsia"/>
          <w:color w:val="auto"/>
          <w:highlight w:val="none"/>
        </w:rPr>
        <w:t>万元，占</w:t>
      </w:r>
      <w:r>
        <w:rPr>
          <w:rFonts w:hint="eastAsia"/>
          <w:color w:val="auto"/>
          <w:highlight w:val="none"/>
          <w:lang w:val="en-US" w:eastAsia="zh-CN"/>
        </w:rPr>
        <w:t>1.91</w:t>
      </w:r>
      <w:r>
        <w:rPr>
          <w:rFonts w:hint="eastAsia"/>
          <w:color w:val="auto"/>
          <w:highlight w:val="none"/>
        </w:rPr>
        <w:t>%；农林水支出</w:t>
      </w:r>
      <w:r>
        <w:rPr>
          <w:rFonts w:hint="eastAsia"/>
          <w:color w:val="auto"/>
          <w:highlight w:val="none"/>
          <w:lang w:val="en-US" w:eastAsia="zh-CN"/>
        </w:rPr>
        <w:t>375.64</w:t>
      </w:r>
      <w:r>
        <w:rPr>
          <w:rFonts w:hint="eastAsia"/>
          <w:color w:val="auto"/>
          <w:highlight w:val="none"/>
        </w:rPr>
        <w:t>万元，占</w:t>
      </w:r>
      <w:r>
        <w:rPr>
          <w:rFonts w:hint="eastAsia"/>
          <w:color w:val="auto"/>
          <w:highlight w:val="none"/>
          <w:lang w:val="en-US" w:eastAsia="zh-CN"/>
        </w:rPr>
        <w:t>13.09</w:t>
      </w:r>
      <w:r>
        <w:rPr>
          <w:rFonts w:hint="eastAsia"/>
          <w:color w:val="auto"/>
          <w:highlight w:val="none"/>
        </w:rPr>
        <w:t>%</w:t>
      </w:r>
      <w:r>
        <w:rPr>
          <w:rFonts w:hint="eastAsia"/>
          <w:color w:val="auto"/>
          <w:highlight w:val="none"/>
          <w:lang w:eastAsia="zh-CN"/>
        </w:rPr>
        <w:t>；</w:t>
      </w:r>
      <w:r>
        <w:rPr>
          <w:rFonts w:hint="eastAsia"/>
          <w:color w:val="auto"/>
          <w:highlight w:val="none"/>
        </w:rPr>
        <w:t>住房保障支出</w:t>
      </w:r>
      <w:r>
        <w:rPr>
          <w:rFonts w:hint="eastAsia"/>
          <w:color w:val="auto"/>
          <w:highlight w:val="none"/>
          <w:lang w:val="en-US" w:eastAsia="zh-CN"/>
        </w:rPr>
        <w:t>581.2</w:t>
      </w:r>
      <w:r>
        <w:rPr>
          <w:rFonts w:hint="eastAsia"/>
          <w:color w:val="auto"/>
          <w:highlight w:val="none"/>
        </w:rPr>
        <w:t>万元，占</w:t>
      </w:r>
      <w:r>
        <w:rPr>
          <w:rFonts w:hint="eastAsia"/>
          <w:color w:val="auto"/>
          <w:highlight w:val="none"/>
          <w:lang w:val="en-US" w:eastAsia="zh-CN"/>
        </w:rPr>
        <w:t>20.25</w:t>
      </w:r>
      <w:r>
        <w:rPr>
          <w:rFonts w:hint="eastAsia"/>
          <w:color w:val="auto"/>
          <w:highlight w:val="none"/>
        </w:rPr>
        <w:t>%</w:t>
      </w:r>
      <w:r>
        <w:rPr>
          <w:rFonts w:hint="eastAsia"/>
          <w:color w:val="auto"/>
          <w:highlight w:val="none"/>
          <w:lang w:eastAsia="zh-CN"/>
        </w:rPr>
        <w:t>； 城乡社区支出</w:t>
      </w:r>
      <w:r>
        <w:rPr>
          <w:rFonts w:hint="eastAsia"/>
          <w:color w:val="auto"/>
          <w:highlight w:val="none"/>
          <w:lang w:val="en-US" w:eastAsia="zh-CN"/>
        </w:rPr>
        <w:t>542.52万元，占18.9%；</w:t>
      </w:r>
      <w:r>
        <w:rPr>
          <w:rFonts w:hint="eastAsia"/>
          <w:color w:val="auto"/>
          <w:highlight w:val="none"/>
          <w:lang w:eastAsia="zh-CN"/>
        </w:rPr>
        <w:t>灾害防治及应急管理支出</w:t>
      </w:r>
      <w:r>
        <w:rPr>
          <w:rFonts w:hint="eastAsia"/>
          <w:color w:val="auto"/>
          <w:highlight w:val="none"/>
          <w:lang w:val="en-US" w:eastAsia="zh-CN"/>
        </w:rPr>
        <w:t>41万元，占1.43%</w:t>
      </w:r>
      <w:r>
        <w:rPr>
          <w:rFonts w:hint="eastAsia"/>
          <w:color w:val="auto"/>
          <w:highlight w:val="none"/>
        </w:rPr>
        <w:t>。</w:t>
      </w:r>
    </w:p>
    <w:p>
      <w:pPr>
        <w:spacing w:line="600" w:lineRule="exact"/>
        <w:ind w:firstLine="632" w:firstLineChars="200"/>
        <w:rPr>
          <w:rFonts w:ascii="楷体_GB2312" w:eastAsia="楷体_GB2312"/>
          <w:b/>
        </w:rPr>
      </w:pPr>
      <w:r>
        <w:rPr>
          <w:rFonts w:hint="eastAsia" w:ascii="楷体_GB2312" w:eastAsia="楷体_GB2312"/>
          <w:b/>
        </w:rPr>
        <w:t>（三）一般公共预算当年拨款具体使用情况</w:t>
      </w:r>
    </w:p>
    <w:p>
      <w:pPr>
        <w:spacing w:line="600" w:lineRule="exact"/>
        <w:ind w:firstLine="632" w:firstLineChars="200"/>
        <w:rPr>
          <w:rFonts w:hint="default" w:eastAsia="仿宋_GB2312"/>
          <w:color w:val="auto"/>
          <w:lang w:val="en-US" w:eastAsia="zh-CN"/>
        </w:rPr>
      </w:pPr>
      <w:r>
        <w:rPr>
          <w:rFonts w:hint="eastAsia"/>
        </w:rPr>
        <w:t>1.一般公共服务（</w:t>
      </w:r>
      <w:r>
        <w:rPr>
          <w:rFonts w:hint="eastAsia"/>
          <w:lang w:val="en-US" w:eastAsia="zh-CN"/>
        </w:rPr>
        <w:t>201</w:t>
      </w:r>
      <w:r>
        <w:rPr>
          <w:rFonts w:hint="eastAsia"/>
        </w:rPr>
        <w:t>）政府办公厅（室）及相关机构事务（</w:t>
      </w:r>
      <w:r>
        <w:rPr>
          <w:rFonts w:hint="eastAsia"/>
          <w:lang w:val="en-US" w:eastAsia="zh-CN"/>
        </w:rPr>
        <w:t>03</w:t>
      </w:r>
      <w:r>
        <w:rPr>
          <w:rFonts w:hint="eastAsia"/>
        </w:rPr>
        <w:t>）行政运行（</w:t>
      </w:r>
      <w:r>
        <w:rPr>
          <w:rFonts w:hint="eastAsia"/>
          <w:lang w:val="en-US" w:eastAsia="zh-CN"/>
        </w:rPr>
        <w:t>01</w:t>
      </w:r>
      <w:r>
        <w:rPr>
          <w:rFonts w:hint="eastAsia"/>
        </w:rPr>
        <w:t>）20</w:t>
      </w:r>
      <w:r>
        <w:rPr>
          <w:rFonts w:hint="eastAsia"/>
          <w:lang w:val="en-US" w:eastAsia="zh-CN"/>
        </w:rPr>
        <w:t>24</w:t>
      </w:r>
      <w:r>
        <w:rPr>
          <w:rFonts w:hint="eastAsia"/>
        </w:rPr>
        <w:t>年预算数为</w:t>
      </w:r>
      <w:r>
        <w:rPr>
          <w:rFonts w:hint="eastAsia"/>
          <w:color w:val="auto"/>
          <w:lang w:val="en-US" w:eastAsia="zh-CN"/>
        </w:rPr>
        <w:t>284.48</w:t>
      </w:r>
      <w:r>
        <w:rPr>
          <w:rFonts w:hint="eastAsia"/>
          <w:color w:val="auto"/>
        </w:rPr>
        <w:t>万元，主要用于：</w:t>
      </w:r>
      <w:r>
        <w:rPr>
          <w:rFonts w:hint="eastAsia"/>
          <w:color w:val="auto"/>
          <w:lang w:val="en-US" w:eastAsia="zh-CN"/>
        </w:rPr>
        <w:t>机关日常运行经费、人员工资及福利支出等。</w:t>
      </w:r>
    </w:p>
    <w:p>
      <w:pPr>
        <w:spacing w:line="600" w:lineRule="exact"/>
        <w:ind w:firstLine="632" w:firstLineChars="200"/>
        <w:rPr>
          <w:rFonts w:hint="eastAsia"/>
          <w:color w:val="auto"/>
        </w:rPr>
      </w:pPr>
      <w:r>
        <w:rPr>
          <w:rFonts w:hint="eastAsia"/>
          <w:color w:val="auto"/>
        </w:rPr>
        <w:t>2.一般公共服务（</w:t>
      </w:r>
      <w:r>
        <w:rPr>
          <w:rFonts w:hint="eastAsia"/>
          <w:color w:val="auto"/>
          <w:lang w:val="en-US" w:eastAsia="zh-CN"/>
        </w:rPr>
        <w:t>201</w:t>
      </w:r>
      <w:r>
        <w:rPr>
          <w:rFonts w:hint="eastAsia"/>
          <w:color w:val="auto"/>
        </w:rPr>
        <w:t>）政府办公厅（室）及相关机构事务（</w:t>
      </w:r>
      <w:r>
        <w:rPr>
          <w:rFonts w:hint="eastAsia"/>
          <w:color w:val="auto"/>
          <w:lang w:val="en-US" w:eastAsia="zh-CN"/>
        </w:rPr>
        <w:t>03</w:t>
      </w:r>
      <w:r>
        <w:rPr>
          <w:rFonts w:hint="eastAsia"/>
          <w:color w:val="auto"/>
        </w:rPr>
        <w:t>）一般行政管理事务（</w:t>
      </w:r>
      <w:r>
        <w:rPr>
          <w:rFonts w:hint="eastAsia"/>
          <w:color w:val="auto"/>
          <w:lang w:val="en-US" w:eastAsia="zh-CN"/>
        </w:rPr>
        <w:t>02</w:t>
      </w:r>
      <w:r>
        <w:rPr>
          <w:rFonts w:hint="eastAsia"/>
          <w:color w:val="auto"/>
        </w:rPr>
        <w:t>）20</w:t>
      </w:r>
      <w:r>
        <w:rPr>
          <w:rFonts w:hint="eastAsia"/>
          <w:color w:val="auto"/>
          <w:lang w:val="en-US" w:eastAsia="zh-CN"/>
        </w:rPr>
        <w:t>24</w:t>
      </w:r>
      <w:r>
        <w:rPr>
          <w:rFonts w:hint="eastAsia"/>
          <w:color w:val="auto"/>
        </w:rPr>
        <w:t>年预算数</w:t>
      </w:r>
      <w:r>
        <w:rPr>
          <w:rFonts w:hint="eastAsia"/>
          <w:color w:val="auto"/>
          <w:lang w:val="en-US" w:eastAsia="zh-CN"/>
        </w:rPr>
        <w:t>为5</w:t>
      </w:r>
      <w:r>
        <w:rPr>
          <w:rFonts w:hint="eastAsia"/>
          <w:color w:val="auto"/>
        </w:rPr>
        <w:t>万元，主要用于：</w:t>
      </w:r>
      <w:r>
        <w:rPr>
          <w:rFonts w:hint="eastAsia"/>
          <w:color w:val="auto"/>
          <w:lang w:val="en-US" w:eastAsia="zh-CN"/>
        </w:rPr>
        <w:t>档案</w:t>
      </w:r>
      <w:r>
        <w:rPr>
          <w:rFonts w:hint="eastAsia"/>
          <w:color w:val="auto"/>
        </w:rPr>
        <w:t>管理</w:t>
      </w:r>
      <w:r>
        <w:rPr>
          <w:rFonts w:hint="eastAsia"/>
          <w:color w:val="auto"/>
          <w:lang w:val="en-US" w:eastAsia="zh-CN"/>
        </w:rPr>
        <w:t>支出</w:t>
      </w:r>
      <w:r>
        <w:rPr>
          <w:rFonts w:hint="eastAsia"/>
          <w:color w:val="auto"/>
        </w:rPr>
        <w:t>。</w:t>
      </w:r>
    </w:p>
    <w:p>
      <w:pPr>
        <w:spacing w:line="600" w:lineRule="exact"/>
        <w:ind w:firstLine="632" w:firstLineChars="200"/>
        <w:rPr>
          <w:rFonts w:hint="eastAsia"/>
          <w:color w:val="auto"/>
          <w:lang w:val="en-US" w:eastAsia="zh-CN"/>
        </w:rPr>
      </w:pPr>
      <w:r>
        <w:rPr>
          <w:color w:val="auto"/>
        </w:rPr>
        <w:t>3</w:t>
      </w:r>
      <w:r>
        <w:rPr>
          <w:rFonts w:hint="eastAsia"/>
          <w:color w:val="auto"/>
        </w:rPr>
        <w:t>.一般公共服务（</w:t>
      </w:r>
      <w:r>
        <w:rPr>
          <w:rFonts w:hint="eastAsia"/>
          <w:color w:val="auto"/>
          <w:lang w:val="en-US" w:eastAsia="zh-CN"/>
        </w:rPr>
        <w:t>201</w:t>
      </w:r>
      <w:r>
        <w:rPr>
          <w:rFonts w:hint="eastAsia"/>
          <w:color w:val="auto"/>
        </w:rPr>
        <w:t>）政府办公厅（室）及相关机构事务（</w:t>
      </w:r>
      <w:r>
        <w:rPr>
          <w:rFonts w:hint="eastAsia"/>
          <w:color w:val="auto"/>
          <w:lang w:val="en-US" w:eastAsia="zh-CN"/>
        </w:rPr>
        <w:t>03</w:t>
      </w:r>
      <w:r>
        <w:rPr>
          <w:rFonts w:hint="eastAsia"/>
          <w:color w:val="auto"/>
        </w:rPr>
        <w:t>）事业运行（</w:t>
      </w:r>
      <w:r>
        <w:rPr>
          <w:rFonts w:hint="eastAsia"/>
          <w:color w:val="auto"/>
          <w:lang w:val="en-US" w:eastAsia="zh-CN"/>
        </w:rPr>
        <w:t>50</w:t>
      </w:r>
      <w:r>
        <w:rPr>
          <w:rFonts w:hint="eastAsia"/>
          <w:color w:val="auto"/>
        </w:rPr>
        <w:t>）20</w:t>
      </w:r>
      <w:r>
        <w:rPr>
          <w:rFonts w:hint="eastAsia"/>
          <w:color w:val="auto"/>
          <w:lang w:val="en-US" w:eastAsia="zh-CN"/>
        </w:rPr>
        <w:t>24</w:t>
      </w:r>
      <w:r>
        <w:rPr>
          <w:rFonts w:hint="eastAsia"/>
          <w:color w:val="auto"/>
        </w:rPr>
        <w:t>年预算数为</w:t>
      </w:r>
      <w:r>
        <w:rPr>
          <w:rFonts w:hint="eastAsia"/>
          <w:color w:val="auto"/>
          <w:lang w:val="en-US" w:eastAsia="zh-CN"/>
        </w:rPr>
        <w:t>138.54</w:t>
      </w:r>
      <w:r>
        <w:rPr>
          <w:rFonts w:hint="eastAsia"/>
          <w:color w:val="auto"/>
        </w:rPr>
        <w:t>万元，主要用于：</w:t>
      </w:r>
      <w:r>
        <w:rPr>
          <w:rFonts w:hint="eastAsia"/>
          <w:color w:val="auto"/>
          <w:lang w:val="en-US" w:eastAsia="zh-CN"/>
        </w:rPr>
        <w:t>事业人员工资福利支出及日常公用经费支出。</w:t>
      </w:r>
    </w:p>
    <w:p>
      <w:pPr>
        <w:spacing w:line="600" w:lineRule="exact"/>
        <w:ind w:firstLine="632" w:firstLineChars="200"/>
        <w:rPr>
          <w:rFonts w:hint="eastAsia" w:eastAsia="仿宋_GB2312"/>
          <w:color w:val="FF0000"/>
          <w:lang w:eastAsia="zh-CN"/>
        </w:rPr>
      </w:pPr>
      <w:r>
        <w:rPr>
          <w:rFonts w:hint="eastAsia"/>
          <w:lang w:val="en-US" w:eastAsia="zh-CN"/>
        </w:rPr>
        <w:t>4</w:t>
      </w:r>
      <w:r>
        <w:rPr>
          <w:rFonts w:hint="eastAsia"/>
        </w:rPr>
        <w:t>.一般公共服务（</w:t>
      </w:r>
      <w:r>
        <w:rPr>
          <w:rFonts w:hint="eastAsia"/>
          <w:lang w:val="en-US" w:eastAsia="zh-CN"/>
        </w:rPr>
        <w:t>201</w:t>
      </w:r>
      <w:r>
        <w:rPr>
          <w:rFonts w:hint="eastAsia"/>
        </w:rPr>
        <w:t>）纪检监察事务（</w:t>
      </w:r>
      <w:r>
        <w:rPr>
          <w:rFonts w:hint="eastAsia"/>
          <w:lang w:val="en-US" w:eastAsia="zh-CN"/>
        </w:rPr>
        <w:t>11</w:t>
      </w:r>
      <w:r>
        <w:rPr>
          <w:rFonts w:hint="eastAsia"/>
        </w:rPr>
        <w:t>）其他纪检监察事务支出（</w:t>
      </w:r>
      <w:r>
        <w:rPr>
          <w:rFonts w:hint="eastAsia"/>
          <w:lang w:val="en-US" w:eastAsia="zh-CN"/>
        </w:rPr>
        <w:t>99</w:t>
      </w:r>
      <w:r>
        <w:rPr>
          <w:rFonts w:hint="eastAsia"/>
        </w:rPr>
        <w:t>）20</w:t>
      </w:r>
      <w:r>
        <w:rPr>
          <w:rFonts w:hint="eastAsia"/>
          <w:lang w:val="en-US" w:eastAsia="zh-CN"/>
        </w:rPr>
        <w:t>24</w:t>
      </w:r>
      <w:r>
        <w:rPr>
          <w:rFonts w:hint="eastAsia"/>
        </w:rPr>
        <w:t>年预算数为</w:t>
      </w:r>
      <w:r>
        <w:rPr>
          <w:rFonts w:hint="eastAsia"/>
          <w:lang w:val="en-US" w:eastAsia="zh-CN"/>
        </w:rPr>
        <w:t>4</w:t>
      </w:r>
      <w:r>
        <w:rPr>
          <w:rFonts w:hint="eastAsia"/>
        </w:rPr>
        <w:t>万元，主要用于：纪检监察事务支出</w:t>
      </w:r>
      <w:r>
        <w:rPr>
          <w:rFonts w:hint="eastAsia"/>
          <w:lang w:eastAsia="zh-CN"/>
        </w:rPr>
        <w:t>。</w:t>
      </w:r>
    </w:p>
    <w:p>
      <w:pPr>
        <w:spacing w:line="600" w:lineRule="exact"/>
        <w:ind w:firstLine="632" w:firstLineChars="200"/>
        <w:rPr>
          <w:rFonts w:hint="eastAsia"/>
          <w:lang w:val="en-US" w:eastAsia="zh-CN"/>
        </w:rPr>
      </w:pPr>
      <w:r>
        <w:rPr>
          <w:rFonts w:hint="eastAsia"/>
          <w:lang w:val="en-US" w:eastAsia="zh-CN"/>
        </w:rPr>
        <w:t>5</w:t>
      </w:r>
      <w:r>
        <w:rPr>
          <w:rFonts w:hint="eastAsia"/>
        </w:rPr>
        <w:t>.一般公共服务（</w:t>
      </w:r>
      <w:r>
        <w:rPr>
          <w:rFonts w:hint="eastAsia"/>
          <w:lang w:val="en-US" w:eastAsia="zh-CN"/>
        </w:rPr>
        <w:t>201</w:t>
      </w:r>
      <w:r>
        <w:rPr>
          <w:rFonts w:hint="eastAsia"/>
        </w:rPr>
        <w:t>）商贸事务（</w:t>
      </w:r>
      <w:r>
        <w:rPr>
          <w:rFonts w:hint="eastAsia"/>
          <w:lang w:val="en-US" w:eastAsia="zh-CN"/>
        </w:rPr>
        <w:t>13</w:t>
      </w:r>
      <w:r>
        <w:rPr>
          <w:rFonts w:hint="eastAsia"/>
        </w:rPr>
        <w:t>）招商引资（</w:t>
      </w:r>
      <w:r>
        <w:rPr>
          <w:rFonts w:hint="eastAsia"/>
          <w:lang w:val="en-US" w:eastAsia="zh-CN"/>
        </w:rPr>
        <w:t>08</w:t>
      </w:r>
      <w:r>
        <w:rPr>
          <w:rFonts w:hint="eastAsia"/>
        </w:rPr>
        <w:t>）20</w:t>
      </w:r>
      <w:r>
        <w:rPr>
          <w:rFonts w:hint="eastAsia"/>
          <w:lang w:val="en-US" w:eastAsia="zh-CN"/>
        </w:rPr>
        <w:t>24</w:t>
      </w:r>
      <w:r>
        <w:rPr>
          <w:rFonts w:hint="eastAsia"/>
        </w:rPr>
        <w:t>年预算数为</w:t>
      </w:r>
      <w:r>
        <w:rPr>
          <w:rFonts w:hint="eastAsia"/>
          <w:lang w:val="en-US" w:eastAsia="zh-CN"/>
        </w:rPr>
        <w:t>5</w:t>
      </w:r>
      <w:r>
        <w:rPr>
          <w:rFonts w:hint="eastAsia"/>
        </w:rPr>
        <w:t>万元，主要用于：招商引资</w:t>
      </w:r>
      <w:r>
        <w:rPr>
          <w:rFonts w:hint="eastAsia"/>
          <w:lang w:val="en-US" w:eastAsia="zh-CN"/>
        </w:rPr>
        <w:t>相关费支出。</w:t>
      </w:r>
    </w:p>
    <w:p>
      <w:pPr>
        <w:pStyle w:val="13"/>
        <w:ind w:firstLine="632" w:firstLineChars="200"/>
        <w:rPr>
          <w:rFonts w:hint="default" w:ascii="Times New Roman" w:hAnsi="Times New Roman" w:eastAsia="仿宋_GB2312" w:cs="Times New Roman"/>
          <w:color w:val="auto"/>
          <w:kern w:val="2"/>
          <w:sz w:val="32"/>
          <w:szCs w:val="24"/>
          <w:lang w:val="en-US" w:eastAsia="zh-CN" w:bidi="ar-SA"/>
        </w:rPr>
      </w:pPr>
      <w:r>
        <w:rPr>
          <w:rFonts w:hint="eastAsia" w:ascii="Times New Roman" w:cs="Times New Roman"/>
          <w:color w:val="auto"/>
          <w:kern w:val="2"/>
          <w:sz w:val="32"/>
          <w:szCs w:val="24"/>
          <w:lang w:val="en-US" w:eastAsia="zh-CN" w:bidi="ar-SA"/>
        </w:rPr>
        <w:t>6.</w:t>
      </w:r>
      <w:r>
        <w:rPr>
          <w:rFonts w:hint="default" w:ascii="Times New Roman" w:hAnsi="Times New Roman" w:eastAsia="仿宋_GB2312" w:cs="Times New Roman"/>
          <w:color w:val="auto"/>
          <w:kern w:val="2"/>
          <w:sz w:val="32"/>
          <w:szCs w:val="24"/>
          <w:lang w:val="en-US" w:eastAsia="zh-CN" w:bidi="ar-SA"/>
        </w:rPr>
        <w:t>一般行政管理事务</w:t>
      </w:r>
      <w:r>
        <w:rPr>
          <w:rFonts w:hint="eastAsia" w:ascii="Times New Roman" w:hAnsi="Times New Roman" w:eastAsia="仿宋_GB2312" w:cs="Times New Roman"/>
          <w:color w:val="auto"/>
          <w:kern w:val="2"/>
          <w:sz w:val="32"/>
          <w:szCs w:val="24"/>
          <w:lang w:val="en-US" w:eastAsia="zh-CN" w:bidi="ar-SA"/>
        </w:rPr>
        <w:t>（201）社会事务（32）社区公共用房（02）2024年预算数为87.26万元，主要用于：社区公共用房租赁费支出。</w:t>
      </w:r>
    </w:p>
    <w:p>
      <w:pPr>
        <w:spacing w:line="600" w:lineRule="exact"/>
        <w:ind w:firstLine="632" w:firstLineChars="200"/>
        <w:rPr>
          <w:rFonts w:hint="eastAsia" w:eastAsia="仿宋_GB2312"/>
          <w:lang w:eastAsia="zh-CN"/>
        </w:rPr>
      </w:pPr>
      <w:r>
        <w:rPr>
          <w:rFonts w:hint="eastAsia"/>
          <w:lang w:val="en-US" w:eastAsia="zh-CN"/>
        </w:rPr>
        <w:t>7</w:t>
      </w:r>
      <w:r>
        <w:rPr>
          <w:rFonts w:hint="eastAsia"/>
        </w:rPr>
        <w:t>.社会保障和就业支出（</w:t>
      </w:r>
      <w:r>
        <w:rPr>
          <w:rFonts w:hint="eastAsia"/>
          <w:lang w:val="en-US" w:eastAsia="zh-CN"/>
        </w:rPr>
        <w:t>208</w:t>
      </w:r>
      <w:r>
        <w:rPr>
          <w:rFonts w:hint="eastAsia"/>
        </w:rPr>
        <w:t>）行政事业单位养老支出（</w:t>
      </w:r>
      <w:r>
        <w:rPr>
          <w:rFonts w:hint="eastAsia"/>
          <w:lang w:val="en-US" w:eastAsia="zh-CN"/>
        </w:rPr>
        <w:t>05</w:t>
      </w:r>
      <w:r>
        <w:rPr>
          <w:rFonts w:hint="eastAsia"/>
        </w:rPr>
        <w:t>）机关事业单位基本养老保险缴费支出（</w:t>
      </w:r>
      <w:r>
        <w:rPr>
          <w:rFonts w:hint="eastAsia"/>
          <w:lang w:val="en-US" w:eastAsia="zh-CN"/>
        </w:rPr>
        <w:t>05</w:t>
      </w:r>
      <w:r>
        <w:rPr>
          <w:rFonts w:hint="eastAsia"/>
        </w:rPr>
        <w:t>）20</w:t>
      </w:r>
      <w:r>
        <w:rPr>
          <w:rFonts w:hint="eastAsia"/>
          <w:lang w:val="en-US" w:eastAsia="zh-CN"/>
        </w:rPr>
        <w:t>24</w:t>
      </w:r>
      <w:r>
        <w:rPr>
          <w:rFonts w:hint="eastAsia"/>
        </w:rPr>
        <w:t>年预算数为</w:t>
      </w:r>
      <w:r>
        <w:rPr>
          <w:rFonts w:hint="eastAsia"/>
          <w:lang w:val="en-US" w:eastAsia="zh-CN"/>
        </w:rPr>
        <w:t>95.07</w:t>
      </w:r>
      <w:r>
        <w:rPr>
          <w:rFonts w:hint="eastAsia"/>
        </w:rPr>
        <w:t>万元，主要用于：</w:t>
      </w:r>
      <w:r>
        <w:rPr>
          <w:rFonts w:hint="eastAsia"/>
          <w:lang w:val="en-US" w:eastAsia="zh-CN"/>
        </w:rPr>
        <w:t>在职人员</w:t>
      </w:r>
      <w:r>
        <w:rPr>
          <w:rFonts w:hint="eastAsia"/>
        </w:rPr>
        <w:t>养老保险缴费支出</w:t>
      </w:r>
      <w:r>
        <w:rPr>
          <w:rFonts w:hint="eastAsia"/>
          <w:lang w:eastAsia="zh-CN"/>
        </w:rPr>
        <w:t>。</w:t>
      </w:r>
    </w:p>
    <w:p>
      <w:pPr>
        <w:spacing w:line="600" w:lineRule="exact"/>
        <w:ind w:firstLine="632" w:firstLineChars="200"/>
        <w:rPr>
          <w:rFonts w:hint="default" w:eastAsia="仿宋_GB2312"/>
          <w:color w:val="FF0000"/>
          <w:lang w:val="en-US" w:eastAsia="zh-CN"/>
        </w:rPr>
      </w:pPr>
      <w:r>
        <w:rPr>
          <w:rFonts w:hint="eastAsia"/>
          <w:lang w:val="en-US" w:eastAsia="zh-CN"/>
        </w:rPr>
        <w:t>8</w:t>
      </w:r>
      <w:r>
        <w:rPr>
          <w:rFonts w:hint="eastAsia"/>
        </w:rPr>
        <w:t>.社会保障和就业支出（</w:t>
      </w:r>
      <w:r>
        <w:rPr>
          <w:rFonts w:hint="eastAsia"/>
          <w:lang w:val="en-US" w:eastAsia="zh-CN"/>
        </w:rPr>
        <w:t>208</w:t>
      </w:r>
      <w:r>
        <w:rPr>
          <w:rFonts w:hint="eastAsia"/>
        </w:rPr>
        <w:t>）行政事业单位养老支出（</w:t>
      </w:r>
      <w:r>
        <w:rPr>
          <w:rFonts w:hint="eastAsia"/>
          <w:lang w:val="en-US" w:eastAsia="zh-CN"/>
        </w:rPr>
        <w:t>05</w:t>
      </w:r>
      <w:r>
        <w:rPr>
          <w:rFonts w:hint="eastAsia"/>
        </w:rPr>
        <w:t>）机关事业单位职业年金缴费支出（</w:t>
      </w:r>
      <w:r>
        <w:rPr>
          <w:rFonts w:hint="eastAsia"/>
          <w:lang w:val="en-US" w:eastAsia="zh-CN"/>
        </w:rPr>
        <w:t>06</w:t>
      </w:r>
      <w:r>
        <w:rPr>
          <w:rFonts w:hint="eastAsia"/>
        </w:rPr>
        <w:t>）20</w:t>
      </w:r>
      <w:r>
        <w:rPr>
          <w:rFonts w:hint="eastAsia"/>
          <w:lang w:val="en-US" w:eastAsia="zh-CN"/>
        </w:rPr>
        <w:t>24</w:t>
      </w:r>
      <w:r>
        <w:rPr>
          <w:rFonts w:hint="eastAsia"/>
        </w:rPr>
        <w:t>年预算数为</w:t>
      </w:r>
      <w:r>
        <w:rPr>
          <w:rFonts w:hint="eastAsia"/>
          <w:lang w:val="en-US" w:eastAsia="zh-CN"/>
        </w:rPr>
        <w:t>47.54</w:t>
      </w:r>
      <w:r>
        <w:rPr>
          <w:rFonts w:hint="eastAsia"/>
        </w:rPr>
        <w:t>万元，主要用于：</w:t>
      </w:r>
      <w:r>
        <w:rPr>
          <w:rFonts w:hint="eastAsia"/>
          <w:color w:val="auto"/>
          <w:lang w:val="en-US" w:eastAsia="zh-CN"/>
        </w:rPr>
        <w:t>职业年金缴费支出。</w:t>
      </w:r>
    </w:p>
    <w:p>
      <w:pPr>
        <w:spacing w:line="600" w:lineRule="exact"/>
        <w:ind w:firstLine="632" w:firstLineChars="200"/>
        <w:rPr>
          <w:rFonts w:hint="eastAsia" w:eastAsia="仿宋_GB2312"/>
          <w:color w:val="FF0000"/>
          <w:lang w:val="en-US" w:eastAsia="zh-CN"/>
        </w:rPr>
      </w:pPr>
      <w:r>
        <w:rPr>
          <w:rFonts w:hint="eastAsia"/>
          <w:lang w:val="en-US" w:eastAsia="zh-CN"/>
        </w:rPr>
        <w:t>9</w:t>
      </w:r>
      <w:r>
        <w:rPr>
          <w:rFonts w:hint="eastAsia"/>
        </w:rPr>
        <w:t>.社会保障和就业支出（</w:t>
      </w:r>
      <w:r>
        <w:rPr>
          <w:rFonts w:hint="eastAsia"/>
          <w:lang w:val="en-US" w:eastAsia="zh-CN"/>
        </w:rPr>
        <w:t>208</w:t>
      </w:r>
      <w:r>
        <w:rPr>
          <w:rFonts w:hint="eastAsia"/>
        </w:rPr>
        <w:t>）行政事业单位养老支出（</w:t>
      </w:r>
      <w:r>
        <w:rPr>
          <w:rFonts w:hint="eastAsia"/>
          <w:lang w:val="en-US" w:eastAsia="zh-CN"/>
        </w:rPr>
        <w:t>05</w:t>
      </w:r>
      <w:r>
        <w:rPr>
          <w:rFonts w:hint="eastAsia"/>
        </w:rPr>
        <w:t>）其他行政事业单位养老支出（</w:t>
      </w:r>
      <w:r>
        <w:rPr>
          <w:rFonts w:hint="eastAsia"/>
          <w:lang w:val="en-US" w:eastAsia="zh-CN"/>
        </w:rPr>
        <w:t>99</w:t>
      </w:r>
      <w:r>
        <w:rPr>
          <w:rFonts w:hint="eastAsia"/>
        </w:rPr>
        <w:t>）20</w:t>
      </w:r>
      <w:r>
        <w:rPr>
          <w:rFonts w:hint="eastAsia"/>
          <w:lang w:val="en-US" w:eastAsia="zh-CN"/>
        </w:rPr>
        <w:t>24</w:t>
      </w:r>
      <w:r>
        <w:rPr>
          <w:rFonts w:hint="eastAsia"/>
        </w:rPr>
        <w:t>年预算数为</w:t>
      </w:r>
      <w:r>
        <w:rPr>
          <w:rFonts w:hint="eastAsia"/>
          <w:lang w:val="en-US" w:eastAsia="zh-CN"/>
        </w:rPr>
        <w:t>0.12</w:t>
      </w:r>
      <w:r>
        <w:rPr>
          <w:rFonts w:hint="eastAsia"/>
        </w:rPr>
        <w:t>万元，主要用于：其他行政事业单位养老支出</w:t>
      </w:r>
      <w:r>
        <w:rPr>
          <w:rFonts w:hint="eastAsia"/>
          <w:lang w:eastAsia="zh-CN"/>
        </w:rPr>
        <w:t>。</w:t>
      </w:r>
    </w:p>
    <w:p>
      <w:pPr>
        <w:spacing w:line="600" w:lineRule="exact"/>
        <w:ind w:firstLine="632" w:firstLineChars="200"/>
        <w:rPr>
          <w:rFonts w:hint="default" w:eastAsia="仿宋_GB2312"/>
          <w:color w:val="auto"/>
          <w:lang w:val="en-US" w:eastAsia="zh-CN"/>
        </w:rPr>
      </w:pPr>
      <w:r>
        <w:rPr>
          <w:rFonts w:hint="eastAsia"/>
          <w:lang w:val="en-US" w:eastAsia="zh-CN"/>
        </w:rPr>
        <w:t>10</w:t>
      </w:r>
      <w:r>
        <w:rPr>
          <w:rFonts w:hint="eastAsia"/>
        </w:rPr>
        <w:t>.社会保障和就业支出（</w:t>
      </w:r>
      <w:r>
        <w:rPr>
          <w:rFonts w:hint="eastAsia"/>
          <w:lang w:val="en-US" w:eastAsia="zh-CN"/>
        </w:rPr>
        <w:t>208</w:t>
      </w:r>
      <w:r>
        <w:rPr>
          <w:rFonts w:hint="eastAsia"/>
        </w:rPr>
        <w:t>）社会福利（</w:t>
      </w:r>
      <w:r>
        <w:rPr>
          <w:rFonts w:hint="eastAsia"/>
          <w:lang w:val="en-US" w:eastAsia="zh-CN"/>
        </w:rPr>
        <w:t>10</w:t>
      </w:r>
      <w:r>
        <w:rPr>
          <w:rFonts w:hint="eastAsia"/>
        </w:rPr>
        <w:t>）其养老服务（</w:t>
      </w:r>
      <w:r>
        <w:rPr>
          <w:rFonts w:hint="eastAsia"/>
          <w:lang w:val="en-US" w:eastAsia="zh-CN"/>
        </w:rPr>
        <w:t>06</w:t>
      </w:r>
      <w:r>
        <w:rPr>
          <w:rFonts w:hint="eastAsia"/>
        </w:rPr>
        <w:t>）20</w:t>
      </w:r>
      <w:r>
        <w:rPr>
          <w:rFonts w:hint="eastAsia"/>
          <w:lang w:val="en-US" w:eastAsia="zh-CN"/>
        </w:rPr>
        <w:t>23</w:t>
      </w:r>
      <w:r>
        <w:rPr>
          <w:rFonts w:hint="eastAsia"/>
        </w:rPr>
        <w:t>年预算数为</w:t>
      </w:r>
      <w:r>
        <w:rPr>
          <w:rFonts w:hint="eastAsia"/>
          <w:lang w:val="en-US" w:eastAsia="zh-CN"/>
        </w:rPr>
        <w:t>79.26</w:t>
      </w:r>
      <w:r>
        <w:rPr>
          <w:rFonts w:hint="eastAsia"/>
        </w:rPr>
        <w:t>万元，主要用于：</w:t>
      </w:r>
      <w:r>
        <w:rPr>
          <w:rFonts w:hint="eastAsia"/>
          <w:color w:val="auto"/>
          <w:lang w:val="en-US" w:eastAsia="zh-CN"/>
        </w:rPr>
        <w:t>其他综合养老服务支出。</w:t>
      </w:r>
    </w:p>
    <w:p>
      <w:pPr>
        <w:spacing w:line="600" w:lineRule="exact"/>
        <w:ind w:firstLine="632" w:firstLineChars="200"/>
        <w:rPr>
          <w:rFonts w:hint="default" w:eastAsia="仿宋_GB2312"/>
          <w:color w:val="FF0000"/>
          <w:lang w:val="en-US" w:eastAsia="zh-CN"/>
        </w:rPr>
      </w:pPr>
      <w:r>
        <w:rPr>
          <w:rFonts w:hint="eastAsia"/>
          <w:lang w:val="en-US" w:eastAsia="zh-CN"/>
        </w:rPr>
        <w:t>11</w:t>
      </w:r>
      <w:r>
        <w:rPr>
          <w:rFonts w:hint="eastAsia"/>
        </w:rPr>
        <w:t>.社会保障和就业支出（</w:t>
      </w:r>
      <w:r>
        <w:rPr>
          <w:rFonts w:hint="eastAsia"/>
          <w:lang w:val="en-US" w:eastAsia="zh-CN"/>
        </w:rPr>
        <w:t>208</w:t>
      </w:r>
      <w:r>
        <w:rPr>
          <w:rFonts w:hint="eastAsia"/>
        </w:rPr>
        <w:t>）其他社会保障和就业支出（</w:t>
      </w:r>
      <w:r>
        <w:rPr>
          <w:rFonts w:hint="eastAsia"/>
          <w:lang w:val="en-US" w:eastAsia="zh-CN"/>
        </w:rPr>
        <w:t>99</w:t>
      </w:r>
      <w:r>
        <w:rPr>
          <w:rFonts w:hint="eastAsia"/>
        </w:rPr>
        <w:t>）其他社会保障和就业支出（</w:t>
      </w:r>
      <w:r>
        <w:rPr>
          <w:rFonts w:hint="eastAsia"/>
          <w:lang w:val="en-US" w:eastAsia="zh-CN"/>
        </w:rPr>
        <w:t>99</w:t>
      </w:r>
      <w:r>
        <w:rPr>
          <w:rFonts w:hint="eastAsia"/>
        </w:rPr>
        <w:t>）20</w:t>
      </w:r>
      <w:r>
        <w:rPr>
          <w:rFonts w:hint="eastAsia"/>
          <w:lang w:val="en-US" w:eastAsia="zh-CN"/>
        </w:rPr>
        <w:t>24</w:t>
      </w:r>
      <w:r>
        <w:rPr>
          <w:rFonts w:hint="eastAsia"/>
        </w:rPr>
        <w:t>年预算数为</w:t>
      </w:r>
      <w:r>
        <w:rPr>
          <w:rFonts w:hint="eastAsia"/>
          <w:lang w:val="en-US" w:eastAsia="zh-CN"/>
        </w:rPr>
        <w:t>2.82</w:t>
      </w:r>
      <w:r>
        <w:rPr>
          <w:rFonts w:hint="eastAsia"/>
        </w:rPr>
        <w:t>万元，主要用于：其他社会保障和就业支出</w:t>
      </w:r>
      <w:r>
        <w:rPr>
          <w:rFonts w:hint="eastAsia"/>
          <w:lang w:val="en-US" w:eastAsia="zh-CN"/>
        </w:rPr>
        <w:t>缴费支出</w:t>
      </w:r>
    </w:p>
    <w:p>
      <w:pPr>
        <w:spacing w:line="600" w:lineRule="exact"/>
        <w:ind w:firstLine="632" w:firstLineChars="200"/>
        <w:rPr>
          <w:rFonts w:hint="default" w:eastAsia="仿宋_GB2312"/>
          <w:color w:val="auto"/>
          <w:lang w:val="en-US" w:eastAsia="zh-CN"/>
        </w:rPr>
      </w:pPr>
      <w:r>
        <w:rPr>
          <w:rFonts w:hint="eastAsia"/>
          <w:lang w:val="en-US" w:eastAsia="zh-CN"/>
        </w:rPr>
        <w:t>12</w:t>
      </w:r>
      <w:r>
        <w:rPr>
          <w:rFonts w:hint="eastAsia"/>
        </w:rPr>
        <w:t>.卫生健康支出（</w:t>
      </w:r>
      <w:r>
        <w:rPr>
          <w:rFonts w:hint="eastAsia"/>
          <w:lang w:val="en-US" w:eastAsia="zh-CN"/>
        </w:rPr>
        <w:t>210</w:t>
      </w:r>
      <w:r>
        <w:rPr>
          <w:rFonts w:hint="eastAsia"/>
        </w:rPr>
        <w:t>）公共卫生（</w:t>
      </w:r>
      <w:r>
        <w:rPr>
          <w:rFonts w:hint="eastAsia"/>
          <w:lang w:val="en-US" w:eastAsia="zh-CN"/>
        </w:rPr>
        <w:t>04</w:t>
      </w:r>
      <w:r>
        <w:rPr>
          <w:rFonts w:hint="eastAsia"/>
        </w:rPr>
        <w:t>）突发公共卫生事件应急处理（</w:t>
      </w:r>
      <w:r>
        <w:rPr>
          <w:rFonts w:hint="eastAsia"/>
          <w:lang w:val="en-US" w:eastAsia="zh-CN"/>
        </w:rPr>
        <w:t>10</w:t>
      </w:r>
      <w:r>
        <w:rPr>
          <w:rFonts w:hint="eastAsia"/>
        </w:rPr>
        <w:t>）20</w:t>
      </w:r>
      <w:r>
        <w:rPr>
          <w:rFonts w:hint="eastAsia"/>
          <w:lang w:val="en-US" w:eastAsia="zh-CN"/>
        </w:rPr>
        <w:t>24</w:t>
      </w:r>
      <w:r>
        <w:rPr>
          <w:rFonts w:hint="eastAsia"/>
        </w:rPr>
        <w:t>年预算数为</w:t>
      </w:r>
      <w:r>
        <w:rPr>
          <w:rFonts w:hint="eastAsia"/>
          <w:lang w:val="en-US" w:eastAsia="zh-CN"/>
        </w:rPr>
        <w:t>9.7</w:t>
      </w:r>
      <w:r>
        <w:rPr>
          <w:rFonts w:hint="eastAsia"/>
        </w:rPr>
        <w:t>万元，主要用于：</w:t>
      </w:r>
      <w:r>
        <w:rPr>
          <w:rFonts w:hint="eastAsia"/>
          <w:color w:val="auto"/>
          <w:lang w:val="en-US" w:eastAsia="zh-CN"/>
        </w:rPr>
        <w:t>防疫防控经费支出。</w:t>
      </w:r>
    </w:p>
    <w:p>
      <w:pPr>
        <w:spacing w:line="600" w:lineRule="exact"/>
        <w:ind w:firstLine="632" w:firstLineChars="200"/>
        <w:rPr>
          <w:rFonts w:hint="default" w:eastAsia="仿宋_GB2312"/>
          <w:color w:val="FF0000"/>
          <w:lang w:val="en-US" w:eastAsia="zh-CN"/>
        </w:rPr>
      </w:pPr>
      <w:r>
        <w:rPr>
          <w:rFonts w:hint="eastAsia"/>
          <w:lang w:val="en-US" w:eastAsia="zh-CN"/>
        </w:rPr>
        <w:t>13</w:t>
      </w:r>
      <w:r>
        <w:rPr>
          <w:rFonts w:hint="eastAsia"/>
        </w:rPr>
        <w:t>.卫生健康支出（</w:t>
      </w:r>
      <w:r>
        <w:rPr>
          <w:rFonts w:hint="eastAsia"/>
          <w:lang w:val="en-US" w:eastAsia="zh-CN"/>
        </w:rPr>
        <w:t>210</w:t>
      </w:r>
      <w:r>
        <w:rPr>
          <w:rFonts w:hint="eastAsia"/>
        </w:rPr>
        <w:t>）行政事业单位医疗（</w:t>
      </w:r>
      <w:r>
        <w:rPr>
          <w:rFonts w:hint="eastAsia"/>
          <w:lang w:val="en-US" w:eastAsia="zh-CN"/>
        </w:rPr>
        <w:t>11</w:t>
      </w:r>
      <w:r>
        <w:rPr>
          <w:rFonts w:hint="eastAsia"/>
        </w:rPr>
        <w:t>）行政单位医疗（</w:t>
      </w:r>
      <w:r>
        <w:rPr>
          <w:rFonts w:hint="eastAsia"/>
          <w:lang w:val="en-US" w:eastAsia="zh-CN"/>
        </w:rPr>
        <w:t>01</w:t>
      </w:r>
      <w:r>
        <w:rPr>
          <w:rFonts w:hint="eastAsia"/>
        </w:rPr>
        <w:t>）20</w:t>
      </w:r>
      <w:r>
        <w:rPr>
          <w:rFonts w:hint="eastAsia"/>
          <w:lang w:val="en-US" w:eastAsia="zh-CN"/>
        </w:rPr>
        <w:t>24</w:t>
      </w:r>
      <w:r>
        <w:rPr>
          <w:rFonts w:hint="eastAsia"/>
        </w:rPr>
        <w:t>年预算数为</w:t>
      </w:r>
      <w:r>
        <w:rPr>
          <w:rFonts w:hint="eastAsia"/>
          <w:lang w:val="en-US" w:eastAsia="zh-CN"/>
        </w:rPr>
        <w:t>21.67</w:t>
      </w:r>
      <w:r>
        <w:rPr>
          <w:rFonts w:hint="eastAsia"/>
        </w:rPr>
        <w:t>万元，主要用于：</w:t>
      </w:r>
      <w:r>
        <w:rPr>
          <w:rFonts w:hint="eastAsia"/>
          <w:color w:val="auto"/>
          <w:lang w:val="en-US" w:eastAsia="zh-CN"/>
        </w:rPr>
        <w:t>行政人员</w:t>
      </w:r>
      <w:r>
        <w:rPr>
          <w:rFonts w:hint="eastAsia"/>
        </w:rPr>
        <w:t>医疗</w:t>
      </w:r>
      <w:r>
        <w:rPr>
          <w:rFonts w:hint="eastAsia"/>
          <w:lang w:val="en-US" w:eastAsia="zh-CN"/>
        </w:rPr>
        <w:t>保险缴费支出。</w:t>
      </w:r>
    </w:p>
    <w:p>
      <w:pPr>
        <w:spacing w:line="600" w:lineRule="exact"/>
        <w:ind w:firstLine="632" w:firstLineChars="200"/>
        <w:rPr>
          <w:rFonts w:hint="eastAsia"/>
          <w:lang w:val="en-US" w:eastAsia="zh-CN"/>
        </w:rPr>
      </w:pPr>
      <w:r>
        <w:rPr>
          <w:rFonts w:hint="eastAsia"/>
          <w:lang w:val="en-US" w:eastAsia="zh-CN"/>
        </w:rPr>
        <w:t>14</w:t>
      </w:r>
      <w:r>
        <w:rPr>
          <w:rFonts w:hint="eastAsia"/>
        </w:rPr>
        <w:t>.卫生健康支出（</w:t>
      </w:r>
      <w:r>
        <w:rPr>
          <w:rFonts w:hint="eastAsia"/>
          <w:lang w:val="en-US" w:eastAsia="zh-CN"/>
        </w:rPr>
        <w:t>210</w:t>
      </w:r>
      <w:r>
        <w:rPr>
          <w:rFonts w:hint="eastAsia"/>
        </w:rPr>
        <w:t>）行政事业单位医疗（</w:t>
      </w:r>
      <w:r>
        <w:rPr>
          <w:rFonts w:hint="eastAsia"/>
          <w:lang w:val="en-US" w:eastAsia="zh-CN"/>
        </w:rPr>
        <w:t>11</w:t>
      </w:r>
      <w:r>
        <w:rPr>
          <w:rFonts w:hint="eastAsia"/>
        </w:rPr>
        <w:t>）</w:t>
      </w:r>
      <w:r>
        <w:rPr>
          <w:rFonts w:hint="eastAsia"/>
          <w:lang w:val="en-US" w:eastAsia="zh-CN"/>
        </w:rPr>
        <w:t>事业</w:t>
      </w:r>
      <w:r>
        <w:rPr>
          <w:rFonts w:hint="eastAsia"/>
        </w:rPr>
        <w:t>单位医疗（</w:t>
      </w:r>
      <w:r>
        <w:rPr>
          <w:rFonts w:hint="eastAsia"/>
          <w:lang w:val="en-US" w:eastAsia="zh-CN"/>
        </w:rPr>
        <w:t>02</w:t>
      </w:r>
      <w:r>
        <w:rPr>
          <w:rFonts w:hint="eastAsia"/>
        </w:rPr>
        <w:t>）20</w:t>
      </w:r>
      <w:r>
        <w:rPr>
          <w:rFonts w:hint="eastAsia"/>
          <w:lang w:val="en-US" w:eastAsia="zh-CN"/>
        </w:rPr>
        <w:t>24</w:t>
      </w:r>
      <w:r>
        <w:rPr>
          <w:rFonts w:hint="eastAsia"/>
        </w:rPr>
        <w:t>年预算数为</w:t>
      </w:r>
      <w:r>
        <w:rPr>
          <w:rFonts w:hint="eastAsia"/>
          <w:lang w:val="en-US" w:eastAsia="zh-CN"/>
        </w:rPr>
        <w:t>10.43</w:t>
      </w:r>
      <w:r>
        <w:rPr>
          <w:rFonts w:hint="eastAsia"/>
        </w:rPr>
        <w:t>万元，主要用于：</w:t>
      </w:r>
      <w:r>
        <w:rPr>
          <w:rFonts w:hint="eastAsia"/>
          <w:lang w:val="en-US" w:eastAsia="zh-CN"/>
        </w:rPr>
        <w:t>事业人员</w:t>
      </w:r>
      <w:r>
        <w:rPr>
          <w:rFonts w:hint="eastAsia"/>
        </w:rPr>
        <w:t>医疗</w:t>
      </w:r>
      <w:r>
        <w:rPr>
          <w:rFonts w:hint="eastAsia"/>
          <w:lang w:val="en-US" w:eastAsia="zh-CN"/>
        </w:rPr>
        <w:t>缴费支出。</w:t>
      </w:r>
    </w:p>
    <w:p>
      <w:pPr>
        <w:spacing w:line="600" w:lineRule="exact"/>
        <w:ind w:firstLine="632" w:firstLineChars="200"/>
        <w:rPr>
          <w:rFonts w:hint="eastAsia"/>
          <w:lang w:val="en-US" w:eastAsia="zh-CN"/>
        </w:rPr>
      </w:pPr>
      <w:r>
        <w:rPr>
          <w:rFonts w:hint="eastAsia"/>
          <w:lang w:val="en-US" w:eastAsia="zh-CN"/>
        </w:rPr>
        <w:t>15</w:t>
      </w:r>
      <w:r>
        <w:rPr>
          <w:rFonts w:hint="eastAsia"/>
        </w:rPr>
        <w:t>.卫生健康支出（</w:t>
      </w:r>
      <w:r>
        <w:rPr>
          <w:rFonts w:hint="eastAsia"/>
          <w:lang w:val="en-US" w:eastAsia="zh-CN"/>
        </w:rPr>
        <w:t>210</w:t>
      </w:r>
      <w:r>
        <w:rPr>
          <w:rFonts w:hint="eastAsia"/>
        </w:rPr>
        <w:t>）行政事业单位医疗（</w:t>
      </w:r>
      <w:r>
        <w:rPr>
          <w:rFonts w:hint="eastAsia"/>
          <w:lang w:val="en-US" w:eastAsia="zh-CN"/>
        </w:rPr>
        <w:t>11</w:t>
      </w:r>
      <w:r>
        <w:rPr>
          <w:rFonts w:hint="eastAsia"/>
        </w:rPr>
        <w:t>）</w:t>
      </w:r>
      <w:r>
        <w:rPr>
          <w:rFonts w:hint="eastAsia"/>
          <w:lang w:val="en-US" w:eastAsia="zh-CN"/>
        </w:rPr>
        <w:t>公务员医疗补助</w:t>
      </w:r>
      <w:r>
        <w:rPr>
          <w:rFonts w:hint="eastAsia"/>
        </w:rPr>
        <w:t>（</w:t>
      </w:r>
      <w:r>
        <w:rPr>
          <w:rFonts w:hint="eastAsia"/>
          <w:lang w:val="en-US" w:eastAsia="zh-CN"/>
        </w:rPr>
        <w:t>03</w:t>
      </w:r>
      <w:r>
        <w:rPr>
          <w:rFonts w:hint="eastAsia"/>
        </w:rPr>
        <w:t>）20</w:t>
      </w:r>
      <w:r>
        <w:rPr>
          <w:rFonts w:hint="eastAsia"/>
          <w:lang w:val="en-US" w:eastAsia="zh-CN"/>
        </w:rPr>
        <w:t>24</w:t>
      </w:r>
      <w:r>
        <w:rPr>
          <w:rFonts w:hint="eastAsia"/>
        </w:rPr>
        <w:t>年预算数为</w:t>
      </w:r>
      <w:r>
        <w:rPr>
          <w:rFonts w:hint="eastAsia"/>
          <w:lang w:val="en-US" w:eastAsia="zh-CN"/>
        </w:rPr>
        <w:t>7.74</w:t>
      </w:r>
      <w:r>
        <w:rPr>
          <w:rFonts w:hint="eastAsia"/>
        </w:rPr>
        <w:t>万元，主要用于：</w:t>
      </w:r>
      <w:r>
        <w:rPr>
          <w:rFonts w:hint="eastAsia"/>
          <w:lang w:val="en-US" w:eastAsia="zh-CN"/>
        </w:rPr>
        <w:t>公务员医疗补助缴费支出。</w:t>
      </w:r>
    </w:p>
    <w:p>
      <w:pPr>
        <w:pStyle w:val="13"/>
        <w:ind w:firstLine="632" w:firstLineChars="200"/>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16</w:t>
      </w:r>
      <w:r>
        <w:rPr>
          <w:rFonts w:hint="eastAsia" w:ascii="Times New Roman" w:cs="Times New Roman"/>
          <w:color w:val="auto"/>
          <w:kern w:val="2"/>
          <w:sz w:val="32"/>
          <w:szCs w:val="24"/>
          <w:lang w:val="en-US" w:eastAsia="zh-CN" w:bidi="ar-SA"/>
        </w:rPr>
        <w:t>.</w:t>
      </w:r>
      <w:r>
        <w:rPr>
          <w:rFonts w:hint="eastAsia" w:ascii="Times New Roman" w:hAnsi="Times New Roman" w:eastAsia="仿宋_GB2312" w:cs="Times New Roman"/>
          <w:color w:val="auto"/>
          <w:kern w:val="2"/>
          <w:sz w:val="32"/>
          <w:szCs w:val="24"/>
          <w:lang w:val="en-US" w:eastAsia="zh-CN" w:bidi="ar-SA"/>
        </w:rPr>
        <w:t>卫生健康支出（210）行政事业单位医疗（11）公务员医疗补助（</w:t>
      </w:r>
      <w:r>
        <w:rPr>
          <w:rFonts w:hint="eastAsia" w:ascii="Times New Roman" w:cs="Times New Roman"/>
          <w:color w:val="auto"/>
          <w:kern w:val="2"/>
          <w:sz w:val="32"/>
          <w:szCs w:val="24"/>
          <w:lang w:val="en-US" w:eastAsia="zh-CN" w:bidi="ar-SA"/>
        </w:rPr>
        <w:t>99</w:t>
      </w:r>
      <w:r>
        <w:rPr>
          <w:rFonts w:hint="eastAsia" w:ascii="Times New Roman" w:hAnsi="Times New Roman" w:eastAsia="仿宋_GB2312" w:cs="Times New Roman"/>
          <w:color w:val="auto"/>
          <w:kern w:val="2"/>
          <w:sz w:val="32"/>
          <w:szCs w:val="24"/>
          <w:lang w:val="en-US" w:eastAsia="zh-CN" w:bidi="ar-SA"/>
        </w:rPr>
        <w:t>）2024年预算数为</w:t>
      </w:r>
      <w:r>
        <w:rPr>
          <w:rFonts w:hint="eastAsia" w:ascii="Times New Roman" w:cs="Times New Roman"/>
          <w:color w:val="auto"/>
          <w:kern w:val="2"/>
          <w:sz w:val="32"/>
          <w:szCs w:val="24"/>
          <w:lang w:val="en-US" w:eastAsia="zh-CN" w:bidi="ar-SA"/>
        </w:rPr>
        <w:t>5.18</w:t>
      </w:r>
      <w:r>
        <w:rPr>
          <w:rFonts w:hint="eastAsia" w:ascii="Times New Roman" w:hAnsi="Times New Roman" w:eastAsia="仿宋_GB2312" w:cs="Times New Roman"/>
          <w:color w:val="auto"/>
          <w:kern w:val="2"/>
          <w:sz w:val="32"/>
          <w:szCs w:val="24"/>
          <w:lang w:val="en-US" w:eastAsia="zh-CN" w:bidi="ar-SA"/>
        </w:rPr>
        <w:t>万元，主要用于：行政事业单位医疗支出。</w:t>
      </w:r>
    </w:p>
    <w:p>
      <w:pPr>
        <w:pStyle w:val="13"/>
        <w:ind w:firstLine="632" w:firstLineChars="200"/>
        <w:rPr>
          <w:rFonts w:hint="default" w:ascii="Times New Roman" w:hAnsi="Times New Roman" w:eastAsia="仿宋_GB2312" w:cs="Times New Roman"/>
          <w:color w:val="auto"/>
          <w:kern w:val="2"/>
          <w:sz w:val="32"/>
          <w:szCs w:val="24"/>
          <w:lang w:val="en-US" w:eastAsia="zh-CN" w:bidi="ar-SA"/>
        </w:rPr>
      </w:pPr>
      <w:r>
        <w:rPr>
          <w:rFonts w:hint="eastAsia" w:ascii="Times New Roman" w:cs="Times New Roman"/>
          <w:color w:val="auto"/>
          <w:kern w:val="2"/>
          <w:sz w:val="32"/>
          <w:szCs w:val="24"/>
          <w:lang w:val="en-US" w:eastAsia="zh-CN" w:bidi="ar-SA"/>
        </w:rPr>
        <w:t>17.</w:t>
      </w:r>
      <w:r>
        <w:rPr>
          <w:rFonts w:hint="default" w:ascii="Times New Roman" w:hAnsi="Times New Roman" w:eastAsia="仿宋_GB2312" w:cs="Times New Roman"/>
          <w:color w:val="auto"/>
          <w:kern w:val="2"/>
          <w:sz w:val="32"/>
          <w:szCs w:val="24"/>
          <w:lang w:val="en-US" w:eastAsia="zh-CN" w:bidi="ar-SA"/>
        </w:rPr>
        <w:t>城乡社区支出</w:t>
      </w:r>
      <w:r>
        <w:rPr>
          <w:rFonts w:hint="eastAsia" w:ascii="Times New Roman" w:hAnsi="Times New Roman" w:eastAsia="仿宋_GB2312" w:cs="Times New Roman"/>
          <w:color w:val="auto"/>
          <w:kern w:val="2"/>
          <w:sz w:val="32"/>
          <w:szCs w:val="24"/>
          <w:lang w:val="en-US" w:eastAsia="zh-CN" w:bidi="ar-SA"/>
        </w:rPr>
        <w:t>（21</w:t>
      </w:r>
      <w:r>
        <w:rPr>
          <w:rFonts w:hint="eastAsia" w:ascii="Times New Roman" w:cs="Times New Roman"/>
          <w:color w:val="auto"/>
          <w:kern w:val="2"/>
          <w:sz w:val="32"/>
          <w:szCs w:val="24"/>
          <w:lang w:val="en-US" w:eastAsia="zh-CN" w:bidi="ar-SA"/>
        </w:rPr>
        <w:t>2</w:t>
      </w:r>
      <w:r>
        <w:rPr>
          <w:rFonts w:hint="eastAsia" w:ascii="Times New Roman" w:hAnsi="Times New Roman" w:eastAsia="仿宋_GB2312" w:cs="Times New Roman"/>
          <w:color w:val="auto"/>
          <w:kern w:val="2"/>
          <w:sz w:val="32"/>
          <w:szCs w:val="24"/>
          <w:lang w:val="en-US" w:eastAsia="zh-CN" w:bidi="ar-SA"/>
        </w:rPr>
        <w:t>）</w:t>
      </w:r>
      <w:r>
        <w:rPr>
          <w:rFonts w:hint="default" w:ascii="Times New Roman" w:hAnsi="Times New Roman" w:eastAsia="仿宋_GB2312" w:cs="Times New Roman"/>
          <w:color w:val="auto"/>
          <w:kern w:val="2"/>
          <w:sz w:val="32"/>
          <w:szCs w:val="24"/>
          <w:lang w:val="en-US" w:eastAsia="zh-CN" w:bidi="ar-SA"/>
        </w:rPr>
        <w:t>城乡社区公共设施支出</w:t>
      </w:r>
      <w:r>
        <w:rPr>
          <w:rFonts w:hint="eastAsia" w:ascii="Times New Roman" w:hAnsi="Times New Roman" w:eastAsia="仿宋_GB2312" w:cs="Times New Roman"/>
          <w:color w:val="auto"/>
          <w:kern w:val="2"/>
          <w:sz w:val="32"/>
          <w:szCs w:val="24"/>
          <w:lang w:val="en-US" w:eastAsia="zh-CN" w:bidi="ar-SA"/>
        </w:rPr>
        <w:t>（</w:t>
      </w:r>
      <w:r>
        <w:rPr>
          <w:rFonts w:hint="eastAsia" w:ascii="Times New Roman" w:cs="Times New Roman"/>
          <w:color w:val="auto"/>
          <w:kern w:val="2"/>
          <w:sz w:val="32"/>
          <w:szCs w:val="24"/>
          <w:lang w:val="en-US" w:eastAsia="zh-CN" w:bidi="ar-SA"/>
        </w:rPr>
        <w:t>03</w:t>
      </w:r>
      <w:r>
        <w:rPr>
          <w:rFonts w:hint="eastAsia" w:ascii="Times New Roman" w:hAnsi="Times New Roman" w:eastAsia="仿宋_GB2312" w:cs="Times New Roman"/>
          <w:color w:val="auto"/>
          <w:kern w:val="2"/>
          <w:sz w:val="32"/>
          <w:szCs w:val="24"/>
          <w:lang w:val="en-US" w:eastAsia="zh-CN" w:bidi="ar-SA"/>
        </w:rPr>
        <w:t>）</w:t>
      </w:r>
      <w:r>
        <w:rPr>
          <w:rFonts w:hint="default" w:ascii="Times New Roman" w:hAnsi="Times New Roman" w:eastAsia="仿宋_GB2312" w:cs="Times New Roman"/>
          <w:color w:val="auto"/>
          <w:kern w:val="2"/>
          <w:sz w:val="32"/>
          <w:szCs w:val="24"/>
          <w:lang w:val="en-US" w:eastAsia="zh-CN" w:bidi="ar-SA"/>
        </w:rPr>
        <w:t>其他城乡社区公共设施</w:t>
      </w:r>
      <w:r>
        <w:rPr>
          <w:rFonts w:hint="eastAsia" w:ascii="Times New Roman" w:hAnsi="Times New Roman" w:eastAsia="仿宋_GB2312" w:cs="Times New Roman"/>
          <w:color w:val="auto"/>
          <w:kern w:val="2"/>
          <w:sz w:val="32"/>
          <w:szCs w:val="24"/>
          <w:lang w:val="en-US" w:eastAsia="zh-CN" w:bidi="ar-SA"/>
        </w:rPr>
        <w:t>（</w:t>
      </w:r>
      <w:r>
        <w:rPr>
          <w:rFonts w:hint="eastAsia" w:ascii="Times New Roman" w:cs="Times New Roman"/>
          <w:color w:val="auto"/>
          <w:kern w:val="2"/>
          <w:sz w:val="32"/>
          <w:szCs w:val="24"/>
          <w:lang w:val="en-US" w:eastAsia="zh-CN" w:bidi="ar-SA"/>
        </w:rPr>
        <w:t>99</w:t>
      </w:r>
      <w:r>
        <w:rPr>
          <w:rFonts w:hint="eastAsia" w:ascii="Times New Roman" w:hAnsi="Times New Roman" w:eastAsia="仿宋_GB2312" w:cs="Times New Roman"/>
          <w:color w:val="auto"/>
          <w:kern w:val="2"/>
          <w:sz w:val="32"/>
          <w:szCs w:val="24"/>
          <w:lang w:val="en-US" w:eastAsia="zh-CN" w:bidi="ar-SA"/>
        </w:rPr>
        <w:t>）2024年预算数为</w:t>
      </w:r>
      <w:r>
        <w:rPr>
          <w:rFonts w:hint="eastAsia" w:ascii="Times New Roman" w:cs="Times New Roman"/>
          <w:color w:val="auto"/>
          <w:kern w:val="2"/>
          <w:sz w:val="32"/>
          <w:szCs w:val="24"/>
          <w:lang w:val="en-US" w:eastAsia="zh-CN" w:bidi="ar-SA"/>
        </w:rPr>
        <w:t>492.52</w:t>
      </w:r>
      <w:r>
        <w:rPr>
          <w:rFonts w:hint="eastAsia" w:ascii="Times New Roman" w:hAnsi="Times New Roman" w:eastAsia="仿宋_GB2312" w:cs="Times New Roman"/>
          <w:color w:val="auto"/>
          <w:kern w:val="2"/>
          <w:sz w:val="32"/>
          <w:szCs w:val="24"/>
          <w:lang w:val="en-US" w:eastAsia="zh-CN" w:bidi="ar-SA"/>
        </w:rPr>
        <w:t>万元，主要用于：其他城乡社区公共设施支出。</w:t>
      </w:r>
    </w:p>
    <w:p>
      <w:pPr>
        <w:spacing w:line="600" w:lineRule="exact"/>
        <w:ind w:firstLine="632" w:firstLineChars="200"/>
        <w:rPr>
          <w:rFonts w:hint="eastAsia"/>
          <w:color w:val="auto"/>
          <w:lang w:val="en-US" w:eastAsia="zh-CN"/>
        </w:rPr>
      </w:pPr>
      <w:r>
        <w:rPr>
          <w:rFonts w:hint="eastAsia"/>
          <w:color w:val="auto"/>
          <w:lang w:val="en-US" w:eastAsia="zh-CN"/>
        </w:rPr>
        <w:t>18</w:t>
      </w:r>
      <w:r>
        <w:rPr>
          <w:rFonts w:hint="eastAsia"/>
          <w:color w:val="auto"/>
        </w:rPr>
        <w:t>.</w:t>
      </w:r>
      <w:r>
        <w:rPr>
          <w:rFonts w:hint="eastAsia"/>
          <w:color w:val="auto"/>
          <w:lang w:val="en-US" w:eastAsia="zh-CN"/>
        </w:rPr>
        <w:t>城乡社区</w:t>
      </w:r>
      <w:r>
        <w:rPr>
          <w:rFonts w:hint="eastAsia"/>
          <w:color w:val="auto"/>
        </w:rPr>
        <w:t>支出（</w:t>
      </w:r>
      <w:r>
        <w:rPr>
          <w:rFonts w:hint="eastAsia"/>
          <w:color w:val="auto"/>
          <w:lang w:val="en-US" w:eastAsia="zh-CN"/>
        </w:rPr>
        <w:t>212</w:t>
      </w:r>
      <w:r>
        <w:rPr>
          <w:rFonts w:hint="eastAsia"/>
          <w:color w:val="auto"/>
        </w:rPr>
        <w:t>）</w:t>
      </w:r>
      <w:r>
        <w:rPr>
          <w:rFonts w:hint="eastAsia"/>
          <w:color w:val="auto"/>
          <w:lang w:val="en-US" w:eastAsia="zh-CN"/>
        </w:rPr>
        <w:t>国有土地试用期出让收入安排的支出</w:t>
      </w:r>
      <w:r>
        <w:rPr>
          <w:rFonts w:hint="eastAsia"/>
          <w:color w:val="auto"/>
        </w:rPr>
        <w:t>（</w:t>
      </w:r>
      <w:r>
        <w:rPr>
          <w:rFonts w:hint="eastAsia"/>
          <w:color w:val="auto"/>
          <w:lang w:val="en-US" w:eastAsia="zh-CN"/>
        </w:rPr>
        <w:t>08</w:t>
      </w:r>
      <w:r>
        <w:rPr>
          <w:rFonts w:hint="eastAsia"/>
          <w:color w:val="auto"/>
        </w:rPr>
        <w:t>）</w:t>
      </w:r>
      <w:r>
        <w:rPr>
          <w:rFonts w:hint="eastAsia"/>
          <w:color w:val="auto"/>
          <w:lang w:val="en-US" w:eastAsia="zh-CN"/>
        </w:rPr>
        <w:t>农业生产发展支出</w:t>
      </w:r>
      <w:r>
        <w:rPr>
          <w:rFonts w:hint="eastAsia"/>
          <w:color w:val="auto"/>
        </w:rPr>
        <w:t>（</w:t>
      </w:r>
      <w:r>
        <w:rPr>
          <w:rFonts w:hint="eastAsia"/>
          <w:color w:val="auto"/>
          <w:lang w:val="en-US" w:eastAsia="zh-CN"/>
        </w:rPr>
        <w:t>14</w:t>
      </w:r>
      <w:r>
        <w:rPr>
          <w:rFonts w:hint="eastAsia"/>
          <w:color w:val="auto"/>
        </w:rPr>
        <w:t>）20</w:t>
      </w:r>
      <w:r>
        <w:rPr>
          <w:rFonts w:hint="eastAsia"/>
          <w:color w:val="auto"/>
          <w:lang w:val="en-US" w:eastAsia="zh-CN"/>
        </w:rPr>
        <w:t>24</w:t>
      </w:r>
      <w:r>
        <w:rPr>
          <w:rFonts w:hint="eastAsia"/>
          <w:color w:val="auto"/>
        </w:rPr>
        <w:t>年预算数</w:t>
      </w:r>
      <w:r>
        <w:rPr>
          <w:rFonts w:hint="eastAsia"/>
          <w:color w:val="auto"/>
          <w:lang w:val="en-US" w:eastAsia="zh-CN"/>
        </w:rPr>
        <w:t>为50万</w:t>
      </w:r>
      <w:r>
        <w:rPr>
          <w:rFonts w:hint="eastAsia"/>
          <w:color w:val="auto"/>
        </w:rPr>
        <w:t>元，主要用于：</w:t>
      </w:r>
      <w:r>
        <w:rPr>
          <w:rFonts w:hint="eastAsia"/>
          <w:color w:val="auto"/>
          <w:lang w:val="en-US" w:eastAsia="zh-CN"/>
        </w:rPr>
        <w:t>农业生产发展支出。</w:t>
      </w:r>
    </w:p>
    <w:p>
      <w:pPr>
        <w:spacing w:line="600" w:lineRule="exact"/>
        <w:ind w:firstLine="632" w:firstLineChars="200"/>
        <w:rPr>
          <w:rFonts w:hint="eastAsia"/>
          <w:color w:val="auto"/>
        </w:rPr>
      </w:pPr>
      <w:r>
        <w:rPr>
          <w:rFonts w:hint="eastAsia"/>
          <w:color w:val="auto"/>
          <w:lang w:val="en-US" w:eastAsia="zh-CN"/>
        </w:rPr>
        <w:t>19</w:t>
      </w:r>
      <w:r>
        <w:rPr>
          <w:rFonts w:hint="eastAsia"/>
          <w:color w:val="auto"/>
        </w:rPr>
        <w:t>.农林水支出（</w:t>
      </w:r>
      <w:r>
        <w:rPr>
          <w:rFonts w:hint="eastAsia"/>
          <w:color w:val="auto"/>
          <w:lang w:val="en-US" w:eastAsia="zh-CN"/>
        </w:rPr>
        <w:t>213</w:t>
      </w:r>
      <w:r>
        <w:rPr>
          <w:rFonts w:hint="eastAsia"/>
          <w:color w:val="auto"/>
        </w:rPr>
        <w:t>）</w:t>
      </w:r>
      <w:r>
        <w:rPr>
          <w:rFonts w:hint="eastAsia"/>
          <w:color w:val="auto"/>
          <w:lang w:val="en-US" w:eastAsia="zh-CN"/>
        </w:rPr>
        <w:t>巩固脱贫攻坚成果衔接乡村振兴支出</w:t>
      </w:r>
      <w:r>
        <w:rPr>
          <w:rFonts w:hint="eastAsia"/>
          <w:color w:val="auto"/>
        </w:rPr>
        <w:t>（</w:t>
      </w:r>
      <w:r>
        <w:rPr>
          <w:rFonts w:hint="eastAsia"/>
          <w:color w:val="auto"/>
          <w:lang w:val="en-US" w:eastAsia="zh-CN"/>
        </w:rPr>
        <w:t>05</w:t>
      </w:r>
      <w:r>
        <w:rPr>
          <w:rFonts w:hint="eastAsia"/>
          <w:color w:val="auto"/>
        </w:rPr>
        <w:t>）</w:t>
      </w:r>
      <w:r>
        <w:rPr>
          <w:rFonts w:hint="eastAsia"/>
          <w:color w:val="auto"/>
          <w:lang w:val="en-US" w:eastAsia="zh-CN"/>
        </w:rPr>
        <w:t>其他巩固脱贫攻坚成果衔接乡村振兴支出</w:t>
      </w:r>
      <w:r>
        <w:rPr>
          <w:rFonts w:hint="eastAsia"/>
          <w:color w:val="auto"/>
        </w:rPr>
        <w:t>（</w:t>
      </w:r>
      <w:r>
        <w:rPr>
          <w:rFonts w:hint="eastAsia"/>
          <w:color w:val="auto"/>
          <w:lang w:val="en-US" w:eastAsia="zh-CN"/>
        </w:rPr>
        <w:t>99</w:t>
      </w:r>
      <w:r>
        <w:rPr>
          <w:rFonts w:hint="eastAsia"/>
          <w:color w:val="auto"/>
        </w:rPr>
        <w:t>）20</w:t>
      </w:r>
      <w:r>
        <w:rPr>
          <w:rFonts w:hint="eastAsia"/>
          <w:color w:val="auto"/>
          <w:lang w:val="en-US" w:eastAsia="zh-CN"/>
        </w:rPr>
        <w:t>24</w:t>
      </w:r>
      <w:r>
        <w:rPr>
          <w:rFonts w:hint="eastAsia"/>
          <w:color w:val="auto"/>
        </w:rPr>
        <w:t>年预算数为</w:t>
      </w:r>
      <w:r>
        <w:rPr>
          <w:rFonts w:hint="eastAsia"/>
          <w:color w:val="auto"/>
          <w:lang w:val="en-US" w:eastAsia="zh-CN"/>
        </w:rPr>
        <w:t>2</w:t>
      </w:r>
      <w:r>
        <w:rPr>
          <w:rFonts w:hint="eastAsia"/>
          <w:color w:val="auto"/>
        </w:rPr>
        <w:t>万元，主要用于：</w:t>
      </w:r>
      <w:r>
        <w:rPr>
          <w:rFonts w:hint="eastAsia"/>
          <w:color w:val="auto"/>
          <w:lang w:val="en-US" w:eastAsia="zh-CN"/>
        </w:rPr>
        <w:t>脱贫攻坚成果衔接乡村振兴支出。</w:t>
      </w:r>
    </w:p>
    <w:p>
      <w:pPr>
        <w:spacing w:line="600" w:lineRule="exact"/>
        <w:ind w:firstLine="632" w:firstLineChars="200"/>
        <w:rPr>
          <w:rFonts w:hint="default" w:eastAsia="仿宋_GB2312"/>
          <w:color w:val="FF0000"/>
          <w:lang w:val="en-US" w:eastAsia="zh-CN"/>
        </w:rPr>
      </w:pPr>
      <w:r>
        <w:rPr>
          <w:rFonts w:hint="eastAsia"/>
          <w:lang w:val="en-US" w:eastAsia="zh-CN"/>
        </w:rPr>
        <w:t>20</w:t>
      </w:r>
      <w:r>
        <w:rPr>
          <w:rFonts w:hint="eastAsia"/>
        </w:rPr>
        <w:t>.农林水支出（</w:t>
      </w:r>
      <w:r>
        <w:rPr>
          <w:rFonts w:hint="eastAsia"/>
          <w:lang w:val="en-US" w:eastAsia="zh-CN"/>
        </w:rPr>
        <w:t>213</w:t>
      </w:r>
      <w:r>
        <w:rPr>
          <w:rFonts w:hint="eastAsia"/>
        </w:rPr>
        <w:t>）农村综合改革（</w:t>
      </w:r>
      <w:r>
        <w:rPr>
          <w:rFonts w:hint="eastAsia"/>
          <w:lang w:val="en-US" w:eastAsia="zh-CN"/>
        </w:rPr>
        <w:t>07</w:t>
      </w:r>
      <w:r>
        <w:rPr>
          <w:rFonts w:hint="eastAsia"/>
        </w:rPr>
        <w:t>）</w:t>
      </w:r>
      <w:r>
        <w:rPr>
          <w:rFonts w:hint="eastAsia"/>
          <w:lang w:val="en-US" w:eastAsia="zh-CN"/>
        </w:rPr>
        <w:t>对村民委员会和村党支部的补助</w:t>
      </w:r>
      <w:r>
        <w:rPr>
          <w:rFonts w:hint="eastAsia"/>
        </w:rPr>
        <w:t>（</w:t>
      </w:r>
      <w:r>
        <w:rPr>
          <w:rFonts w:hint="eastAsia"/>
          <w:lang w:val="en-US" w:eastAsia="zh-CN"/>
        </w:rPr>
        <w:t>05</w:t>
      </w:r>
      <w:r>
        <w:rPr>
          <w:rFonts w:hint="eastAsia"/>
        </w:rPr>
        <w:t>）20</w:t>
      </w:r>
      <w:r>
        <w:rPr>
          <w:rFonts w:hint="eastAsia"/>
          <w:lang w:val="en-US" w:eastAsia="zh-CN"/>
        </w:rPr>
        <w:t>24</w:t>
      </w:r>
      <w:r>
        <w:rPr>
          <w:rFonts w:hint="eastAsia"/>
        </w:rPr>
        <w:t>年预算数为</w:t>
      </w:r>
      <w:r>
        <w:rPr>
          <w:rFonts w:hint="eastAsia"/>
          <w:lang w:val="en-US" w:eastAsia="zh-CN"/>
        </w:rPr>
        <w:t>373.64</w:t>
      </w:r>
      <w:r>
        <w:rPr>
          <w:rFonts w:hint="eastAsia"/>
        </w:rPr>
        <w:t>万元，主要用于：</w:t>
      </w:r>
      <w:r>
        <w:rPr>
          <w:rFonts w:hint="eastAsia"/>
          <w:lang w:val="en-US" w:eastAsia="zh-CN"/>
        </w:rPr>
        <w:t>社区、社区日常运维费及村干部、社区干部生活补助。</w:t>
      </w:r>
    </w:p>
    <w:p>
      <w:pPr>
        <w:spacing w:line="600" w:lineRule="exact"/>
        <w:ind w:firstLine="632" w:firstLineChars="200"/>
        <w:rPr>
          <w:rFonts w:hint="default" w:eastAsia="仿宋_GB2312"/>
          <w:color w:val="FF0000"/>
          <w:lang w:val="en-US" w:eastAsia="zh-CN"/>
        </w:rPr>
      </w:pPr>
      <w:r>
        <w:rPr>
          <w:rFonts w:hint="eastAsia"/>
          <w:lang w:val="en-US" w:eastAsia="zh-CN"/>
        </w:rPr>
        <w:t>21</w:t>
      </w:r>
      <w:r>
        <w:rPr>
          <w:rFonts w:hint="eastAsia"/>
        </w:rPr>
        <w:t>.住房保障支出（</w:t>
      </w:r>
      <w:r>
        <w:rPr>
          <w:rFonts w:hint="eastAsia"/>
          <w:lang w:val="en-US" w:eastAsia="zh-CN"/>
        </w:rPr>
        <w:t>221</w:t>
      </w:r>
      <w:r>
        <w:rPr>
          <w:rFonts w:hint="eastAsia"/>
        </w:rPr>
        <w:t>）保障性安居工程支出（</w:t>
      </w:r>
      <w:r>
        <w:rPr>
          <w:rFonts w:hint="eastAsia"/>
          <w:lang w:val="en-US" w:eastAsia="zh-CN"/>
        </w:rPr>
        <w:t>01</w:t>
      </w:r>
      <w:r>
        <w:rPr>
          <w:rFonts w:hint="eastAsia"/>
        </w:rPr>
        <w:t>）</w:t>
      </w:r>
      <w:r>
        <w:rPr>
          <w:rFonts w:hint="eastAsia"/>
          <w:lang w:val="en-US" w:eastAsia="zh-CN"/>
        </w:rPr>
        <w:t>其他保障性安居工程支出</w:t>
      </w:r>
      <w:r>
        <w:rPr>
          <w:rFonts w:hint="eastAsia"/>
        </w:rPr>
        <w:t>（</w:t>
      </w:r>
      <w:r>
        <w:rPr>
          <w:rFonts w:hint="eastAsia"/>
          <w:lang w:val="en-US" w:eastAsia="zh-CN"/>
        </w:rPr>
        <w:t>99</w:t>
      </w:r>
      <w:r>
        <w:rPr>
          <w:rFonts w:hint="eastAsia"/>
        </w:rPr>
        <w:t>）20</w:t>
      </w:r>
      <w:r>
        <w:rPr>
          <w:rFonts w:hint="eastAsia"/>
          <w:lang w:val="en-US" w:eastAsia="zh-CN"/>
        </w:rPr>
        <w:t>24</w:t>
      </w:r>
      <w:r>
        <w:rPr>
          <w:rFonts w:hint="eastAsia"/>
        </w:rPr>
        <w:t>年预算数为</w:t>
      </w:r>
      <w:r>
        <w:rPr>
          <w:rFonts w:hint="eastAsia"/>
          <w:lang w:val="en-US" w:eastAsia="zh-CN"/>
        </w:rPr>
        <w:t>500</w:t>
      </w:r>
      <w:r>
        <w:rPr>
          <w:rFonts w:hint="eastAsia"/>
        </w:rPr>
        <w:t>万元，主要用于：</w:t>
      </w:r>
      <w:r>
        <w:rPr>
          <w:rFonts w:hint="eastAsia"/>
          <w:color w:val="auto"/>
          <w:lang w:val="en-US" w:eastAsia="zh-CN"/>
        </w:rPr>
        <w:t>拆迁安置安居工程支出。</w:t>
      </w:r>
    </w:p>
    <w:p>
      <w:pPr>
        <w:spacing w:line="600" w:lineRule="exact"/>
        <w:ind w:firstLine="632" w:firstLineChars="200"/>
        <w:rPr>
          <w:rFonts w:hint="eastAsia"/>
          <w:color w:val="auto"/>
          <w:lang w:val="en-US" w:eastAsia="zh-CN"/>
        </w:rPr>
      </w:pPr>
      <w:r>
        <w:rPr>
          <w:rFonts w:hint="eastAsia"/>
          <w:lang w:val="en-US" w:eastAsia="zh-CN"/>
        </w:rPr>
        <w:t>21</w:t>
      </w:r>
      <w:r>
        <w:rPr>
          <w:rFonts w:hint="eastAsia"/>
        </w:rPr>
        <w:t>.住房保障支出（</w:t>
      </w:r>
      <w:r>
        <w:rPr>
          <w:rFonts w:hint="eastAsia"/>
          <w:lang w:val="en-US" w:eastAsia="zh-CN"/>
        </w:rPr>
        <w:t>221</w:t>
      </w:r>
      <w:r>
        <w:rPr>
          <w:rFonts w:hint="eastAsia"/>
        </w:rPr>
        <w:t>）住房改革支出（</w:t>
      </w:r>
      <w:r>
        <w:rPr>
          <w:rFonts w:hint="eastAsia"/>
          <w:lang w:val="en-US" w:eastAsia="zh-CN"/>
        </w:rPr>
        <w:t>02</w:t>
      </w:r>
      <w:r>
        <w:rPr>
          <w:rFonts w:hint="eastAsia"/>
        </w:rPr>
        <w:t>）</w:t>
      </w:r>
      <w:r>
        <w:rPr>
          <w:rFonts w:hint="eastAsia"/>
          <w:lang w:val="en-US" w:eastAsia="zh-CN"/>
        </w:rPr>
        <w:t>住房公积金</w:t>
      </w:r>
      <w:r>
        <w:rPr>
          <w:rFonts w:hint="eastAsia"/>
        </w:rPr>
        <w:t>（</w:t>
      </w:r>
      <w:r>
        <w:rPr>
          <w:rFonts w:hint="eastAsia"/>
          <w:lang w:val="en-US" w:eastAsia="zh-CN"/>
        </w:rPr>
        <w:t>01</w:t>
      </w:r>
      <w:r>
        <w:rPr>
          <w:rFonts w:hint="eastAsia"/>
        </w:rPr>
        <w:t>）20</w:t>
      </w:r>
      <w:r>
        <w:rPr>
          <w:rFonts w:hint="eastAsia"/>
          <w:lang w:val="en-US" w:eastAsia="zh-CN"/>
        </w:rPr>
        <w:t>24</w:t>
      </w:r>
      <w:r>
        <w:rPr>
          <w:rFonts w:hint="eastAsia"/>
        </w:rPr>
        <w:t>年预算数为</w:t>
      </w:r>
      <w:r>
        <w:rPr>
          <w:rFonts w:hint="eastAsia"/>
          <w:lang w:val="en-US" w:eastAsia="zh-CN"/>
        </w:rPr>
        <w:t>81.2</w:t>
      </w:r>
      <w:r>
        <w:rPr>
          <w:rFonts w:hint="eastAsia"/>
        </w:rPr>
        <w:t>万元，</w:t>
      </w:r>
      <w:r>
        <w:rPr>
          <w:rFonts w:hint="eastAsia"/>
          <w:color w:val="auto"/>
        </w:rPr>
        <w:t>主要用</w:t>
      </w:r>
      <w:r>
        <w:rPr>
          <w:rFonts w:hint="eastAsia"/>
        </w:rPr>
        <w:t>于：</w:t>
      </w:r>
      <w:r>
        <w:rPr>
          <w:rFonts w:hint="eastAsia"/>
          <w:color w:val="auto"/>
          <w:lang w:val="en-US" w:eastAsia="zh-CN"/>
        </w:rPr>
        <w:t>单位人员公积金缴费。</w:t>
      </w:r>
    </w:p>
    <w:p>
      <w:pPr>
        <w:spacing w:line="600" w:lineRule="exact"/>
        <w:ind w:firstLine="632" w:firstLineChars="200"/>
        <w:rPr>
          <w:rFonts w:hint="default"/>
          <w:color w:val="auto"/>
          <w:lang w:val="en-US" w:eastAsia="zh-CN"/>
        </w:rPr>
      </w:pPr>
      <w:r>
        <w:rPr>
          <w:rFonts w:hint="eastAsia"/>
          <w:color w:val="auto"/>
          <w:lang w:val="en-US" w:eastAsia="zh-CN"/>
        </w:rPr>
        <w:t>22.灾害防治及应急管理</w:t>
      </w:r>
      <w:r>
        <w:rPr>
          <w:rFonts w:hint="eastAsia"/>
          <w:color w:val="auto"/>
        </w:rPr>
        <w:t>支出（</w:t>
      </w:r>
      <w:r>
        <w:rPr>
          <w:rFonts w:hint="eastAsia"/>
          <w:color w:val="auto"/>
          <w:lang w:val="en-US" w:eastAsia="zh-CN"/>
        </w:rPr>
        <w:t>224</w:t>
      </w:r>
      <w:r>
        <w:rPr>
          <w:rFonts w:hint="eastAsia"/>
          <w:color w:val="auto"/>
        </w:rPr>
        <w:t>）</w:t>
      </w:r>
      <w:r>
        <w:rPr>
          <w:rFonts w:hint="eastAsia"/>
          <w:color w:val="auto"/>
          <w:lang w:val="en-US" w:eastAsia="zh-CN"/>
        </w:rPr>
        <w:t>自然灾害防治</w:t>
      </w:r>
      <w:r>
        <w:rPr>
          <w:rFonts w:hint="eastAsia"/>
          <w:color w:val="auto"/>
        </w:rPr>
        <w:t>支出（</w:t>
      </w:r>
      <w:r>
        <w:rPr>
          <w:rFonts w:hint="eastAsia"/>
          <w:color w:val="auto"/>
          <w:lang w:val="en-US" w:eastAsia="zh-CN"/>
        </w:rPr>
        <w:t>06</w:t>
      </w:r>
      <w:r>
        <w:rPr>
          <w:rFonts w:hint="eastAsia"/>
          <w:color w:val="auto"/>
        </w:rPr>
        <w:t>）</w:t>
      </w:r>
      <w:r>
        <w:rPr>
          <w:rFonts w:hint="eastAsia"/>
          <w:color w:val="auto"/>
          <w:lang w:val="en-US" w:eastAsia="zh-CN"/>
        </w:rPr>
        <w:t>地质灾害防治</w:t>
      </w:r>
      <w:r>
        <w:rPr>
          <w:rFonts w:hint="eastAsia"/>
          <w:color w:val="auto"/>
        </w:rPr>
        <w:t>（</w:t>
      </w:r>
      <w:r>
        <w:rPr>
          <w:rFonts w:hint="eastAsia"/>
          <w:color w:val="auto"/>
          <w:lang w:val="en-US" w:eastAsia="zh-CN"/>
        </w:rPr>
        <w:t>01</w:t>
      </w:r>
      <w:r>
        <w:rPr>
          <w:rFonts w:hint="eastAsia"/>
          <w:color w:val="auto"/>
        </w:rPr>
        <w:t>）20</w:t>
      </w:r>
      <w:r>
        <w:rPr>
          <w:rFonts w:hint="eastAsia"/>
          <w:color w:val="auto"/>
          <w:lang w:val="en-US" w:eastAsia="zh-CN"/>
        </w:rPr>
        <w:t>24</w:t>
      </w:r>
      <w:r>
        <w:rPr>
          <w:rFonts w:hint="eastAsia"/>
          <w:color w:val="auto"/>
        </w:rPr>
        <w:t>年预算数为</w:t>
      </w:r>
      <w:r>
        <w:rPr>
          <w:rFonts w:hint="eastAsia"/>
          <w:color w:val="auto"/>
          <w:lang w:val="en-US" w:eastAsia="zh-CN"/>
        </w:rPr>
        <w:t>41</w:t>
      </w:r>
      <w:r>
        <w:rPr>
          <w:rFonts w:hint="eastAsia"/>
          <w:color w:val="auto"/>
        </w:rPr>
        <w:t>万元，主要用于：</w:t>
      </w:r>
      <w:r>
        <w:rPr>
          <w:rFonts w:hint="eastAsia"/>
          <w:color w:val="auto"/>
          <w:lang w:val="en-US" w:eastAsia="zh-CN"/>
        </w:rPr>
        <w:t>防治地质灾害方面的支出。</w:t>
      </w:r>
    </w:p>
    <w:p>
      <w:pPr>
        <w:spacing w:line="600" w:lineRule="exact"/>
        <w:ind w:firstLine="632" w:firstLineChars="200"/>
        <w:rPr>
          <w:rFonts w:hint="eastAsia" w:ascii="黑体" w:hAnsi="黑体" w:eastAsia="黑体"/>
        </w:rPr>
      </w:pPr>
      <w:r>
        <w:rPr>
          <w:rFonts w:hint="eastAsia" w:ascii="黑体" w:hAnsi="黑体" w:eastAsia="黑体"/>
        </w:rPr>
        <w:t>六、一般公共预算基本支出情况说明</w:t>
      </w:r>
    </w:p>
    <w:p>
      <w:pPr>
        <w:spacing w:line="600" w:lineRule="exact"/>
        <w:ind w:firstLine="632" w:firstLineChars="200"/>
        <w:rPr>
          <w:rFonts w:hint="eastAsia"/>
        </w:rPr>
      </w:pPr>
      <w:r>
        <w:rPr>
          <w:rFonts w:hint="eastAsia"/>
          <w:lang w:val="en-US" w:eastAsia="zh-CN"/>
        </w:rPr>
        <w:t>西宁街道</w:t>
      </w:r>
      <w:r>
        <w:rPr>
          <w:rFonts w:hint="eastAsia"/>
        </w:rPr>
        <w:t>20</w:t>
      </w:r>
      <w:r>
        <w:rPr>
          <w:rFonts w:hint="eastAsia"/>
          <w:lang w:val="en-US" w:eastAsia="zh-CN"/>
        </w:rPr>
        <w:t>24</w:t>
      </w:r>
      <w:r>
        <w:rPr>
          <w:rFonts w:hint="eastAsia"/>
        </w:rPr>
        <w:t>年一般公共预算基本支出</w:t>
      </w:r>
      <w:r>
        <w:rPr>
          <w:rFonts w:hint="eastAsia"/>
          <w:lang w:val="en-US" w:eastAsia="zh-CN"/>
        </w:rPr>
        <w:t>1445.72</w:t>
      </w:r>
      <w:r>
        <w:rPr>
          <w:rFonts w:hint="eastAsia"/>
        </w:rPr>
        <w:t>万元，其中：</w:t>
      </w:r>
    </w:p>
    <w:p>
      <w:pPr>
        <w:spacing w:line="600" w:lineRule="exact"/>
        <w:ind w:firstLine="632" w:firstLineChars="200"/>
        <w:rPr>
          <w:rFonts w:hint="eastAsia"/>
          <w:color w:val="FF0000"/>
        </w:rPr>
      </w:pPr>
      <w:r>
        <w:rPr>
          <w:rFonts w:hint="eastAsia"/>
        </w:rPr>
        <w:t>人员经费</w:t>
      </w:r>
      <w:r>
        <w:rPr>
          <w:rFonts w:hint="eastAsia"/>
          <w:color w:val="auto"/>
        </w:rPr>
        <w:t>1</w:t>
      </w:r>
      <w:r>
        <w:rPr>
          <w:rFonts w:hint="eastAsia"/>
          <w:color w:val="auto"/>
          <w:lang w:val="en-US" w:eastAsia="zh-CN"/>
        </w:rPr>
        <w:t>155.10</w:t>
      </w:r>
      <w:r>
        <w:rPr>
          <w:rFonts w:hint="eastAsia"/>
        </w:rPr>
        <w:t>万元，主要包括：基本工资、津贴补贴、社会保险缴费、绩效工资、机关事业单位基本养老保险缴费、住房公积金</w:t>
      </w:r>
      <w:r>
        <w:rPr>
          <w:rFonts w:hint="eastAsia"/>
          <w:color w:val="auto"/>
        </w:rPr>
        <w:t>。</w:t>
      </w:r>
    </w:p>
    <w:p>
      <w:pPr>
        <w:spacing w:line="600" w:lineRule="exact"/>
        <w:ind w:firstLine="632" w:firstLineChars="200"/>
        <w:rPr>
          <w:rFonts w:hint="eastAsia" w:eastAsia="仿宋_GB2312"/>
          <w:lang w:eastAsia="zh-CN"/>
        </w:rPr>
      </w:pPr>
      <w:r>
        <w:rPr>
          <w:rFonts w:hint="eastAsia"/>
        </w:rPr>
        <w:t>公用经费</w:t>
      </w:r>
      <w:r>
        <w:rPr>
          <w:rFonts w:hint="eastAsia"/>
          <w:color w:val="auto"/>
          <w:lang w:val="en-US" w:eastAsia="zh-CN"/>
        </w:rPr>
        <w:t>290.62</w:t>
      </w:r>
      <w:r>
        <w:rPr>
          <w:rFonts w:hint="eastAsia"/>
        </w:rPr>
        <w:t>万元，主要包括：办公费、印刷费、水费、电费、邮电费、差旅费、维修（护）费、会议费、培训费、劳务费、工会经费、福利费、其他交通费、其他商品和服务支出</w:t>
      </w:r>
      <w:r>
        <w:rPr>
          <w:rFonts w:hint="eastAsia"/>
          <w:lang w:eastAsia="zh-CN"/>
        </w:rPr>
        <w:t>。</w:t>
      </w:r>
    </w:p>
    <w:p>
      <w:pPr>
        <w:spacing w:line="600" w:lineRule="exact"/>
        <w:ind w:firstLine="632" w:firstLineChars="200"/>
        <w:rPr>
          <w:rFonts w:hint="eastAsia" w:ascii="黑体" w:hAnsi="黑体" w:eastAsia="黑体"/>
        </w:rPr>
      </w:pPr>
      <w:r>
        <w:rPr>
          <w:rFonts w:hint="eastAsia" w:ascii="黑体" w:hAnsi="黑体" w:eastAsia="黑体"/>
        </w:rPr>
        <w:t>七、“三公”经费财政拨款预算安排情况说明</w:t>
      </w:r>
    </w:p>
    <w:p>
      <w:pPr>
        <w:spacing w:line="600" w:lineRule="exact"/>
        <w:ind w:firstLine="632" w:firstLineChars="200"/>
        <w:rPr>
          <w:rFonts w:hint="eastAsia"/>
        </w:rPr>
      </w:pPr>
      <w:r>
        <w:rPr>
          <w:rFonts w:hint="eastAsia"/>
          <w:lang w:val="en-US" w:eastAsia="zh-CN"/>
        </w:rPr>
        <w:t>西宁街道</w:t>
      </w:r>
      <w:r>
        <w:rPr>
          <w:rFonts w:hint="eastAsia"/>
        </w:rPr>
        <w:t>20</w:t>
      </w:r>
      <w:r>
        <w:rPr>
          <w:rFonts w:hint="eastAsia"/>
          <w:lang w:val="en-US" w:eastAsia="zh-CN"/>
        </w:rPr>
        <w:t>24</w:t>
      </w:r>
      <w:r>
        <w:rPr>
          <w:rFonts w:hint="eastAsia"/>
        </w:rPr>
        <w:t>年“三公”经费财政拨款预算数</w:t>
      </w:r>
      <w:r>
        <w:rPr>
          <w:rFonts w:hint="eastAsia"/>
          <w:lang w:val="en-US" w:eastAsia="zh-CN"/>
        </w:rPr>
        <w:t>6</w:t>
      </w:r>
      <w:r>
        <w:rPr>
          <w:rFonts w:hint="eastAsia"/>
        </w:rPr>
        <w:t>万元，其中：因公出国（境）经费</w:t>
      </w:r>
      <w:r>
        <w:rPr>
          <w:rFonts w:hint="eastAsia"/>
          <w:lang w:val="en-US" w:eastAsia="zh-CN"/>
        </w:rPr>
        <w:t>0</w:t>
      </w:r>
      <w:r>
        <w:rPr>
          <w:rFonts w:hint="eastAsia"/>
        </w:rPr>
        <w:t>万元，公务接待费</w:t>
      </w:r>
      <w:r>
        <w:rPr>
          <w:rFonts w:hint="eastAsia" w:ascii="楷体_GB2312" w:eastAsia="楷体_GB2312"/>
          <w:lang w:val="en-US" w:eastAsia="zh-CN"/>
        </w:rPr>
        <w:t>0</w:t>
      </w:r>
      <w:r>
        <w:rPr>
          <w:rFonts w:hint="eastAsia"/>
        </w:rPr>
        <w:t>万元，公务用车购置及运行维护费</w:t>
      </w:r>
      <w:r>
        <w:rPr>
          <w:rFonts w:hint="eastAsia"/>
          <w:lang w:val="en-US" w:eastAsia="zh-CN"/>
        </w:rPr>
        <w:t>6</w:t>
      </w:r>
      <w:r>
        <w:rPr>
          <w:rFonts w:hint="eastAsia"/>
        </w:rPr>
        <w:t>万元。</w:t>
      </w:r>
    </w:p>
    <w:p>
      <w:pPr>
        <w:spacing w:line="600" w:lineRule="exact"/>
        <w:ind w:firstLine="632" w:firstLineChars="200"/>
        <w:rPr>
          <w:rFonts w:hint="eastAsia"/>
        </w:rPr>
      </w:pPr>
      <w:r>
        <w:rPr>
          <w:rFonts w:eastAsia="楷体_GB2312"/>
          <w:b/>
        </w:rPr>
        <w:t>（一）因公出国（境</w:t>
      </w:r>
      <w:r>
        <w:rPr>
          <w:rFonts w:eastAsia="楷体_GB2312"/>
          <w:b/>
          <w:bCs w:val="0"/>
        </w:rPr>
        <w:t>）经费</w:t>
      </w:r>
      <w:r>
        <w:rPr>
          <w:rFonts w:eastAsia="楷体_GB2312"/>
          <w:b/>
        </w:rPr>
        <w:t>较</w:t>
      </w:r>
      <w:r>
        <w:rPr>
          <w:rFonts w:ascii="Times New Roman" w:hAnsi="Times New Roman" w:eastAsia="楷体_GB2312" w:cs="Times New Roman"/>
          <w:b/>
          <w:bCs w:val="0"/>
        </w:rPr>
        <w:t>与</w:t>
      </w:r>
      <w:r>
        <w:rPr>
          <w:rFonts w:hint="eastAsia" w:ascii="Times New Roman" w:hAnsi="Times New Roman" w:eastAsia="楷体_GB2312" w:cs="Times New Roman"/>
          <w:b/>
          <w:bCs w:val="0"/>
        </w:rPr>
        <w:t>20</w:t>
      </w:r>
      <w:r>
        <w:rPr>
          <w:rFonts w:hint="eastAsia" w:ascii="Times New Roman" w:hAnsi="Times New Roman" w:eastAsia="楷体_GB2312" w:cs="Times New Roman"/>
          <w:b/>
          <w:bCs w:val="0"/>
          <w:lang w:val="en-US" w:eastAsia="zh-CN"/>
        </w:rPr>
        <w:t>2</w:t>
      </w:r>
      <w:r>
        <w:rPr>
          <w:rFonts w:hint="eastAsia" w:eastAsia="楷体_GB2312" w:cs="Times New Roman"/>
          <w:b/>
          <w:bCs w:val="0"/>
          <w:lang w:val="en-US" w:eastAsia="zh-CN"/>
        </w:rPr>
        <w:t>4</w:t>
      </w:r>
      <w:r>
        <w:rPr>
          <w:rFonts w:hint="eastAsia" w:ascii="Times New Roman" w:hAnsi="Times New Roman" w:eastAsia="楷体_GB2312" w:cs="Times New Roman"/>
          <w:b/>
          <w:bCs w:val="0"/>
        </w:rPr>
        <w:t>年</w:t>
      </w:r>
      <w:r>
        <w:rPr>
          <w:rFonts w:ascii="Times New Roman" w:hAnsi="Times New Roman" w:eastAsia="楷体_GB2312" w:cs="Times New Roman"/>
          <w:b/>
          <w:bCs w:val="0"/>
        </w:rPr>
        <w:t>预算持平</w:t>
      </w:r>
      <w:r>
        <w:rPr>
          <w:rFonts w:eastAsia="楷体_GB2312"/>
          <w:b/>
        </w:rPr>
        <w:t>。</w:t>
      </w:r>
      <w:r>
        <w:rPr>
          <w:rFonts w:hint="eastAsia" w:ascii="Times New Roman" w:hAnsi="Times New Roman" w:cs="Times New Roman"/>
        </w:rPr>
        <w:t>主要原因是</w:t>
      </w:r>
      <w:r>
        <w:rPr>
          <w:rFonts w:hint="eastAsia" w:ascii="Times New Roman" w:hAnsi="Times New Roman" w:cs="Times New Roman"/>
          <w:lang w:val="en-US" w:eastAsia="zh-CN"/>
        </w:rPr>
        <w:t>预算为0</w:t>
      </w:r>
      <w:r>
        <w:rPr>
          <w:rFonts w:hint="eastAsia" w:ascii="Times New Roman" w:hAnsi="Times New Roman" w:cs="Times New Roman"/>
        </w:rPr>
        <w:t>。</w:t>
      </w:r>
    </w:p>
    <w:p>
      <w:pPr>
        <w:spacing w:line="600" w:lineRule="exact"/>
        <w:ind w:firstLine="632" w:firstLineChars="200"/>
      </w:pPr>
      <w:r>
        <w:rPr>
          <w:rFonts w:hint="eastAsia" w:eastAsia="楷体_GB2312"/>
          <w:b/>
        </w:rPr>
        <w:t>（二）</w:t>
      </w:r>
      <w:r>
        <w:rPr>
          <w:rFonts w:hint="eastAsia" w:ascii="Times New Roman" w:hAnsi="Times New Roman" w:eastAsia="楷体_GB2312" w:cs="Times New Roman"/>
          <w:b/>
        </w:rPr>
        <w:t>公务接待费与20</w:t>
      </w:r>
      <w:r>
        <w:rPr>
          <w:rFonts w:hint="eastAsia" w:ascii="Times New Roman" w:hAnsi="Times New Roman" w:eastAsia="楷体_GB2312" w:cs="Times New Roman"/>
          <w:b/>
          <w:lang w:val="en-US" w:eastAsia="zh-CN"/>
        </w:rPr>
        <w:t>2</w:t>
      </w:r>
      <w:r>
        <w:rPr>
          <w:rFonts w:hint="eastAsia" w:eastAsia="楷体_GB2312" w:cs="Times New Roman"/>
          <w:b/>
          <w:lang w:val="en-US" w:eastAsia="zh-CN"/>
        </w:rPr>
        <w:t>4</w:t>
      </w:r>
      <w:r>
        <w:rPr>
          <w:rFonts w:hint="eastAsia" w:ascii="Times New Roman" w:hAnsi="Times New Roman" w:eastAsia="楷体_GB2312" w:cs="Times New Roman"/>
          <w:b/>
        </w:rPr>
        <w:t>年预算持平</w:t>
      </w:r>
      <w:r>
        <w:rPr>
          <w:rFonts w:hint="eastAsia" w:ascii="Times New Roman" w:hAnsi="Times New Roman" w:eastAsia="楷体_GB2312" w:cs="Times New Roman"/>
          <w:b/>
          <w:lang w:eastAsia="zh-CN"/>
        </w:rPr>
        <w:t>。</w:t>
      </w:r>
      <w:r>
        <w:rPr>
          <w:rFonts w:hint="eastAsia" w:ascii="Times New Roman" w:hAnsi="Times New Roman" w:cs="Times New Roman"/>
        </w:rPr>
        <w:t>主要原因是</w:t>
      </w:r>
      <w:r>
        <w:rPr>
          <w:rFonts w:hint="eastAsia" w:ascii="Times New Roman" w:hAnsi="Times New Roman" w:cs="Times New Roman"/>
          <w:lang w:val="en-US" w:eastAsia="zh-CN"/>
        </w:rPr>
        <w:t>预算为0</w:t>
      </w:r>
      <w:r>
        <w:rPr>
          <w:rFonts w:hint="eastAsia" w:ascii="Times New Roman" w:hAnsi="Times New Roman" w:cs="Times New Roman"/>
        </w:rPr>
        <w:t>。</w:t>
      </w:r>
    </w:p>
    <w:p>
      <w:pPr>
        <w:spacing w:line="600" w:lineRule="exact"/>
        <w:ind w:firstLine="632" w:firstLineChars="200"/>
        <w:rPr>
          <w:rFonts w:hint="eastAsia"/>
        </w:rPr>
      </w:pPr>
      <w:r>
        <w:rPr>
          <w:rFonts w:hint="eastAsia" w:eastAsia="楷体_GB2312"/>
          <w:b/>
        </w:rPr>
        <w:t>（三）公务用车购置及运行维护费较</w:t>
      </w:r>
      <w:r>
        <w:rPr>
          <w:rFonts w:eastAsia="楷体_GB2312"/>
          <w:b/>
          <w:color w:val="auto"/>
          <w:u w:val="none"/>
        </w:rPr>
        <w:t>与</w:t>
      </w:r>
      <w:r>
        <w:rPr>
          <w:rFonts w:hint="eastAsia" w:eastAsia="楷体_GB2312"/>
          <w:b/>
          <w:color w:val="auto"/>
          <w:u w:val="none"/>
        </w:rPr>
        <w:t>20</w:t>
      </w:r>
      <w:r>
        <w:rPr>
          <w:rFonts w:hint="eastAsia" w:eastAsia="楷体_GB2312"/>
          <w:b/>
          <w:color w:val="auto"/>
          <w:u w:val="none"/>
          <w:lang w:val="en-US" w:eastAsia="zh-CN"/>
        </w:rPr>
        <w:t>24</w:t>
      </w:r>
      <w:r>
        <w:rPr>
          <w:rFonts w:hint="eastAsia" w:eastAsia="楷体_GB2312"/>
          <w:b/>
          <w:color w:val="auto"/>
          <w:u w:val="none"/>
        </w:rPr>
        <w:t>年</w:t>
      </w:r>
      <w:r>
        <w:rPr>
          <w:rFonts w:eastAsia="楷体_GB2312"/>
          <w:b/>
          <w:color w:val="auto"/>
          <w:u w:val="none"/>
        </w:rPr>
        <w:t>预算持平</w:t>
      </w:r>
      <w:r>
        <w:rPr>
          <w:rFonts w:hint="eastAsia" w:eastAsia="楷体_GB2312"/>
          <w:b/>
        </w:rPr>
        <w:t>。</w:t>
      </w:r>
      <w:r>
        <w:rPr>
          <w:rFonts w:hint="eastAsia"/>
        </w:rPr>
        <w:t>主要原因是</w:t>
      </w:r>
      <w:r>
        <w:rPr>
          <w:rFonts w:hint="eastAsia"/>
          <w:lang w:val="en-US" w:eastAsia="zh-CN"/>
        </w:rPr>
        <w:t>预算金额6万元</w:t>
      </w:r>
      <w:r>
        <w:rPr>
          <w:rFonts w:hint="eastAsia"/>
        </w:rPr>
        <w:t>。</w:t>
      </w:r>
    </w:p>
    <w:p>
      <w:pPr>
        <w:spacing w:line="600" w:lineRule="exact"/>
        <w:ind w:firstLine="632" w:firstLineChars="200"/>
        <w:rPr>
          <w:rFonts w:hint="eastAsia"/>
        </w:rPr>
      </w:pPr>
      <w:r>
        <w:rPr>
          <w:rFonts w:hint="eastAsia"/>
        </w:rPr>
        <w:t>部门现有公务用车</w:t>
      </w:r>
      <w:r>
        <w:rPr>
          <w:rFonts w:hint="eastAsia"/>
          <w:lang w:val="en-US" w:eastAsia="zh-CN"/>
        </w:rPr>
        <w:t>2</w:t>
      </w:r>
      <w:r>
        <w:rPr>
          <w:rFonts w:hint="eastAsia"/>
        </w:rPr>
        <w:t>辆，其中：轿车</w:t>
      </w:r>
      <w:r>
        <w:rPr>
          <w:rFonts w:hint="eastAsia"/>
          <w:lang w:val="en-US" w:eastAsia="zh-CN"/>
        </w:rPr>
        <w:t>2</w:t>
      </w:r>
      <w:r>
        <w:rPr>
          <w:rFonts w:hint="eastAsia"/>
        </w:rPr>
        <w:t>辆，越野车</w:t>
      </w:r>
      <w:r>
        <w:rPr>
          <w:rFonts w:hint="eastAsia"/>
          <w:lang w:val="en-US" w:eastAsia="zh-CN"/>
        </w:rPr>
        <w:t>0</w:t>
      </w:r>
      <w:r>
        <w:rPr>
          <w:rFonts w:hint="eastAsia"/>
        </w:rPr>
        <w:t>辆，大型客、货车</w:t>
      </w:r>
      <w:r>
        <w:rPr>
          <w:rFonts w:hint="eastAsia"/>
          <w:lang w:val="en-US" w:eastAsia="zh-CN"/>
        </w:rPr>
        <w:t>0</w:t>
      </w:r>
      <w:r>
        <w:rPr>
          <w:rFonts w:hint="eastAsia"/>
        </w:rPr>
        <w:t>辆。</w:t>
      </w:r>
    </w:p>
    <w:p>
      <w:pPr>
        <w:spacing w:line="600" w:lineRule="exact"/>
        <w:ind w:firstLine="632" w:firstLineChars="200"/>
        <w:rPr>
          <w:rFonts w:hint="eastAsia"/>
        </w:rPr>
      </w:pPr>
      <w:r>
        <w:rPr>
          <w:rFonts w:hint="eastAsia"/>
        </w:rPr>
        <w:t>20</w:t>
      </w:r>
      <w:r>
        <w:rPr>
          <w:rFonts w:hint="eastAsia"/>
          <w:lang w:val="en-US" w:eastAsia="zh-CN"/>
        </w:rPr>
        <w:t>24</w:t>
      </w:r>
      <w:r>
        <w:rPr>
          <w:rFonts w:hint="eastAsia"/>
        </w:rPr>
        <w:t>年安排公务用车购置费</w:t>
      </w:r>
      <w:r>
        <w:rPr>
          <w:rFonts w:hint="eastAsia"/>
          <w:lang w:val="en-US" w:eastAsia="zh-CN"/>
        </w:rPr>
        <w:t>0</w:t>
      </w:r>
      <w:r>
        <w:rPr>
          <w:rFonts w:hint="eastAsia"/>
        </w:rPr>
        <w:t>万元。</w:t>
      </w:r>
    </w:p>
    <w:p>
      <w:pPr>
        <w:spacing w:line="600" w:lineRule="exact"/>
        <w:ind w:firstLine="632" w:firstLineChars="200"/>
        <w:rPr>
          <w:rFonts w:hint="eastAsia"/>
        </w:rPr>
      </w:pPr>
      <w:r>
        <w:rPr>
          <w:rFonts w:hint="eastAsia"/>
        </w:rPr>
        <w:t>20</w:t>
      </w:r>
      <w:r>
        <w:rPr>
          <w:rFonts w:hint="eastAsia"/>
          <w:lang w:val="en-US" w:eastAsia="zh-CN"/>
        </w:rPr>
        <w:t>24</w:t>
      </w:r>
      <w:r>
        <w:rPr>
          <w:rFonts w:hint="eastAsia"/>
        </w:rPr>
        <w:t>年安排公务用车运行维护费</w:t>
      </w:r>
      <w:r>
        <w:rPr>
          <w:rFonts w:hint="eastAsia"/>
          <w:lang w:val="en-US" w:eastAsia="zh-CN"/>
        </w:rPr>
        <w:t>6</w:t>
      </w:r>
      <w:r>
        <w:rPr>
          <w:rFonts w:hint="eastAsia"/>
        </w:rPr>
        <w:t>万元，用于</w:t>
      </w:r>
      <w:r>
        <w:rPr>
          <w:rFonts w:hint="eastAsia"/>
          <w:lang w:val="en-US" w:eastAsia="zh-CN"/>
        </w:rPr>
        <w:t>2</w:t>
      </w:r>
      <w:r>
        <w:rPr>
          <w:rFonts w:hint="eastAsia"/>
        </w:rPr>
        <w:t>辆公务用车</w:t>
      </w:r>
      <w:r>
        <w:rPr>
          <w:rFonts w:hint="eastAsia"/>
          <w:color w:val="auto"/>
          <w:u w:val="none"/>
        </w:rPr>
        <w:t>燃油、维修、保险</w:t>
      </w:r>
      <w:r>
        <w:rPr>
          <w:rFonts w:hint="eastAsia"/>
        </w:rPr>
        <w:t>等方面支出，主要保障</w:t>
      </w:r>
      <w:r>
        <w:rPr>
          <w:rFonts w:hint="eastAsia"/>
          <w:lang w:val="en-US" w:eastAsia="zh-CN"/>
        </w:rPr>
        <w:t>机关日常运行</w:t>
      </w:r>
      <w:r>
        <w:rPr>
          <w:rFonts w:hint="eastAsia"/>
        </w:rPr>
        <w:t>等工作开展。</w:t>
      </w:r>
    </w:p>
    <w:p>
      <w:pPr>
        <w:spacing w:line="600" w:lineRule="exact"/>
        <w:ind w:firstLine="632" w:firstLineChars="200"/>
        <w:rPr>
          <w:rFonts w:hint="eastAsia" w:ascii="黑体" w:hAnsi="黑体" w:eastAsia="黑体"/>
        </w:rPr>
      </w:pPr>
      <w:r>
        <w:rPr>
          <w:rFonts w:hint="eastAsia" w:ascii="黑体" w:hAnsi="黑体" w:eastAsia="黑体"/>
        </w:rPr>
        <w:t>八、“会议费”、“培训费”、“差旅费”财政拨款预算安排情况说明</w:t>
      </w:r>
    </w:p>
    <w:p>
      <w:pPr>
        <w:spacing w:line="600" w:lineRule="exact"/>
        <w:ind w:firstLine="632" w:firstLineChars="200"/>
        <w:rPr>
          <w:rFonts w:hint="eastAsia"/>
        </w:rPr>
      </w:pPr>
      <w:r>
        <w:rPr>
          <w:rFonts w:hint="eastAsia"/>
          <w:lang w:val="en-US" w:eastAsia="zh-CN"/>
        </w:rPr>
        <w:t>西宁街道</w:t>
      </w:r>
      <w:r>
        <w:rPr>
          <w:rFonts w:hint="eastAsia"/>
        </w:rPr>
        <w:t>20</w:t>
      </w:r>
      <w:r>
        <w:rPr>
          <w:rFonts w:hint="eastAsia"/>
          <w:lang w:val="en-US" w:eastAsia="zh-CN"/>
        </w:rPr>
        <w:t>24</w:t>
      </w:r>
      <w:r>
        <w:rPr>
          <w:rFonts w:hint="eastAsia"/>
        </w:rPr>
        <w:t>年“会议费”、“培训费”、“差旅费”财政拨款预算数</w:t>
      </w:r>
      <w:r>
        <w:rPr>
          <w:rFonts w:hint="eastAsia"/>
          <w:lang w:val="en-US" w:eastAsia="zh-CN"/>
        </w:rPr>
        <w:t>13.1</w:t>
      </w:r>
      <w:r>
        <w:rPr>
          <w:rFonts w:hint="eastAsia"/>
        </w:rPr>
        <w:t>万元，其中：会议费</w:t>
      </w:r>
      <w:r>
        <w:rPr>
          <w:rFonts w:hint="eastAsia" w:ascii="楷体_GB2312" w:eastAsia="楷体_GB2312"/>
          <w:lang w:val="en-US" w:eastAsia="zh-CN"/>
        </w:rPr>
        <w:t>0</w:t>
      </w:r>
      <w:r>
        <w:rPr>
          <w:rFonts w:hint="eastAsia"/>
        </w:rPr>
        <w:t>万元，培训费</w:t>
      </w:r>
      <w:r>
        <w:rPr>
          <w:rFonts w:hint="eastAsia"/>
          <w:lang w:val="en-US" w:eastAsia="zh-CN"/>
        </w:rPr>
        <w:t>0.5</w:t>
      </w:r>
      <w:r>
        <w:rPr>
          <w:rFonts w:hint="eastAsia"/>
        </w:rPr>
        <w:t>万元，差旅费</w:t>
      </w:r>
      <w:r>
        <w:rPr>
          <w:rFonts w:hint="eastAsia"/>
          <w:lang w:val="en-US" w:eastAsia="zh-CN"/>
        </w:rPr>
        <w:t>12.6</w:t>
      </w:r>
      <w:r>
        <w:rPr>
          <w:rFonts w:hint="eastAsia"/>
        </w:rPr>
        <w:t>万元。</w:t>
      </w:r>
    </w:p>
    <w:p>
      <w:pPr>
        <w:spacing w:line="600" w:lineRule="exact"/>
        <w:ind w:firstLine="632" w:firstLineChars="200"/>
        <w:rPr>
          <w:rFonts w:hint="eastAsia"/>
        </w:rPr>
      </w:pPr>
      <w:r>
        <w:rPr>
          <w:rFonts w:hint="eastAsia" w:eastAsia="楷体_GB2312"/>
          <w:b/>
        </w:rPr>
        <w:t>（一）会议费较</w:t>
      </w:r>
      <w:r>
        <w:rPr>
          <w:rFonts w:hint="eastAsia" w:eastAsia="楷体_GB2312"/>
          <w:b/>
          <w:color w:val="auto"/>
          <w:u w:val="none"/>
        </w:rPr>
        <w:t>20</w:t>
      </w:r>
      <w:r>
        <w:rPr>
          <w:rFonts w:hint="eastAsia" w:eastAsia="楷体_GB2312"/>
          <w:b/>
          <w:color w:val="auto"/>
          <w:u w:val="none"/>
          <w:lang w:val="en-US" w:eastAsia="zh-CN"/>
        </w:rPr>
        <w:t>23</w:t>
      </w:r>
      <w:r>
        <w:rPr>
          <w:rFonts w:hint="eastAsia" w:eastAsia="楷体_GB2312"/>
          <w:b/>
          <w:color w:val="auto"/>
          <w:u w:val="none"/>
        </w:rPr>
        <w:t>年</w:t>
      </w:r>
      <w:r>
        <w:rPr>
          <w:rFonts w:eastAsia="楷体_GB2312"/>
          <w:b/>
          <w:color w:val="auto"/>
          <w:u w:val="none"/>
        </w:rPr>
        <w:t>预算持平</w:t>
      </w:r>
      <w:r>
        <w:rPr>
          <w:rFonts w:hint="eastAsia" w:eastAsia="楷体_GB2312"/>
          <w:b/>
        </w:rPr>
        <w:t>。</w:t>
      </w:r>
      <w:r>
        <w:rPr>
          <w:rFonts w:hint="eastAsia"/>
        </w:rPr>
        <w:t>主要原因是</w:t>
      </w:r>
      <w:r>
        <w:rPr>
          <w:rFonts w:hint="eastAsia"/>
          <w:lang w:val="en-US" w:eastAsia="zh-CN"/>
        </w:rPr>
        <w:t>未预算相关费用</w:t>
      </w:r>
      <w:r>
        <w:rPr>
          <w:rFonts w:hint="eastAsia"/>
        </w:rPr>
        <w:t>。</w:t>
      </w:r>
    </w:p>
    <w:p>
      <w:pPr>
        <w:spacing w:line="600" w:lineRule="exact"/>
        <w:ind w:firstLine="632" w:firstLineChars="200"/>
        <w:rPr>
          <w:rFonts w:hint="eastAsia"/>
          <w:color w:val="0000FF"/>
        </w:rPr>
      </w:pPr>
      <w:r>
        <w:rPr>
          <w:rFonts w:hint="eastAsia" w:eastAsia="楷体_GB2312"/>
          <w:b/>
        </w:rPr>
        <w:t>（二）培训费较20</w:t>
      </w:r>
      <w:r>
        <w:rPr>
          <w:rFonts w:hint="eastAsia" w:eastAsia="楷体_GB2312"/>
          <w:b/>
          <w:lang w:val="en-US" w:eastAsia="zh-CN"/>
        </w:rPr>
        <w:t>23</w:t>
      </w:r>
      <w:r>
        <w:rPr>
          <w:rFonts w:hint="eastAsia" w:eastAsia="楷体_GB2312"/>
          <w:b/>
        </w:rPr>
        <w:t>年</w:t>
      </w:r>
      <w:r>
        <w:rPr>
          <w:rFonts w:eastAsia="楷体_GB2312"/>
          <w:b/>
          <w:color w:val="auto"/>
          <w:u w:val="none"/>
        </w:rPr>
        <w:t>预算持平</w:t>
      </w:r>
      <w:r>
        <w:rPr>
          <w:rFonts w:hint="eastAsia" w:eastAsia="楷体_GB2312"/>
          <w:b/>
        </w:rPr>
        <w:t>。</w:t>
      </w:r>
      <w:r>
        <w:rPr>
          <w:rFonts w:hint="eastAsia"/>
        </w:rPr>
        <w:t>主要原因</w:t>
      </w:r>
      <w:r>
        <w:rPr>
          <w:rFonts w:hint="eastAsia"/>
          <w:color w:val="auto"/>
        </w:rPr>
        <w:t>是</w:t>
      </w:r>
      <w:r>
        <w:rPr>
          <w:rFonts w:hint="eastAsia"/>
          <w:color w:val="auto"/>
          <w:lang w:val="en-US" w:eastAsia="zh-CN"/>
        </w:rPr>
        <w:t>预算培训</w:t>
      </w:r>
      <w:r>
        <w:rPr>
          <w:rFonts w:hint="eastAsia"/>
          <w:color w:val="0000FF"/>
        </w:rPr>
        <w:t>。</w:t>
      </w:r>
    </w:p>
    <w:p>
      <w:pPr>
        <w:spacing w:line="600" w:lineRule="exact"/>
        <w:ind w:firstLine="632" w:firstLineChars="200"/>
        <w:rPr>
          <w:rFonts w:hint="eastAsia"/>
        </w:rPr>
      </w:pPr>
      <w:r>
        <w:rPr>
          <w:rFonts w:hint="eastAsia" w:eastAsia="楷体_GB2312"/>
          <w:b/>
        </w:rPr>
        <w:t>（三）差旅费较20</w:t>
      </w:r>
      <w:r>
        <w:rPr>
          <w:rFonts w:hint="eastAsia" w:eastAsia="楷体_GB2312"/>
          <w:b/>
          <w:lang w:val="en-US" w:eastAsia="zh-CN"/>
        </w:rPr>
        <w:t>23</w:t>
      </w:r>
      <w:r>
        <w:rPr>
          <w:rFonts w:hint="eastAsia" w:eastAsia="楷体_GB2312"/>
          <w:b/>
        </w:rPr>
        <w:t>年预算</w:t>
      </w:r>
      <w:r>
        <w:rPr>
          <w:rFonts w:hint="eastAsia" w:eastAsia="楷体_GB2312"/>
          <w:b/>
          <w:lang w:eastAsia="zh-CN"/>
        </w:rPr>
        <w:t>降低</w:t>
      </w:r>
      <w:r>
        <w:rPr>
          <w:rFonts w:hint="eastAsia" w:eastAsia="楷体_GB2312"/>
          <w:b/>
          <w:lang w:val="en-US" w:eastAsia="zh-CN"/>
        </w:rPr>
        <w:t>36.04</w:t>
      </w:r>
      <w:r>
        <w:rPr>
          <w:rFonts w:hint="eastAsia" w:eastAsia="楷体_GB2312"/>
          <w:b/>
        </w:rPr>
        <w:t>%。</w:t>
      </w:r>
      <w:r>
        <w:rPr>
          <w:rFonts w:hint="eastAsia"/>
          <w:lang w:val="en-US" w:eastAsia="zh-CN"/>
        </w:rPr>
        <w:t>表动幅度较大</w:t>
      </w:r>
      <w:r>
        <w:rPr>
          <w:rFonts w:hint="eastAsia"/>
        </w:rPr>
        <w:t>。</w:t>
      </w:r>
    </w:p>
    <w:p>
      <w:pPr>
        <w:spacing w:line="600" w:lineRule="exact"/>
        <w:ind w:firstLine="632" w:firstLineChars="200"/>
        <w:rPr>
          <w:rFonts w:hint="eastAsia" w:ascii="黑体" w:hAnsi="黑体" w:eastAsia="黑体"/>
        </w:rPr>
      </w:pPr>
      <w:r>
        <w:rPr>
          <w:rFonts w:hint="eastAsia" w:ascii="黑体" w:hAnsi="黑体" w:eastAsia="黑体"/>
        </w:rPr>
        <w:t>九、政府性基金预算支出情况说明</w:t>
      </w:r>
    </w:p>
    <w:p>
      <w:pPr>
        <w:spacing w:line="600" w:lineRule="exact"/>
        <w:ind w:firstLine="632" w:firstLineChars="200"/>
        <w:rPr>
          <w:rFonts w:hint="eastAsia"/>
          <w:lang w:val="en-US" w:eastAsia="zh-CN"/>
        </w:rPr>
      </w:pPr>
      <w:r>
        <w:rPr>
          <w:rFonts w:hint="eastAsia"/>
          <w:lang w:val="en-US" w:eastAsia="zh-CN"/>
        </w:rPr>
        <w:t>西宁街道</w:t>
      </w:r>
      <w:r>
        <w:rPr>
          <w:rFonts w:hint="eastAsia"/>
        </w:rPr>
        <w:t>20</w:t>
      </w:r>
      <w:r>
        <w:rPr>
          <w:rFonts w:hint="eastAsia"/>
          <w:lang w:val="en-US" w:eastAsia="zh-CN"/>
        </w:rPr>
        <w:t>24年政府性基金预算支出50万元，其中：基本支出0万元，项目支出50万元。</w:t>
      </w:r>
    </w:p>
    <w:p>
      <w:pPr>
        <w:spacing w:line="600" w:lineRule="exact"/>
        <w:ind w:firstLine="632" w:firstLineChars="200"/>
        <w:rPr>
          <w:rFonts w:ascii="黑体" w:hAnsi="黑体" w:eastAsia="黑体"/>
        </w:rPr>
      </w:pPr>
      <w:r>
        <w:rPr>
          <w:rFonts w:hint="eastAsia" w:ascii="黑体" w:hAnsi="黑体" w:eastAsia="黑体"/>
        </w:rPr>
        <w:t>十、国有资本经营预算支出情况说明</w:t>
      </w:r>
    </w:p>
    <w:p>
      <w:pPr>
        <w:spacing w:line="600" w:lineRule="exact"/>
        <w:ind w:firstLine="632" w:firstLineChars="200"/>
        <w:rPr>
          <w:rFonts w:hint="eastAsia"/>
        </w:rPr>
      </w:pPr>
      <w:r>
        <w:rPr>
          <w:rFonts w:hint="eastAsia"/>
          <w:lang w:val="en-US" w:eastAsia="zh-CN"/>
        </w:rPr>
        <w:t>西宁街道</w:t>
      </w:r>
      <w:r>
        <w:rPr>
          <w:rFonts w:hint="eastAsia"/>
        </w:rPr>
        <w:t>20</w:t>
      </w:r>
      <w:r>
        <w:rPr>
          <w:rFonts w:hint="eastAsia"/>
          <w:lang w:val="en-US" w:eastAsia="zh-CN"/>
        </w:rPr>
        <w:t>24</w:t>
      </w:r>
      <w:r>
        <w:rPr>
          <w:rFonts w:hint="eastAsia"/>
        </w:rPr>
        <w:t>年没有使用国有资本经营预算拨款安排的支出。</w:t>
      </w:r>
    </w:p>
    <w:p>
      <w:pPr>
        <w:spacing w:line="600" w:lineRule="exact"/>
        <w:ind w:firstLine="632" w:firstLineChars="200"/>
        <w:rPr>
          <w:rFonts w:hint="eastAsia" w:ascii="黑体" w:hAnsi="黑体" w:eastAsia="黑体"/>
        </w:rPr>
      </w:pPr>
      <w:r>
        <w:rPr>
          <w:rFonts w:hint="eastAsia" w:ascii="黑体" w:hAnsi="黑体" w:eastAsia="黑体"/>
        </w:rPr>
        <w:t>十一、其他重要事项的情况说明</w:t>
      </w:r>
    </w:p>
    <w:p>
      <w:pPr>
        <w:spacing w:line="600" w:lineRule="exact"/>
        <w:ind w:firstLine="632" w:firstLineChars="200"/>
        <w:rPr>
          <w:rFonts w:hint="eastAsia" w:eastAsia="楷体_GB2312"/>
          <w:b/>
        </w:rPr>
      </w:pPr>
      <w:r>
        <w:rPr>
          <w:rFonts w:hint="eastAsia" w:eastAsia="楷体_GB2312"/>
          <w:b/>
        </w:rPr>
        <w:t>（一）机关运行经费</w:t>
      </w:r>
    </w:p>
    <w:p>
      <w:pPr>
        <w:spacing w:line="600" w:lineRule="exact"/>
        <w:ind w:firstLine="632" w:firstLineChars="200"/>
        <w:rPr>
          <w:rFonts w:hint="eastAsia"/>
          <w:color w:val="auto"/>
        </w:rPr>
      </w:pPr>
      <w:r>
        <w:rPr>
          <w:rFonts w:hint="eastAsia"/>
          <w:color w:val="auto"/>
        </w:rPr>
        <w:t>20</w:t>
      </w:r>
      <w:r>
        <w:rPr>
          <w:rFonts w:hint="eastAsia"/>
          <w:color w:val="auto"/>
          <w:lang w:val="en-US" w:eastAsia="zh-CN"/>
        </w:rPr>
        <w:t>24</w:t>
      </w:r>
      <w:r>
        <w:rPr>
          <w:rFonts w:hint="eastAsia"/>
          <w:color w:val="auto"/>
        </w:rPr>
        <w:t>年，</w:t>
      </w:r>
      <w:r>
        <w:rPr>
          <w:rFonts w:hint="eastAsia"/>
          <w:color w:val="auto"/>
          <w:lang w:val="en-US" w:eastAsia="zh-CN"/>
        </w:rPr>
        <w:t>西宁街道</w:t>
      </w:r>
      <w:r>
        <w:rPr>
          <w:rFonts w:hint="eastAsia"/>
          <w:color w:val="auto"/>
        </w:rPr>
        <w:t>的机关运行经费财政拨款预算为</w:t>
      </w:r>
      <w:r>
        <w:rPr>
          <w:rFonts w:hint="eastAsia"/>
          <w:color w:val="auto"/>
          <w:lang w:val="en-US" w:eastAsia="zh-CN"/>
        </w:rPr>
        <w:t>290.62</w:t>
      </w:r>
      <w:r>
        <w:rPr>
          <w:rFonts w:hint="eastAsia"/>
          <w:color w:val="auto"/>
        </w:rPr>
        <w:t>万元，较20</w:t>
      </w:r>
      <w:r>
        <w:rPr>
          <w:rFonts w:hint="eastAsia"/>
          <w:color w:val="auto"/>
          <w:lang w:val="en-US" w:eastAsia="zh-CN"/>
        </w:rPr>
        <w:t>23</w:t>
      </w:r>
      <w:r>
        <w:rPr>
          <w:rFonts w:hint="eastAsia"/>
          <w:color w:val="auto"/>
        </w:rPr>
        <w:t>年预</w:t>
      </w:r>
      <w:r>
        <w:rPr>
          <w:rFonts w:hint="eastAsia"/>
          <w:color w:val="auto"/>
          <w:u w:val="none"/>
        </w:rPr>
        <w:t>算</w:t>
      </w:r>
      <w:r>
        <w:rPr>
          <w:rFonts w:hint="eastAsia"/>
          <w:color w:val="auto"/>
          <w:u w:val="none"/>
          <w:lang w:val="en-US" w:eastAsia="zh-CN"/>
        </w:rPr>
        <w:t>增加137.99</w:t>
      </w:r>
      <w:r>
        <w:rPr>
          <w:rFonts w:hint="eastAsia"/>
          <w:color w:val="auto"/>
          <w:u w:val="none"/>
        </w:rPr>
        <w:t>万元，</w:t>
      </w:r>
      <w:r>
        <w:rPr>
          <w:rFonts w:hint="eastAsia"/>
          <w:color w:val="auto"/>
          <w:u w:val="none"/>
          <w:lang w:val="en-US" w:eastAsia="zh-CN"/>
        </w:rPr>
        <w:t>因增加了人员及社区及标准</w:t>
      </w:r>
      <w:r>
        <w:rPr>
          <w:rFonts w:hint="eastAsia"/>
          <w:color w:val="auto"/>
          <w:u w:val="none"/>
        </w:rPr>
        <w:t>。</w:t>
      </w:r>
    </w:p>
    <w:p>
      <w:pPr>
        <w:spacing w:line="600" w:lineRule="exact"/>
        <w:ind w:firstLine="632" w:firstLineChars="200"/>
        <w:rPr>
          <w:rFonts w:hint="eastAsia" w:eastAsia="楷体_GB2312"/>
          <w:b/>
        </w:rPr>
      </w:pPr>
      <w:r>
        <w:rPr>
          <w:rFonts w:hint="eastAsia" w:eastAsia="楷体_GB2312"/>
          <w:b/>
        </w:rPr>
        <w:t>（</w:t>
      </w:r>
      <w:r>
        <w:rPr>
          <w:rFonts w:hint="eastAsia" w:eastAsia="楷体_GB2312"/>
          <w:b/>
          <w:lang w:eastAsia="zh-CN"/>
        </w:rPr>
        <w:t>二</w:t>
      </w:r>
      <w:r>
        <w:rPr>
          <w:rFonts w:hint="eastAsia" w:eastAsia="楷体_GB2312"/>
          <w:b/>
        </w:rPr>
        <w:t>）国有资产占有使用情况</w:t>
      </w:r>
    </w:p>
    <w:p>
      <w:pPr>
        <w:spacing w:line="600" w:lineRule="exact"/>
        <w:ind w:firstLine="632" w:firstLineChars="200"/>
        <w:rPr>
          <w:rFonts w:hint="eastAsia"/>
          <w:color w:val="auto"/>
        </w:rPr>
      </w:pPr>
      <w:r>
        <w:rPr>
          <w:rFonts w:hint="eastAsia"/>
        </w:rPr>
        <w:t>截至20</w:t>
      </w:r>
      <w:r>
        <w:rPr>
          <w:rFonts w:hint="eastAsia"/>
          <w:lang w:val="en-US" w:eastAsia="zh-CN"/>
        </w:rPr>
        <w:t>23</w:t>
      </w:r>
      <w:r>
        <w:rPr>
          <w:rFonts w:hint="eastAsia"/>
        </w:rPr>
        <w:t>年底，</w:t>
      </w:r>
      <w:r>
        <w:rPr>
          <w:rFonts w:hint="eastAsia"/>
          <w:lang w:val="en-US" w:eastAsia="zh-CN"/>
        </w:rPr>
        <w:t>西宁街道</w:t>
      </w:r>
      <w:r>
        <w:rPr>
          <w:rFonts w:hint="eastAsia"/>
        </w:rPr>
        <w:t>所属各预算单位共有车辆</w:t>
      </w:r>
      <w:r>
        <w:rPr>
          <w:rFonts w:hint="eastAsia" w:ascii="楷体_GB2312" w:eastAsia="楷体_GB2312"/>
          <w:lang w:val="en-US" w:eastAsia="zh-CN"/>
        </w:rPr>
        <w:t>2</w:t>
      </w:r>
      <w:r>
        <w:rPr>
          <w:rFonts w:hint="eastAsia"/>
        </w:rPr>
        <w:t>辆，其中，地厅级领导干部用车</w:t>
      </w:r>
      <w:r>
        <w:rPr>
          <w:rFonts w:hint="eastAsia"/>
          <w:lang w:val="en-US" w:eastAsia="zh-CN"/>
        </w:rPr>
        <w:t>0</w:t>
      </w:r>
      <w:r>
        <w:rPr>
          <w:rFonts w:hint="eastAsia"/>
        </w:rPr>
        <w:t>辆、定向保障用车</w:t>
      </w:r>
      <w:r>
        <w:rPr>
          <w:rFonts w:hint="eastAsia"/>
          <w:lang w:val="en-US" w:eastAsia="zh-CN"/>
        </w:rPr>
        <w:t>0</w:t>
      </w:r>
      <w:r>
        <w:rPr>
          <w:rFonts w:hint="eastAsia"/>
        </w:rPr>
        <w:t>辆、</w:t>
      </w:r>
      <w:r>
        <w:rPr>
          <w:rFonts w:hint="eastAsia"/>
          <w:color w:val="auto"/>
        </w:rPr>
        <w:t>执法执勤用车</w:t>
      </w:r>
      <w:r>
        <w:rPr>
          <w:rFonts w:hint="eastAsia"/>
          <w:color w:val="auto"/>
          <w:lang w:val="en-US" w:eastAsia="zh-CN"/>
        </w:rPr>
        <w:t>0</w:t>
      </w:r>
      <w:r>
        <w:rPr>
          <w:rFonts w:hint="eastAsia"/>
          <w:color w:val="auto"/>
        </w:rPr>
        <w:t>辆。单位价值</w:t>
      </w:r>
      <w:r>
        <w:rPr>
          <w:color w:val="auto"/>
        </w:rPr>
        <w:t>200</w:t>
      </w:r>
      <w:r>
        <w:rPr>
          <w:rFonts w:hint="eastAsia"/>
          <w:color w:val="auto"/>
        </w:rPr>
        <w:t>万元以上大型设备</w:t>
      </w:r>
      <w:r>
        <w:rPr>
          <w:rFonts w:hint="eastAsia" w:ascii="楷体_GB2312" w:eastAsia="楷体_GB2312"/>
          <w:color w:val="auto"/>
          <w:lang w:val="en-US" w:eastAsia="zh-CN"/>
        </w:rPr>
        <w:t>0</w:t>
      </w:r>
      <w:r>
        <w:rPr>
          <w:rFonts w:hint="eastAsia"/>
          <w:color w:val="auto"/>
        </w:rPr>
        <w:t>台（套）。</w:t>
      </w:r>
    </w:p>
    <w:p>
      <w:pPr>
        <w:spacing w:line="600" w:lineRule="exact"/>
        <w:ind w:firstLine="632" w:firstLineChars="200"/>
        <w:rPr>
          <w:rFonts w:hint="eastAsia"/>
        </w:rPr>
      </w:pPr>
      <w:r>
        <w:rPr>
          <w:rFonts w:hint="eastAsia"/>
        </w:rPr>
        <w:t>20</w:t>
      </w:r>
      <w:r>
        <w:rPr>
          <w:rFonts w:hint="eastAsia"/>
          <w:lang w:val="en-US" w:eastAsia="zh-CN"/>
        </w:rPr>
        <w:t>24</w:t>
      </w:r>
      <w:r>
        <w:rPr>
          <w:rFonts w:hint="eastAsia"/>
        </w:rPr>
        <w:t>年部门预算安排车辆购置经费</w:t>
      </w:r>
      <w:r>
        <w:rPr>
          <w:rFonts w:hint="eastAsia"/>
          <w:lang w:val="en-US" w:eastAsia="zh-CN"/>
        </w:rPr>
        <w:t>0</w:t>
      </w:r>
      <w:r>
        <w:rPr>
          <w:rFonts w:hint="eastAsia"/>
        </w:rPr>
        <w:t>万元。其中，财政拨款预算安排</w:t>
      </w:r>
      <w:r>
        <w:rPr>
          <w:rFonts w:hint="eastAsia"/>
          <w:lang w:val="en-US" w:eastAsia="zh-CN"/>
        </w:rPr>
        <w:t>0</w:t>
      </w:r>
      <w:r>
        <w:rPr>
          <w:rFonts w:hint="eastAsia"/>
        </w:rPr>
        <w:t>万元，非财政拨款安排</w:t>
      </w:r>
      <w:r>
        <w:rPr>
          <w:rFonts w:hint="eastAsia"/>
          <w:lang w:val="en-US" w:eastAsia="zh-CN"/>
        </w:rPr>
        <w:t>0</w:t>
      </w:r>
      <w:r>
        <w:rPr>
          <w:rFonts w:hint="eastAsia"/>
        </w:rPr>
        <w:t>万元。购置地厅级领导干部用车</w:t>
      </w:r>
      <w:r>
        <w:rPr>
          <w:rFonts w:hint="eastAsia"/>
          <w:lang w:val="en-US" w:eastAsia="zh-CN"/>
        </w:rPr>
        <w:t>0</w:t>
      </w:r>
      <w:r>
        <w:rPr>
          <w:rFonts w:hint="eastAsia"/>
        </w:rPr>
        <w:t>辆、定向保障用车</w:t>
      </w:r>
      <w:r>
        <w:rPr>
          <w:rFonts w:hint="eastAsia"/>
          <w:lang w:val="en-US" w:eastAsia="zh-CN"/>
        </w:rPr>
        <w:t>0</w:t>
      </w:r>
      <w:r>
        <w:rPr>
          <w:rFonts w:hint="eastAsia"/>
        </w:rPr>
        <w:t>辆、执法执勤用</w:t>
      </w:r>
      <w:r>
        <w:rPr>
          <w:rFonts w:hint="eastAsia"/>
          <w:lang w:val="en-US" w:eastAsia="zh-CN"/>
        </w:rPr>
        <w:t>0</w:t>
      </w:r>
      <w:r>
        <w:rPr>
          <w:rFonts w:hint="eastAsia"/>
        </w:rPr>
        <w:t>辆。安排大型设备购置经费</w:t>
      </w:r>
      <w:r>
        <w:rPr>
          <w:rFonts w:hint="eastAsia"/>
          <w:lang w:val="en-US" w:eastAsia="zh-CN"/>
        </w:rPr>
        <w:t>0</w:t>
      </w:r>
      <w:r>
        <w:rPr>
          <w:rFonts w:hint="eastAsia"/>
        </w:rPr>
        <w:t>万元，购置大型设备</w:t>
      </w:r>
      <w:r>
        <w:rPr>
          <w:rFonts w:hint="eastAsia"/>
          <w:lang w:val="en-US" w:eastAsia="zh-CN"/>
        </w:rPr>
        <w:t>0</w:t>
      </w:r>
      <w:r>
        <w:rPr>
          <w:rFonts w:hint="eastAsia"/>
        </w:rPr>
        <w:t>台（套）。</w:t>
      </w:r>
    </w:p>
    <w:p>
      <w:pPr>
        <w:spacing w:line="560" w:lineRule="exact"/>
        <w:ind w:firstLine="632" w:firstLineChars="200"/>
        <w:rPr>
          <w:rFonts w:hint="eastAsia" w:eastAsia="楷体_GB2312"/>
          <w:b/>
          <w:lang w:eastAsia="zh-CN"/>
        </w:rPr>
      </w:pPr>
      <w:r>
        <w:rPr>
          <w:rFonts w:hint="eastAsia" w:eastAsia="楷体_GB2312"/>
          <w:b/>
        </w:rPr>
        <w:t>（</w:t>
      </w:r>
      <w:r>
        <w:rPr>
          <w:rFonts w:hint="eastAsia" w:eastAsia="楷体_GB2312"/>
          <w:b/>
          <w:lang w:eastAsia="zh-CN"/>
        </w:rPr>
        <w:t>三</w:t>
      </w:r>
      <w:r>
        <w:rPr>
          <w:rFonts w:hint="eastAsia" w:eastAsia="楷体_GB2312"/>
          <w:b/>
        </w:rPr>
        <w:t>）</w:t>
      </w:r>
      <w:r>
        <w:rPr>
          <w:rFonts w:hint="eastAsia" w:eastAsia="楷体_GB2312"/>
          <w:b/>
          <w:lang w:eastAsia="zh-CN"/>
        </w:rPr>
        <w:t>预算绩效</w:t>
      </w:r>
      <w:r>
        <w:rPr>
          <w:rFonts w:hint="eastAsia" w:eastAsia="楷体_GB2312"/>
          <w:b/>
        </w:rPr>
        <w:t>情况</w:t>
      </w:r>
    </w:p>
    <w:p>
      <w:pPr>
        <w:spacing w:line="560" w:lineRule="exact"/>
        <w:ind w:firstLine="632" w:firstLineChars="200"/>
        <w:rPr>
          <w:color w:val="auto"/>
        </w:rPr>
      </w:pPr>
      <w:r>
        <w:rPr>
          <w:rFonts w:hint="eastAsia"/>
          <w:color w:val="auto"/>
          <w:lang w:val="en-US" w:eastAsia="zh-CN"/>
        </w:rPr>
        <w:t>2024年西宁街道</w:t>
      </w:r>
      <w:r>
        <w:rPr>
          <w:rFonts w:hint="eastAsia"/>
          <w:color w:val="auto"/>
          <w:lang w:eastAsia="zh-CN"/>
        </w:rPr>
        <w:t>开展绩效目标管理的项目</w:t>
      </w:r>
      <w:r>
        <w:rPr>
          <w:rFonts w:hint="eastAsia"/>
          <w:color w:val="auto"/>
          <w:lang w:val="en-US" w:eastAsia="zh-CN"/>
        </w:rPr>
        <w:t>17个，涉及预算1424.50万元。其中：人员类项目0个，涉及预算0万元；运转类项目0个，涉及预算0万元；特定目标类项目17个，涉及预算1424.5万元</w:t>
      </w:r>
      <w:r>
        <w:rPr>
          <w:rFonts w:hint="eastAsia"/>
          <w:color w:val="auto"/>
        </w:rPr>
        <w:t>。</w:t>
      </w:r>
    </w:p>
    <w:p>
      <w:pPr>
        <w:spacing w:line="560" w:lineRule="exact"/>
        <w:ind w:firstLine="632" w:firstLineChars="200"/>
        <w:rPr>
          <w:rFonts w:ascii="黑体" w:hAnsi="黑体" w:eastAsia="黑体"/>
        </w:rPr>
      </w:pPr>
      <w:r>
        <w:rPr>
          <w:rFonts w:hint="eastAsia" w:ascii="黑体" w:hAnsi="黑体" w:eastAsia="黑体"/>
        </w:rPr>
        <w:t>十二</w:t>
      </w:r>
      <w:r>
        <w:rPr>
          <w:rFonts w:ascii="黑体" w:hAnsi="黑体" w:eastAsia="黑体"/>
        </w:rPr>
        <w:t>、</w:t>
      </w:r>
      <w:r>
        <w:rPr>
          <w:rFonts w:hint="eastAsia" w:ascii="黑体" w:hAnsi="黑体" w:eastAsia="黑体"/>
        </w:rPr>
        <w:t>名词解释</w:t>
      </w:r>
    </w:p>
    <w:p>
      <w:pPr>
        <w:spacing w:line="560" w:lineRule="exact"/>
        <w:ind w:firstLine="632" w:firstLineChars="200"/>
      </w:pPr>
      <w:r>
        <w:t>1.一般公共预算拨款收入：指市</w:t>
      </w:r>
      <w:r>
        <w:rPr>
          <w:rFonts w:hint="eastAsia"/>
        </w:rPr>
        <w:t>本</w:t>
      </w:r>
      <w:r>
        <w:t>级财政当年拨付的资金。</w:t>
      </w:r>
    </w:p>
    <w:p>
      <w:pPr>
        <w:spacing w:line="560" w:lineRule="exact"/>
        <w:ind w:firstLine="632" w:firstLineChars="200"/>
      </w:pPr>
      <w:r>
        <w:t>2.上年结转：指以前年度尚未完成，结转到本年仍按原规定用途继续使用的资金。</w:t>
      </w:r>
    </w:p>
    <w:p>
      <w:pPr>
        <w:spacing w:line="560" w:lineRule="exact"/>
        <w:ind w:firstLine="632" w:firstLineChars="200"/>
      </w:pPr>
      <w:r>
        <w:t>3.基本支出：指为保证机构正常运转，完成日常工作任务而发生的人员支出和公用支出。</w:t>
      </w:r>
    </w:p>
    <w:p>
      <w:pPr>
        <w:spacing w:line="560" w:lineRule="exact"/>
        <w:ind w:firstLine="632" w:firstLineChars="200"/>
      </w:pPr>
      <w:r>
        <w:t>4.项目支出：指在基本支出之外为完成特定行政任务和事业发展目标所发生的支出。</w:t>
      </w:r>
    </w:p>
    <w:p>
      <w:pPr>
        <w:spacing w:line="560" w:lineRule="exact"/>
        <w:ind w:firstLine="632" w:firstLineChars="200"/>
      </w:pPr>
      <w:r>
        <w:t>5.“三公”经费：纳入部门预算管理的“三公”经费，是指部门用财政拨款安排的因公出国（境）费、公务用车购置及运行费和公务接待费。其中，因公出国（境）费反映</w:t>
      </w:r>
      <w:r>
        <w:rPr>
          <w:rFonts w:hint="eastAsia"/>
        </w:rPr>
        <w:t>部门</w:t>
      </w:r>
      <w:r>
        <w:t>公务出国（境）的国际旅费、国外城市间交通费、住宿费、伙食费、培训费、公杂费等支出；公务用车购置及运行费反映</w:t>
      </w:r>
      <w:r>
        <w:rPr>
          <w:rFonts w:hint="eastAsia"/>
        </w:rPr>
        <w:t>部门</w:t>
      </w:r>
      <w:r>
        <w:t>公务用车车辆购置支出（含车辆购置税）及租用费、燃料费、维修费、过路过桥费、保险费等支出；公务接待费反映</w:t>
      </w:r>
      <w:r>
        <w:rPr>
          <w:rFonts w:hint="eastAsia"/>
        </w:rPr>
        <w:t>部门</w:t>
      </w:r>
      <w:r>
        <w:t>按规定开支的各类公务接待（含外宾接待）支出。</w:t>
      </w:r>
    </w:p>
    <w:p>
      <w:pPr>
        <w:spacing w:line="560" w:lineRule="exact"/>
        <w:ind w:firstLine="632" w:firstLineChars="200"/>
      </w:pPr>
    </w:p>
    <w:p>
      <w:pPr>
        <w:spacing w:line="560" w:lineRule="exact"/>
        <w:ind w:firstLine="1258" w:firstLineChars="398"/>
        <w:rPr>
          <w:rFonts w:hint="eastAsia"/>
        </w:rPr>
      </w:pPr>
    </w:p>
    <w:sectPr>
      <w:headerReference r:id="rId3" w:type="default"/>
      <w:footerReference r:id="rId4" w:type="default"/>
      <w:footerReference r:id="rId5" w:type="even"/>
      <w:pgSz w:w="11906" w:h="16838"/>
      <w:pgMar w:top="2098" w:right="1474" w:bottom="1985" w:left="1588" w:header="851" w:footer="1701"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Courier New"/>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ight="320" w:rightChars="100"/>
      <w:rPr>
        <w:rStyle w:val="12"/>
        <w:rFonts w:ascii="宋体" w:hAnsi="宋体" w:eastAsia="宋体"/>
        <w:sz w:val="28"/>
        <w:szCs w:val="28"/>
      </w:rPr>
    </w:pPr>
    <w:r>
      <w:rPr>
        <w:rFonts w:ascii="宋体" w:hAnsi="宋体" w:eastAsia="宋体"/>
        <w:sz w:val="28"/>
        <w:szCs w:val="28"/>
      </w:rPr>
      <w:fldChar w:fldCharType="begin"/>
    </w:r>
    <w:r>
      <w:rPr>
        <w:rStyle w:val="12"/>
        <w:rFonts w:ascii="宋体" w:hAnsi="宋体" w:eastAsia="宋体"/>
        <w:sz w:val="28"/>
        <w:szCs w:val="28"/>
      </w:rPr>
      <w:instrText xml:space="preserve">PAGE  </w:instrText>
    </w:r>
    <w:r>
      <w:rPr>
        <w:rFonts w:ascii="宋体" w:hAnsi="宋体" w:eastAsia="宋体"/>
        <w:sz w:val="28"/>
        <w:szCs w:val="28"/>
      </w:rPr>
      <w:fldChar w:fldCharType="separate"/>
    </w:r>
    <w:r>
      <w:rPr>
        <w:rStyle w:val="12"/>
        <w:rFonts w:ascii="宋体" w:hAnsi="宋体" w:eastAsia="宋体"/>
        <w:sz w:val="28"/>
        <w:szCs w:val="28"/>
      </w:rPr>
      <w:t>- 12 -</w:t>
    </w:r>
    <w:r>
      <w:rPr>
        <w:rFonts w:ascii="宋体" w:hAns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Njk4NWUxMjE3NDNmOGY0M2ZmZGZmMWQ0M2Q2MGUifQ=="/>
  </w:docVars>
  <w:rsids>
    <w:rsidRoot w:val="60603A9F"/>
    <w:rsid w:val="000000E0"/>
    <w:rsid w:val="00003678"/>
    <w:rsid w:val="00006226"/>
    <w:rsid w:val="00015411"/>
    <w:rsid w:val="00015FFE"/>
    <w:rsid w:val="00017377"/>
    <w:rsid w:val="000201C2"/>
    <w:rsid w:val="000236B2"/>
    <w:rsid w:val="00025A1E"/>
    <w:rsid w:val="0002614C"/>
    <w:rsid w:val="00032E23"/>
    <w:rsid w:val="00040C64"/>
    <w:rsid w:val="000478FF"/>
    <w:rsid w:val="00047DFF"/>
    <w:rsid w:val="00047F23"/>
    <w:rsid w:val="00053504"/>
    <w:rsid w:val="00055F3B"/>
    <w:rsid w:val="00064396"/>
    <w:rsid w:val="000704CA"/>
    <w:rsid w:val="00072C77"/>
    <w:rsid w:val="00076227"/>
    <w:rsid w:val="00077626"/>
    <w:rsid w:val="00080E7C"/>
    <w:rsid w:val="000820B3"/>
    <w:rsid w:val="0008343A"/>
    <w:rsid w:val="000852FE"/>
    <w:rsid w:val="0008647F"/>
    <w:rsid w:val="00087CD6"/>
    <w:rsid w:val="00094307"/>
    <w:rsid w:val="000963F8"/>
    <w:rsid w:val="00097CC7"/>
    <w:rsid w:val="000A086C"/>
    <w:rsid w:val="000A1CE9"/>
    <w:rsid w:val="000A3E79"/>
    <w:rsid w:val="000B1096"/>
    <w:rsid w:val="000B4C12"/>
    <w:rsid w:val="000B677D"/>
    <w:rsid w:val="000C0FCB"/>
    <w:rsid w:val="000C4A9E"/>
    <w:rsid w:val="000C6F2D"/>
    <w:rsid w:val="000D0112"/>
    <w:rsid w:val="000D0EDB"/>
    <w:rsid w:val="000D14F6"/>
    <w:rsid w:val="000D2427"/>
    <w:rsid w:val="000E0010"/>
    <w:rsid w:val="000E6683"/>
    <w:rsid w:val="000E6D15"/>
    <w:rsid w:val="000E7585"/>
    <w:rsid w:val="00100327"/>
    <w:rsid w:val="00112878"/>
    <w:rsid w:val="00113C69"/>
    <w:rsid w:val="0012393D"/>
    <w:rsid w:val="001256C6"/>
    <w:rsid w:val="001260D6"/>
    <w:rsid w:val="00137284"/>
    <w:rsid w:val="00141A01"/>
    <w:rsid w:val="00145BB8"/>
    <w:rsid w:val="0014670B"/>
    <w:rsid w:val="00161001"/>
    <w:rsid w:val="0016203C"/>
    <w:rsid w:val="001753D5"/>
    <w:rsid w:val="001762E8"/>
    <w:rsid w:val="00176B3D"/>
    <w:rsid w:val="00182C70"/>
    <w:rsid w:val="00183E5A"/>
    <w:rsid w:val="001874C8"/>
    <w:rsid w:val="001961A6"/>
    <w:rsid w:val="001A6057"/>
    <w:rsid w:val="001A6DE1"/>
    <w:rsid w:val="001A6FC1"/>
    <w:rsid w:val="001B3342"/>
    <w:rsid w:val="001B3BBE"/>
    <w:rsid w:val="001C29B2"/>
    <w:rsid w:val="001C488A"/>
    <w:rsid w:val="001C75EA"/>
    <w:rsid w:val="001D1098"/>
    <w:rsid w:val="001D3886"/>
    <w:rsid w:val="001D753F"/>
    <w:rsid w:val="001E1127"/>
    <w:rsid w:val="001E306F"/>
    <w:rsid w:val="001F2E5F"/>
    <w:rsid w:val="001F367A"/>
    <w:rsid w:val="00205171"/>
    <w:rsid w:val="00206808"/>
    <w:rsid w:val="0020723C"/>
    <w:rsid w:val="00211E9C"/>
    <w:rsid w:val="00215C5D"/>
    <w:rsid w:val="00215FA9"/>
    <w:rsid w:val="00220CB8"/>
    <w:rsid w:val="00225B41"/>
    <w:rsid w:val="00230B97"/>
    <w:rsid w:val="00231D4B"/>
    <w:rsid w:val="002325C1"/>
    <w:rsid w:val="0024361D"/>
    <w:rsid w:val="00244D49"/>
    <w:rsid w:val="00245BCD"/>
    <w:rsid w:val="00246172"/>
    <w:rsid w:val="00247314"/>
    <w:rsid w:val="002478F0"/>
    <w:rsid w:val="00252440"/>
    <w:rsid w:val="00254BED"/>
    <w:rsid w:val="00255204"/>
    <w:rsid w:val="00255FB4"/>
    <w:rsid w:val="0025717C"/>
    <w:rsid w:val="00263954"/>
    <w:rsid w:val="00267122"/>
    <w:rsid w:val="00271689"/>
    <w:rsid w:val="00272DA9"/>
    <w:rsid w:val="002735B8"/>
    <w:rsid w:val="00284722"/>
    <w:rsid w:val="00290C67"/>
    <w:rsid w:val="002961AB"/>
    <w:rsid w:val="002A0625"/>
    <w:rsid w:val="002A0EFA"/>
    <w:rsid w:val="002A1961"/>
    <w:rsid w:val="002A250F"/>
    <w:rsid w:val="002A2BE2"/>
    <w:rsid w:val="002A54A9"/>
    <w:rsid w:val="002B2F66"/>
    <w:rsid w:val="002B3D6B"/>
    <w:rsid w:val="002C27EE"/>
    <w:rsid w:val="002D2170"/>
    <w:rsid w:val="002D5790"/>
    <w:rsid w:val="002E1FE7"/>
    <w:rsid w:val="002E2901"/>
    <w:rsid w:val="002E2A20"/>
    <w:rsid w:val="002E453E"/>
    <w:rsid w:val="002E7C21"/>
    <w:rsid w:val="002F2377"/>
    <w:rsid w:val="002F395D"/>
    <w:rsid w:val="002F468D"/>
    <w:rsid w:val="002F5092"/>
    <w:rsid w:val="003035F1"/>
    <w:rsid w:val="003063D1"/>
    <w:rsid w:val="00311785"/>
    <w:rsid w:val="003122A1"/>
    <w:rsid w:val="00316CF5"/>
    <w:rsid w:val="003177F5"/>
    <w:rsid w:val="00325626"/>
    <w:rsid w:val="00333DBA"/>
    <w:rsid w:val="003373AC"/>
    <w:rsid w:val="0034272E"/>
    <w:rsid w:val="0035289B"/>
    <w:rsid w:val="00353466"/>
    <w:rsid w:val="00356D90"/>
    <w:rsid w:val="00365E17"/>
    <w:rsid w:val="00367ED3"/>
    <w:rsid w:val="003859A9"/>
    <w:rsid w:val="00390718"/>
    <w:rsid w:val="00390C5D"/>
    <w:rsid w:val="00392D9B"/>
    <w:rsid w:val="0039588F"/>
    <w:rsid w:val="0039765E"/>
    <w:rsid w:val="003A491D"/>
    <w:rsid w:val="003A615E"/>
    <w:rsid w:val="003A6658"/>
    <w:rsid w:val="003B2168"/>
    <w:rsid w:val="003B4C9C"/>
    <w:rsid w:val="003B6821"/>
    <w:rsid w:val="003B74D6"/>
    <w:rsid w:val="003C09D1"/>
    <w:rsid w:val="003C59C9"/>
    <w:rsid w:val="003D753E"/>
    <w:rsid w:val="003D7F55"/>
    <w:rsid w:val="003E0B67"/>
    <w:rsid w:val="003E2BE7"/>
    <w:rsid w:val="003F036F"/>
    <w:rsid w:val="004025FC"/>
    <w:rsid w:val="00402ABB"/>
    <w:rsid w:val="004079DD"/>
    <w:rsid w:val="004115F1"/>
    <w:rsid w:val="00413238"/>
    <w:rsid w:val="004141DD"/>
    <w:rsid w:val="00421ABA"/>
    <w:rsid w:val="004267C3"/>
    <w:rsid w:val="00436EBF"/>
    <w:rsid w:val="00440711"/>
    <w:rsid w:val="00440E4D"/>
    <w:rsid w:val="0044325F"/>
    <w:rsid w:val="0044463D"/>
    <w:rsid w:val="0044594D"/>
    <w:rsid w:val="00452FE0"/>
    <w:rsid w:val="00453A7D"/>
    <w:rsid w:val="00455680"/>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AB1"/>
    <w:rsid w:val="004932F9"/>
    <w:rsid w:val="0049515F"/>
    <w:rsid w:val="00497A87"/>
    <w:rsid w:val="00497D70"/>
    <w:rsid w:val="00497E86"/>
    <w:rsid w:val="004A040D"/>
    <w:rsid w:val="004A42F9"/>
    <w:rsid w:val="004A50FF"/>
    <w:rsid w:val="004B6EB8"/>
    <w:rsid w:val="004C0268"/>
    <w:rsid w:val="004D13FD"/>
    <w:rsid w:val="004D17E0"/>
    <w:rsid w:val="004D2CC3"/>
    <w:rsid w:val="004E1B65"/>
    <w:rsid w:val="004E3816"/>
    <w:rsid w:val="004E41A4"/>
    <w:rsid w:val="004F00EE"/>
    <w:rsid w:val="004F15E3"/>
    <w:rsid w:val="004F2E0F"/>
    <w:rsid w:val="004F707E"/>
    <w:rsid w:val="00514C8C"/>
    <w:rsid w:val="00516E61"/>
    <w:rsid w:val="00521E6C"/>
    <w:rsid w:val="00522B91"/>
    <w:rsid w:val="00524208"/>
    <w:rsid w:val="0053397F"/>
    <w:rsid w:val="005340CA"/>
    <w:rsid w:val="005400AD"/>
    <w:rsid w:val="00540C8F"/>
    <w:rsid w:val="00541010"/>
    <w:rsid w:val="00541552"/>
    <w:rsid w:val="00543C07"/>
    <w:rsid w:val="00563859"/>
    <w:rsid w:val="005677BE"/>
    <w:rsid w:val="00567B35"/>
    <w:rsid w:val="00567D70"/>
    <w:rsid w:val="005733A7"/>
    <w:rsid w:val="0059740E"/>
    <w:rsid w:val="005A17BC"/>
    <w:rsid w:val="005A32BD"/>
    <w:rsid w:val="005A46A0"/>
    <w:rsid w:val="005A5137"/>
    <w:rsid w:val="005A7E74"/>
    <w:rsid w:val="005B1F50"/>
    <w:rsid w:val="005B5989"/>
    <w:rsid w:val="005B734C"/>
    <w:rsid w:val="005C47C7"/>
    <w:rsid w:val="005C495F"/>
    <w:rsid w:val="005C7608"/>
    <w:rsid w:val="005D0A63"/>
    <w:rsid w:val="005D18E6"/>
    <w:rsid w:val="005D5C7F"/>
    <w:rsid w:val="005E1B95"/>
    <w:rsid w:val="005E27C5"/>
    <w:rsid w:val="005E3C45"/>
    <w:rsid w:val="005E62CF"/>
    <w:rsid w:val="005E79E6"/>
    <w:rsid w:val="005F0A6B"/>
    <w:rsid w:val="005F4ED6"/>
    <w:rsid w:val="0060356F"/>
    <w:rsid w:val="006049F3"/>
    <w:rsid w:val="00604C13"/>
    <w:rsid w:val="006071F7"/>
    <w:rsid w:val="0061281D"/>
    <w:rsid w:val="00612DE2"/>
    <w:rsid w:val="006135A9"/>
    <w:rsid w:val="00621CF8"/>
    <w:rsid w:val="006220C4"/>
    <w:rsid w:val="0062233A"/>
    <w:rsid w:val="00625A38"/>
    <w:rsid w:val="00631E27"/>
    <w:rsid w:val="00632460"/>
    <w:rsid w:val="00634A4E"/>
    <w:rsid w:val="00641507"/>
    <w:rsid w:val="0064416D"/>
    <w:rsid w:val="0064660D"/>
    <w:rsid w:val="00647475"/>
    <w:rsid w:val="006479BD"/>
    <w:rsid w:val="0065190B"/>
    <w:rsid w:val="00652127"/>
    <w:rsid w:val="00655EFB"/>
    <w:rsid w:val="00660ECF"/>
    <w:rsid w:val="00662527"/>
    <w:rsid w:val="00664A6C"/>
    <w:rsid w:val="00665CB5"/>
    <w:rsid w:val="00671951"/>
    <w:rsid w:val="00671EBA"/>
    <w:rsid w:val="006801B5"/>
    <w:rsid w:val="006830F6"/>
    <w:rsid w:val="00694C11"/>
    <w:rsid w:val="006A139D"/>
    <w:rsid w:val="006A5897"/>
    <w:rsid w:val="006B0C61"/>
    <w:rsid w:val="006C15EF"/>
    <w:rsid w:val="006C3A5B"/>
    <w:rsid w:val="006C4F67"/>
    <w:rsid w:val="006D0858"/>
    <w:rsid w:val="006E1D88"/>
    <w:rsid w:val="006E261E"/>
    <w:rsid w:val="006E2CDB"/>
    <w:rsid w:val="006E593F"/>
    <w:rsid w:val="006E76A3"/>
    <w:rsid w:val="006E787B"/>
    <w:rsid w:val="006F02F4"/>
    <w:rsid w:val="006F45BB"/>
    <w:rsid w:val="006F5297"/>
    <w:rsid w:val="006F5882"/>
    <w:rsid w:val="006F5AF1"/>
    <w:rsid w:val="006F6663"/>
    <w:rsid w:val="007013B4"/>
    <w:rsid w:val="00701CAA"/>
    <w:rsid w:val="00702250"/>
    <w:rsid w:val="00703FBB"/>
    <w:rsid w:val="00705E7D"/>
    <w:rsid w:val="00706BE6"/>
    <w:rsid w:val="007126CC"/>
    <w:rsid w:val="007214DA"/>
    <w:rsid w:val="0072232F"/>
    <w:rsid w:val="00725019"/>
    <w:rsid w:val="00726709"/>
    <w:rsid w:val="00733241"/>
    <w:rsid w:val="00733A95"/>
    <w:rsid w:val="00733D28"/>
    <w:rsid w:val="007535AF"/>
    <w:rsid w:val="00754F22"/>
    <w:rsid w:val="00755D3C"/>
    <w:rsid w:val="007566C5"/>
    <w:rsid w:val="007570F7"/>
    <w:rsid w:val="00760675"/>
    <w:rsid w:val="00760999"/>
    <w:rsid w:val="007666B6"/>
    <w:rsid w:val="00767DBC"/>
    <w:rsid w:val="0077192F"/>
    <w:rsid w:val="00776E80"/>
    <w:rsid w:val="00777157"/>
    <w:rsid w:val="0078104A"/>
    <w:rsid w:val="007834D8"/>
    <w:rsid w:val="007840F0"/>
    <w:rsid w:val="007869D5"/>
    <w:rsid w:val="00791523"/>
    <w:rsid w:val="00793CEC"/>
    <w:rsid w:val="007A7F59"/>
    <w:rsid w:val="007B2003"/>
    <w:rsid w:val="007B4CFE"/>
    <w:rsid w:val="007B6D52"/>
    <w:rsid w:val="007C0277"/>
    <w:rsid w:val="007C35B4"/>
    <w:rsid w:val="007C3C96"/>
    <w:rsid w:val="007D0B80"/>
    <w:rsid w:val="007D0EFA"/>
    <w:rsid w:val="007D343B"/>
    <w:rsid w:val="007D7956"/>
    <w:rsid w:val="007E3C55"/>
    <w:rsid w:val="007E4A24"/>
    <w:rsid w:val="007E4C6F"/>
    <w:rsid w:val="007E74C8"/>
    <w:rsid w:val="007F16B6"/>
    <w:rsid w:val="007F26E1"/>
    <w:rsid w:val="007F5B52"/>
    <w:rsid w:val="007F70E6"/>
    <w:rsid w:val="008012DA"/>
    <w:rsid w:val="00801837"/>
    <w:rsid w:val="00805A23"/>
    <w:rsid w:val="008119DE"/>
    <w:rsid w:val="0081229B"/>
    <w:rsid w:val="00820525"/>
    <w:rsid w:val="00820559"/>
    <w:rsid w:val="0082686F"/>
    <w:rsid w:val="0082706C"/>
    <w:rsid w:val="0083239F"/>
    <w:rsid w:val="00842A76"/>
    <w:rsid w:val="0084419B"/>
    <w:rsid w:val="008441A7"/>
    <w:rsid w:val="00846D71"/>
    <w:rsid w:val="00847598"/>
    <w:rsid w:val="008500A3"/>
    <w:rsid w:val="00854552"/>
    <w:rsid w:val="0087301D"/>
    <w:rsid w:val="0088096B"/>
    <w:rsid w:val="00882B24"/>
    <w:rsid w:val="00884DB0"/>
    <w:rsid w:val="0088572E"/>
    <w:rsid w:val="00891DFB"/>
    <w:rsid w:val="008A1EE5"/>
    <w:rsid w:val="008A2186"/>
    <w:rsid w:val="008A277F"/>
    <w:rsid w:val="008B1F17"/>
    <w:rsid w:val="008B25DF"/>
    <w:rsid w:val="008B29CE"/>
    <w:rsid w:val="008B6AF8"/>
    <w:rsid w:val="008C2B52"/>
    <w:rsid w:val="008D5B4C"/>
    <w:rsid w:val="008D6283"/>
    <w:rsid w:val="008D769F"/>
    <w:rsid w:val="008E087A"/>
    <w:rsid w:val="008E1B99"/>
    <w:rsid w:val="008E34D9"/>
    <w:rsid w:val="008E77F1"/>
    <w:rsid w:val="008F1E36"/>
    <w:rsid w:val="0090508F"/>
    <w:rsid w:val="00905226"/>
    <w:rsid w:val="0090695B"/>
    <w:rsid w:val="00907AF4"/>
    <w:rsid w:val="00907F9C"/>
    <w:rsid w:val="00910B9D"/>
    <w:rsid w:val="0091606A"/>
    <w:rsid w:val="00920505"/>
    <w:rsid w:val="009266CF"/>
    <w:rsid w:val="00926E3F"/>
    <w:rsid w:val="009322F9"/>
    <w:rsid w:val="009378B1"/>
    <w:rsid w:val="00940EB5"/>
    <w:rsid w:val="00942C81"/>
    <w:rsid w:val="00946215"/>
    <w:rsid w:val="00946B58"/>
    <w:rsid w:val="00950FE2"/>
    <w:rsid w:val="00951ADF"/>
    <w:rsid w:val="00953178"/>
    <w:rsid w:val="009610EA"/>
    <w:rsid w:val="00971C12"/>
    <w:rsid w:val="00983596"/>
    <w:rsid w:val="00983B1D"/>
    <w:rsid w:val="00990112"/>
    <w:rsid w:val="00995AC2"/>
    <w:rsid w:val="0099726A"/>
    <w:rsid w:val="00997B62"/>
    <w:rsid w:val="009A016C"/>
    <w:rsid w:val="009A0986"/>
    <w:rsid w:val="009A1AC8"/>
    <w:rsid w:val="009A23BD"/>
    <w:rsid w:val="009A2C17"/>
    <w:rsid w:val="009B6E5A"/>
    <w:rsid w:val="009B6F8F"/>
    <w:rsid w:val="009C0F2F"/>
    <w:rsid w:val="009C25C8"/>
    <w:rsid w:val="009C5133"/>
    <w:rsid w:val="009D0DC6"/>
    <w:rsid w:val="009D11CA"/>
    <w:rsid w:val="009D6522"/>
    <w:rsid w:val="009E03B2"/>
    <w:rsid w:val="009E1519"/>
    <w:rsid w:val="009F4BEB"/>
    <w:rsid w:val="00A01368"/>
    <w:rsid w:val="00A02605"/>
    <w:rsid w:val="00A02BD7"/>
    <w:rsid w:val="00A0607C"/>
    <w:rsid w:val="00A06B16"/>
    <w:rsid w:val="00A111E9"/>
    <w:rsid w:val="00A14D8F"/>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34FD"/>
    <w:rsid w:val="00A83D20"/>
    <w:rsid w:val="00A96446"/>
    <w:rsid w:val="00AA39FE"/>
    <w:rsid w:val="00AA3C62"/>
    <w:rsid w:val="00AA4267"/>
    <w:rsid w:val="00AA676E"/>
    <w:rsid w:val="00AA6F4F"/>
    <w:rsid w:val="00AA6FDD"/>
    <w:rsid w:val="00AB2A02"/>
    <w:rsid w:val="00AC1BB9"/>
    <w:rsid w:val="00AC433F"/>
    <w:rsid w:val="00AD223F"/>
    <w:rsid w:val="00AD5F2E"/>
    <w:rsid w:val="00AD695D"/>
    <w:rsid w:val="00AE2AA6"/>
    <w:rsid w:val="00AF128E"/>
    <w:rsid w:val="00AF25A9"/>
    <w:rsid w:val="00B00E23"/>
    <w:rsid w:val="00B00F11"/>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6622"/>
    <w:rsid w:val="00B47816"/>
    <w:rsid w:val="00B508E8"/>
    <w:rsid w:val="00B5412F"/>
    <w:rsid w:val="00B55A4F"/>
    <w:rsid w:val="00B55FC6"/>
    <w:rsid w:val="00B57CFF"/>
    <w:rsid w:val="00B62F28"/>
    <w:rsid w:val="00B641CB"/>
    <w:rsid w:val="00B702F0"/>
    <w:rsid w:val="00B7037C"/>
    <w:rsid w:val="00B73B49"/>
    <w:rsid w:val="00B74075"/>
    <w:rsid w:val="00B76949"/>
    <w:rsid w:val="00B80518"/>
    <w:rsid w:val="00B82462"/>
    <w:rsid w:val="00B922CC"/>
    <w:rsid w:val="00B9673E"/>
    <w:rsid w:val="00B973CA"/>
    <w:rsid w:val="00B97766"/>
    <w:rsid w:val="00BA013D"/>
    <w:rsid w:val="00BA2387"/>
    <w:rsid w:val="00BA2A06"/>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137F"/>
    <w:rsid w:val="00BF6CC1"/>
    <w:rsid w:val="00C054D2"/>
    <w:rsid w:val="00C06C8B"/>
    <w:rsid w:val="00C06D68"/>
    <w:rsid w:val="00C2202C"/>
    <w:rsid w:val="00C27535"/>
    <w:rsid w:val="00C317A0"/>
    <w:rsid w:val="00C3399B"/>
    <w:rsid w:val="00C3677B"/>
    <w:rsid w:val="00C42EBA"/>
    <w:rsid w:val="00C4653B"/>
    <w:rsid w:val="00C4700D"/>
    <w:rsid w:val="00C5079F"/>
    <w:rsid w:val="00C60CC9"/>
    <w:rsid w:val="00C62BEB"/>
    <w:rsid w:val="00C65822"/>
    <w:rsid w:val="00C70090"/>
    <w:rsid w:val="00C74A6A"/>
    <w:rsid w:val="00C755FF"/>
    <w:rsid w:val="00C83201"/>
    <w:rsid w:val="00C84E87"/>
    <w:rsid w:val="00C87031"/>
    <w:rsid w:val="00C903DE"/>
    <w:rsid w:val="00C90CE4"/>
    <w:rsid w:val="00C969FC"/>
    <w:rsid w:val="00C97EA6"/>
    <w:rsid w:val="00CA3448"/>
    <w:rsid w:val="00CA3CDD"/>
    <w:rsid w:val="00CA54E5"/>
    <w:rsid w:val="00CA698F"/>
    <w:rsid w:val="00CA79DC"/>
    <w:rsid w:val="00CB4325"/>
    <w:rsid w:val="00CB466C"/>
    <w:rsid w:val="00CB53B5"/>
    <w:rsid w:val="00CB5F59"/>
    <w:rsid w:val="00CC4C1D"/>
    <w:rsid w:val="00CD2F2D"/>
    <w:rsid w:val="00CD6658"/>
    <w:rsid w:val="00CD75E6"/>
    <w:rsid w:val="00CE3537"/>
    <w:rsid w:val="00CE6587"/>
    <w:rsid w:val="00D16A78"/>
    <w:rsid w:val="00D24280"/>
    <w:rsid w:val="00D261B3"/>
    <w:rsid w:val="00D26BE8"/>
    <w:rsid w:val="00D317A6"/>
    <w:rsid w:val="00D32379"/>
    <w:rsid w:val="00D32693"/>
    <w:rsid w:val="00D3701E"/>
    <w:rsid w:val="00D37229"/>
    <w:rsid w:val="00D40AFC"/>
    <w:rsid w:val="00D41E29"/>
    <w:rsid w:val="00D53C35"/>
    <w:rsid w:val="00D55538"/>
    <w:rsid w:val="00D601CB"/>
    <w:rsid w:val="00D60B4E"/>
    <w:rsid w:val="00D61B07"/>
    <w:rsid w:val="00D62216"/>
    <w:rsid w:val="00D6626A"/>
    <w:rsid w:val="00D756FC"/>
    <w:rsid w:val="00D76166"/>
    <w:rsid w:val="00D8271F"/>
    <w:rsid w:val="00D848AE"/>
    <w:rsid w:val="00D8577D"/>
    <w:rsid w:val="00D923BE"/>
    <w:rsid w:val="00DA726E"/>
    <w:rsid w:val="00DA73A7"/>
    <w:rsid w:val="00DB07F8"/>
    <w:rsid w:val="00DB0DA9"/>
    <w:rsid w:val="00DB7559"/>
    <w:rsid w:val="00DC3CCE"/>
    <w:rsid w:val="00DC4E2E"/>
    <w:rsid w:val="00DE79D8"/>
    <w:rsid w:val="00DF485A"/>
    <w:rsid w:val="00E05F4F"/>
    <w:rsid w:val="00E0672A"/>
    <w:rsid w:val="00E068A1"/>
    <w:rsid w:val="00E25ADB"/>
    <w:rsid w:val="00E2775E"/>
    <w:rsid w:val="00E4733C"/>
    <w:rsid w:val="00E52CAD"/>
    <w:rsid w:val="00E551E2"/>
    <w:rsid w:val="00E704BC"/>
    <w:rsid w:val="00E71552"/>
    <w:rsid w:val="00E72440"/>
    <w:rsid w:val="00E81340"/>
    <w:rsid w:val="00E839C9"/>
    <w:rsid w:val="00E8434A"/>
    <w:rsid w:val="00E867C5"/>
    <w:rsid w:val="00E86B3A"/>
    <w:rsid w:val="00E91315"/>
    <w:rsid w:val="00E9250E"/>
    <w:rsid w:val="00E96E06"/>
    <w:rsid w:val="00E9769D"/>
    <w:rsid w:val="00EA6938"/>
    <w:rsid w:val="00EA70C3"/>
    <w:rsid w:val="00EA7501"/>
    <w:rsid w:val="00EB07F3"/>
    <w:rsid w:val="00EB2230"/>
    <w:rsid w:val="00EB5D92"/>
    <w:rsid w:val="00EB5F12"/>
    <w:rsid w:val="00EC0B27"/>
    <w:rsid w:val="00ED0FD2"/>
    <w:rsid w:val="00ED103C"/>
    <w:rsid w:val="00ED2022"/>
    <w:rsid w:val="00ED2053"/>
    <w:rsid w:val="00ED2D26"/>
    <w:rsid w:val="00ED3CFD"/>
    <w:rsid w:val="00ED7513"/>
    <w:rsid w:val="00EE1BFC"/>
    <w:rsid w:val="00EE3BB6"/>
    <w:rsid w:val="00EE6445"/>
    <w:rsid w:val="00EF076A"/>
    <w:rsid w:val="00F00DEE"/>
    <w:rsid w:val="00F11A61"/>
    <w:rsid w:val="00F1289F"/>
    <w:rsid w:val="00F14719"/>
    <w:rsid w:val="00F23066"/>
    <w:rsid w:val="00F23078"/>
    <w:rsid w:val="00F23148"/>
    <w:rsid w:val="00F25CC4"/>
    <w:rsid w:val="00F27575"/>
    <w:rsid w:val="00F4026E"/>
    <w:rsid w:val="00F4290D"/>
    <w:rsid w:val="00F45894"/>
    <w:rsid w:val="00F46BAC"/>
    <w:rsid w:val="00F51B7E"/>
    <w:rsid w:val="00F569D5"/>
    <w:rsid w:val="00F57747"/>
    <w:rsid w:val="00F64AF2"/>
    <w:rsid w:val="00F71808"/>
    <w:rsid w:val="00F829AC"/>
    <w:rsid w:val="00F843C4"/>
    <w:rsid w:val="00F874D4"/>
    <w:rsid w:val="00F97A44"/>
    <w:rsid w:val="00FA05F4"/>
    <w:rsid w:val="00FA353C"/>
    <w:rsid w:val="00FB011C"/>
    <w:rsid w:val="00FB0A44"/>
    <w:rsid w:val="00FB1754"/>
    <w:rsid w:val="00FB77C2"/>
    <w:rsid w:val="00FC3CA6"/>
    <w:rsid w:val="00FC577F"/>
    <w:rsid w:val="00FC5F43"/>
    <w:rsid w:val="00FE47EA"/>
    <w:rsid w:val="00FE5FB9"/>
    <w:rsid w:val="00FF7A58"/>
    <w:rsid w:val="019C3BD9"/>
    <w:rsid w:val="01A71FD9"/>
    <w:rsid w:val="0359240B"/>
    <w:rsid w:val="09047ACD"/>
    <w:rsid w:val="0B786794"/>
    <w:rsid w:val="0E587250"/>
    <w:rsid w:val="0FD13436"/>
    <w:rsid w:val="10795489"/>
    <w:rsid w:val="11D02E86"/>
    <w:rsid w:val="15FF01DE"/>
    <w:rsid w:val="16190030"/>
    <w:rsid w:val="16FE0496"/>
    <w:rsid w:val="175956CC"/>
    <w:rsid w:val="18920C62"/>
    <w:rsid w:val="1A7A7352"/>
    <w:rsid w:val="1DF443A0"/>
    <w:rsid w:val="209E77A8"/>
    <w:rsid w:val="234A4B65"/>
    <w:rsid w:val="25D54367"/>
    <w:rsid w:val="27905C63"/>
    <w:rsid w:val="2B297F57"/>
    <w:rsid w:val="30A46142"/>
    <w:rsid w:val="341A68BC"/>
    <w:rsid w:val="357F7314"/>
    <w:rsid w:val="397A1F8F"/>
    <w:rsid w:val="39A405D1"/>
    <w:rsid w:val="3A922B1F"/>
    <w:rsid w:val="3B913B6F"/>
    <w:rsid w:val="3CDB255C"/>
    <w:rsid w:val="3D78424E"/>
    <w:rsid w:val="3EB76FF8"/>
    <w:rsid w:val="40DF396B"/>
    <w:rsid w:val="42624E8A"/>
    <w:rsid w:val="46B42E23"/>
    <w:rsid w:val="47934D50"/>
    <w:rsid w:val="4872065D"/>
    <w:rsid w:val="49D33E49"/>
    <w:rsid w:val="4DC808DA"/>
    <w:rsid w:val="54B72613"/>
    <w:rsid w:val="5806574C"/>
    <w:rsid w:val="59445080"/>
    <w:rsid w:val="5CFF31EC"/>
    <w:rsid w:val="5FDB1B72"/>
    <w:rsid w:val="60603A9F"/>
    <w:rsid w:val="624B1296"/>
    <w:rsid w:val="6609788A"/>
    <w:rsid w:val="66925AD1"/>
    <w:rsid w:val="689A1A20"/>
    <w:rsid w:val="6CA0308B"/>
    <w:rsid w:val="6E7B4D55"/>
    <w:rsid w:val="6EA12D56"/>
    <w:rsid w:val="70086687"/>
    <w:rsid w:val="718214E0"/>
    <w:rsid w:val="7548387E"/>
    <w:rsid w:val="75865DA8"/>
    <w:rsid w:val="76117992"/>
    <w:rsid w:val="77C27899"/>
    <w:rsid w:val="784D4C4D"/>
    <w:rsid w:val="791160C4"/>
    <w:rsid w:val="79405A75"/>
    <w:rsid w:val="7A2E73ED"/>
    <w:rsid w:val="7C795DDF"/>
    <w:rsid w:val="B2AFD701"/>
    <w:rsid w:val="DFDE00D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rPr>
      <w:rFonts w:cs="Times New Roman"/>
      <w:kern w:val="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qFormat/>
    <w:uiPriority w:val="0"/>
    <w:pPr>
      <w:ind w:firstLine="420" w:firstLineChars="200"/>
    </w:pPr>
  </w:style>
  <w:style w:type="character" w:styleId="11">
    <w:name w:val="Strong"/>
    <w:qFormat/>
    <w:uiPriority w:val="0"/>
    <w:rPr>
      <w:b/>
    </w:rPr>
  </w:style>
  <w:style w:type="character" w:styleId="12">
    <w:name w:val="page number"/>
    <w:basedOn w:val="10"/>
    <w:qFormat/>
    <w:uiPriority w:val="0"/>
  </w:style>
  <w:style w:type="paragraph" w:customStyle="1" w:styleId="13">
    <w:name w:val="Default"/>
    <w:basedOn w:val="1"/>
    <w:qFormat/>
    <w:uiPriority w:val="0"/>
    <w:pPr>
      <w:autoSpaceDE w:val="0"/>
      <w:autoSpaceDN w:val="0"/>
      <w:adjustRightInd w:val="0"/>
      <w:jc w:val="left"/>
    </w:pPr>
    <w:rPr>
      <w:rFonts w:ascii="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webword_779917073\C:\Users\x\Desktop\&#37096;&#38376;&#39044;&#31639;.5.24\&#39044;&#31639;&#20844;&#24320;\&#38468;&#20214;2%20&#37096;&#38376;&#39044;&#31639;&#32534;&#21046;&#35828;&#26126;--&#2591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5101</Words>
  <Characters>5763</Characters>
  <Lines>32</Lines>
  <Paragraphs>9</Paragraphs>
  <TotalTime>3</TotalTime>
  <ScaleCrop>false</ScaleCrop>
  <LinksUpToDate>false</LinksUpToDate>
  <CharactersWithSpaces>5785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2023-05-25T01:18:00Z</dcterms:created>
  <dc:creator>容</dc:creator>
  <cp:lastModifiedBy>x</cp:lastModifiedBy>
  <dcterms:modified xsi:type="dcterms:W3CDTF">2024-04-11T03:22:08Z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ED2A7E78926543DAB96452B89363783A_13</vt:lpwstr>
  </property>
</Properties>
</file>