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210" w:beforeAutospacing="0" w:after="210" w:afterAutospacing="0" w:line="560" w:lineRule="atLeast"/>
        <w:ind w:left="0" w:right="0" w:firstLine="0"/>
        <w:jc w:val="center"/>
        <w:rPr>
          <w:rFonts w:ascii="黑体" w:hAnsi="宋体" w:eastAsia="黑体" w:cs="黑体"/>
          <w:b w:val="0"/>
          <w:bCs w:val="0"/>
          <w:i w:val="0"/>
          <w:iCs w:val="0"/>
          <w:caps w:val="0"/>
          <w:color w:val="212529"/>
          <w:spacing w:val="0"/>
          <w:kern w:val="0"/>
          <w:sz w:val="36"/>
          <w:szCs w:val="36"/>
          <w:shd w:val="clear" w:fill="FFFFFF"/>
          <w:lang w:val="en-US" w:eastAsia="zh-CN" w:bidi="ar"/>
        </w:rPr>
      </w:pPr>
      <w:r>
        <w:rPr>
          <w:rFonts w:ascii="方正小标宋简体" w:hAnsi="方正小标宋简体" w:eastAsia="方正小标宋简体" w:cs="方正小标宋简体"/>
          <w:b w:val="0"/>
          <w:bCs w:val="0"/>
          <w:i w:val="0"/>
          <w:iCs w:val="0"/>
          <w:caps w:val="0"/>
          <w:color w:val="212529"/>
          <w:spacing w:val="0"/>
          <w:kern w:val="0"/>
          <w:sz w:val="44"/>
          <w:szCs w:val="44"/>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44"/>
          <w:szCs w:val="44"/>
          <w:shd w:val="clear" w:fill="FFFFFF"/>
          <w:lang w:val="en-US" w:eastAsia="zh-CN" w:bidi="ar"/>
        </w:rPr>
        <w:t>2022</w:t>
      </w:r>
      <w:r>
        <w:rPr>
          <w:rFonts w:hint="eastAsia" w:ascii="方正小标宋简体" w:hAnsi="方正小标宋简体" w:eastAsia="方正小标宋简体" w:cs="方正小标宋简体"/>
          <w:b w:val="0"/>
          <w:bCs w:val="0"/>
          <w:i w:val="0"/>
          <w:iCs w:val="0"/>
          <w:caps w:val="0"/>
          <w:color w:val="212529"/>
          <w:spacing w:val="0"/>
          <w:kern w:val="0"/>
          <w:sz w:val="44"/>
          <w:szCs w:val="44"/>
          <w:shd w:val="clear" w:fill="FFFFFF"/>
          <w:lang w:val="en-US" w:eastAsia="zh-CN" w:bidi="ar"/>
        </w:rPr>
        <w:t>年单位预算编制说明</w:t>
      </w:r>
    </w:p>
    <w:p>
      <w:pPr>
        <w:keepNext w:val="0"/>
        <w:keepLines w:val="0"/>
        <w:widowControl/>
        <w:suppressLineNumbers w:val="0"/>
        <w:shd w:val="clear" w:fill="FFFFFF"/>
        <w:spacing w:before="210" w:beforeAutospacing="0" w:after="210" w:afterAutospacing="0" w:line="560" w:lineRule="atLeast"/>
        <w:ind w:left="0" w:right="0" w:firstLine="0"/>
        <w:jc w:val="center"/>
        <w:rPr>
          <w:rFonts w:ascii="黑体" w:hAnsi="宋体" w:eastAsia="黑体" w:cs="黑体"/>
          <w:b w:val="0"/>
          <w:bCs w:val="0"/>
          <w:i w:val="0"/>
          <w:iCs w:val="0"/>
          <w:caps w:val="0"/>
          <w:color w:val="212529"/>
          <w:spacing w:val="0"/>
          <w:kern w:val="0"/>
          <w:sz w:val="36"/>
          <w:szCs w:val="36"/>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Times New Roman" w:hAnsi="Times New Roman" w:eastAsia="宋体" w:cs="Times New Roman"/>
          <w:b w:val="0"/>
          <w:bCs w:val="0"/>
          <w:i w:val="0"/>
          <w:iCs w:val="0"/>
          <w:caps w:val="0"/>
          <w:color w:val="212529"/>
          <w:spacing w:val="0"/>
          <w:sz w:val="24"/>
          <w:szCs w:val="24"/>
        </w:rPr>
      </w:pPr>
      <w:bookmarkStart w:id="0" w:name="_GoBack"/>
      <w:r>
        <w:rPr>
          <w:rFonts w:hint="default" w:ascii="Times New Roman" w:hAnsi="Times New Roman" w:eastAsia="黑体" w:cs="Times New Roman"/>
          <w:b w:val="0"/>
          <w:bCs w:val="0"/>
          <w:i w:val="0"/>
          <w:iCs w:val="0"/>
          <w:caps w:val="0"/>
          <w:color w:val="212529"/>
          <w:spacing w:val="0"/>
          <w:kern w:val="0"/>
          <w:sz w:val="36"/>
          <w:szCs w:val="36"/>
          <w:shd w:val="clear" w:fill="FFFFFF"/>
          <w:lang w:val="en-US" w:eastAsia="zh-CN" w:bidi="ar"/>
        </w:rPr>
        <w:t>目</w:t>
      </w:r>
      <w:r>
        <w:rPr>
          <w:rFonts w:hint="default" w:ascii="Times New Roman" w:hAnsi="Times New Roman" w:eastAsia="宋体" w:cs="Times New Roman"/>
          <w:b w:val="0"/>
          <w:bCs w:val="0"/>
          <w:i w:val="0"/>
          <w:iCs w:val="0"/>
          <w:caps w:val="0"/>
          <w:color w:val="212529"/>
          <w:spacing w:val="0"/>
          <w:kern w:val="0"/>
          <w:sz w:val="36"/>
          <w:szCs w:val="36"/>
          <w:shd w:val="clear" w:fill="FFFFFF"/>
          <w:lang w:val="en-US" w:eastAsia="zh-CN" w:bidi="ar"/>
        </w:rPr>
        <w:t xml:space="preserve">  </w:t>
      </w:r>
      <w:r>
        <w:rPr>
          <w:rFonts w:hint="default" w:ascii="Times New Roman" w:hAnsi="Times New Roman" w:eastAsia="黑体" w:cs="Times New Roman"/>
          <w:b w:val="0"/>
          <w:bCs w:val="0"/>
          <w:i w:val="0"/>
          <w:iCs w:val="0"/>
          <w:caps w:val="0"/>
          <w:color w:val="212529"/>
          <w:spacing w:val="0"/>
          <w:kern w:val="0"/>
          <w:sz w:val="36"/>
          <w:szCs w:val="36"/>
          <w:shd w:val="clear" w:fill="FFFFFF"/>
          <w:lang w:val="en-US" w:eastAsia="zh-CN" w:bidi="ar"/>
        </w:rPr>
        <w:t>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第一部分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  </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单位预算编制说明</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基本职能及构成</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640" w:leftChars="0" w:right="0" w:rightChars="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二、收支预算情况说明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三、财政拨款收支预算情况说明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四、一般公共预算当年拨款情况说明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五、一般公共预算基本支出情况说明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六、</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经费财政拨款预算安排情况说明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七、</w:t>
      </w:r>
      <w:r>
        <w:rPr>
          <w:rFonts w:hint="default" w:ascii="Times New Roman" w:hAnsi="Times New Roman" w:eastAsia="宋体" w:cs="Times New Roman"/>
          <w:b w:val="0"/>
          <w:bCs w:val="0"/>
          <w:i w:val="0"/>
          <w:iCs w:val="0"/>
          <w:caps w:val="0"/>
          <w:color w:val="212529"/>
          <w:spacing w:val="-2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20"/>
          <w:kern w:val="0"/>
          <w:sz w:val="32"/>
          <w:szCs w:val="32"/>
          <w:shd w:val="clear" w:fill="FFFFFF"/>
          <w:lang w:val="en-US" w:eastAsia="zh-CN" w:bidi="ar"/>
        </w:rPr>
        <w:t>培训费</w:t>
      </w:r>
      <w:r>
        <w:rPr>
          <w:rFonts w:hint="default" w:ascii="Times New Roman" w:hAnsi="Times New Roman" w:eastAsia="宋体" w:cs="Times New Roman"/>
          <w:b w:val="0"/>
          <w:bCs w:val="0"/>
          <w:i w:val="0"/>
          <w:iCs w:val="0"/>
          <w:caps w:val="0"/>
          <w:color w:val="212529"/>
          <w:spacing w:val="-2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20"/>
          <w:kern w:val="0"/>
          <w:sz w:val="32"/>
          <w:szCs w:val="32"/>
          <w:shd w:val="clear" w:fill="FFFFFF"/>
          <w:lang w:val="en-US" w:eastAsia="zh-CN" w:bidi="ar"/>
        </w:rPr>
        <w:t>差旅费</w:t>
      </w:r>
      <w:r>
        <w:rPr>
          <w:rFonts w:hint="default" w:ascii="Times New Roman" w:hAnsi="Times New Roman" w:eastAsia="宋体" w:cs="Times New Roman"/>
          <w:b w:val="0"/>
          <w:bCs w:val="0"/>
          <w:i w:val="0"/>
          <w:iCs w:val="0"/>
          <w:caps w:val="0"/>
          <w:color w:val="212529"/>
          <w:spacing w:val="-2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20"/>
          <w:kern w:val="0"/>
          <w:sz w:val="32"/>
          <w:szCs w:val="32"/>
          <w:shd w:val="clear" w:fill="FFFFFF"/>
          <w:lang w:val="en-US" w:eastAsia="zh-CN" w:bidi="ar"/>
        </w:rPr>
        <w:t>会议费</w:t>
      </w:r>
      <w:r>
        <w:rPr>
          <w:rFonts w:hint="default" w:ascii="Times New Roman" w:hAnsi="Times New Roman" w:eastAsia="宋体" w:cs="Times New Roman"/>
          <w:b w:val="0"/>
          <w:bCs w:val="0"/>
          <w:i w:val="0"/>
          <w:iCs w:val="0"/>
          <w:caps w:val="0"/>
          <w:color w:val="212529"/>
          <w:spacing w:val="-2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20"/>
          <w:kern w:val="0"/>
          <w:sz w:val="32"/>
          <w:szCs w:val="32"/>
          <w:shd w:val="clear" w:fill="FFFFFF"/>
          <w:lang w:val="en-US" w:eastAsia="zh-CN" w:bidi="ar"/>
        </w:rPr>
        <w:t>财政拨款预算安排情况说明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八、政府性基金预算支出情况说明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九、国有资本经营预算支出情况说明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十、其他重要事项的情况说明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十一、名词解释</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第二部分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  </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单位预算相关报表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单位收支总表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1-1.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单位收入总表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1-2.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单位支出总表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财政拨款收支预算总表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2-1.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财政拨款支出预算表（政府经济分类科目）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3-1.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一般公共预算基本支出预算表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3-2.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一般公共预算项目支出预算表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3-3.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政府性基金支出预算表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4-1.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政府性基金预算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5. </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国有资本经营预算支出预算表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第三部分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  </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单位预算绩效目标表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sz w:val="32"/>
          <w:szCs w:val="32"/>
          <w:shd w:val="clear" w:fill="FFFFFF"/>
        </w:rPr>
        <w:t>表</w:t>
      </w:r>
      <w:r>
        <w:rPr>
          <w:rFonts w:hint="default" w:ascii="Times New Roman" w:hAnsi="Times New Roman" w:eastAsia="宋体" w:cs="Times New Roman"/>
          <w:b w:val="0"/>
          <w:bCs w:val="0"/>
          <w:i w:val="0"/>
          <w:iCs w:val="0"/>
          <w:caps w:val="0"/>
          <w:color w:val="212529"/>
          <w:spacing w:val="0"/>
          <w:sz w:val="32"/>
          <w:szCs w:val="32"/>
          <w:shd w:val="clear" w:fill="FFFFFF"/>
        </w:rPr>
        <w:t>1.</w:t>
      </w:r>
      <w:r>
        <w:rPr>
          <w:rFonts w:hint="default" w:ascii="Times New Roman" w:hAnsi="Times New Roman" w:eastAsia="仿宋_GB2312" w:cs="Times New Roman"/>
          <w:b w:val="0"/>
          <w:bCs w:val="0"/>
          <w:i w:val="0"/>
          <w:iCs w:val="0"/>
          <w:caps w:val="0"/>
          <w:color w:val="212529"/>
          <w:spacing w:val="0"/>
          <w:sz w:val="32"/>
          <w:szCs w:val="32"/>
          <w:shd w:val="clear" w:fill="FFFFFF"/>
        </w:rPr>
        <w:t>单位整体支出绩效目标表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表</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单位预算项目支出绩效目标表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宋体" w:cs="Times New Roman"/>
          <w:b w:val="0"/>
          <w:bCs w:val="0"/>
          <w:i w:val="0"/>
          <w:iCs w:val="0"/>
          <w:caps w:val="0"/>
          <w:color w:val="212529"/>
          <w:spacing w:val="0"/>
          <w:sz w:val="24"/>
          <w:szCs w:val="24"/>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一、基本职能及构成</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（一）基本职能及主要任务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负责辖区的火灾预防、应急救援、火灾扑救和队伍的管理教育工作；组织开展消防安全教育和消防安全检查，督促整改火灾隐患；组织开展火灾原因调查，处理火灾事故，负责消防产品监督管理和技术指导工作；掌握消防安全重点单位的情况，指导中队制定灭火预案，并适时进行演练，随时做好战斗准备，组织火灾扑救；加强管理教育，严格执行条例、条令和各项规章制度，做好安全工作，预防各类事故的发生；负责思想政治工作，保持高度稳定，保证各项任务的顺利完成；搞好后勤建设，提高后勤保障能力。</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sz w:val="32"/>
          <w:szCs w:val="32"/>
        </w:rPr>
        <w:t>遂宁高新技术产业园区消防大队筹备组</w:t>
      </w:r>
      <w:r>
        <w:rPr>
          <w:rFonts w:hint="default" w:ascii="Times New Roman" w:hAnsi="Times New Roman" w:eastAsia="仿宋_GB2312" w:cs="Times New Roman"/>
          <w:b w:val="0"/>
          <w:bCs w:val="0"/>
          <w:sz w:val="32"/>
          <w:szCs w:val="32"/>
          <w:lang w:eastAsia="zh-CN"/>
        </w:rPr>
        <w:t>是</w:t>
      </w:r>
      <w:r>
        <w:rPr>
          <w:rFonts w:hint="default" w:ascii="Times New Roman" w:hAnsi="Times New Roman" w:eastAsia="仿宋_GB2312" w:cs="Times New Roman"/>
          <w:b w:val="0"/>
          <w:bCs w:val="0"/>
          <w:sz w:val="32"/>
          <w:szCs w:val="32"/>
        </w:rPr>
        <w:t>2019年</w:t>
      </w:r>
      <w:r>
        <w:rPr>
          <w:rFonts w:hint="default" w:ascii="Times New Roman" w:hAnsi="Times New Roman" w:cs="Times New Roman"/>
          <w:b w:val="0"/>
          <w:bCs w:val="0"/>
          <w:sz w:val="32"/>
          <w:szCs w:val="32"/>
          <w:lang w:val="en-US" w:eastAsia="zh-CN"/>
        </w:rPr>
        <w:t>8</w:t>
      </w:r>
      <w:r>
        <w:rPr>
          <w:rFonts w:hint="default" w:ascii="Times New Roman" w:hAnsi="Times New Roman" w:eastAsia="仿宋_GB2312" w:cs="Times New Roman"/>
          <w:b w:val="0"/>
          <w:bCs w:val="0"/>
          <w:sz w:val="32"/>
          <w:szCs w:val="32"/>
        </w:rPr>
        <w:t>月份</w:t>
      </w:r>
      <w:r>
        <w:rPr>
          <w:rFonts w:hint="default" w:ascii="Times New Roman" w:hAnsi="Times New Roman" w:eastAsia="仿宋_GB2312" w:cs="Times New Roman"/>
          <w:b w:val="0"/>
          <w:bCs w:val="0"/>
          <w:sz w:val="32"/>
          <w:szCs w:val="32"/>
          <w:lang w:eastAsia="zh-CN"/>
        </w:rPr>
        <w:t>成立的一次性单位</w:t>
      </w:r>
      <w:r>
        <w:rPr>
          <w:rFonts w:hint="default" w:ascii="Times New Roman" w:hAnsi="Times New Roman" w:eastAsia="仿宋_GB2312" w:cs="Times New Roman"/>
          <w:b w:val="0"/>
          <w:bCs w:val="0"/>
          <w:sz w:val="32"/>
          <w:szCs w:val="32"/>
        </w:rPr>
        <w:t>，下辖一个政府专职消防</w:t>
      </w:r>
      <w:r>
        <w:rPr>
          <w:rFonts w:hint="default" w:ascii="Times New Roman" w:hAnsi="Times New Roman" w:eastAsia="仿宋_GB2312" w:cs="Times New Roman"/>
          <w:b w:val="0"/>
          <w:bCs w:val="0"/>
          <w:sz w:val="32"/>
          <w:szCs w:val="32"/>
          <w:lang w:eastAsia="zh-CN"/>
        </w:rPr>
        <w:t>救援站</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遂宁高新区民惠路</w:t>
      </w:r>
      <w:r>
        <w:rPr>
          <w:rFonts w:hint="default" w:ascii="Times New Roman" w:hAnsi="Times New Roman" w:eastAsia="仿宋_GB2312" w:cs="Times New Roman"/>
          <w:b w:val="0"/>
          <w:bCs w:val="0"/>
          <w:sz w:val="32"/>
          <w:szCs w:val="32"/>
        </w:rPr>
        <w:t>专职消防</w:t>
      </w:r>
      <w:r>
        <w:rPr>
          <w:rFonts w:hint="default" w:ascii="Times New Roman" w:hAnsi="Times New Roman" w:eastAsia="仿宋_GB2312" w:cs="Times New Roman"/>
          <w:b w:val="0"/>
          <w:bCs w:val="0"/>
          <w:sz w:val="32"/>
          <w:szCs w:val="32"/>
          <w:lang w:eastAsia="zh-CN"/>
        </w:rPr>
        <w:t>救援站，无下属二级预算单位。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二、收支预算情况说明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按照综合预算的原则，遂宁高新技术产业园区消防大队筹备组所有收入和支出均纳入部门预算管理。收入包括：一般公共预算拨款收入；支出包括：社会保障和就业支出、卫生健康支出、住房保障支出、灾害防治及应急管理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年收支总预算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万元，较上年收支预算总数增加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177.11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万元，增长了14.20%，主要是基本支出增加。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（一）收入预算情况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年收入预算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万元，其中：一般公共预算拨款收入</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100%</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（二）支出预算情况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年支出预算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万元，其中：基本支出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960.22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67.43%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；项目支出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463.79</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32.57%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三、财政拨款收支预算情况说明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年收支预算总数</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万元，较上年增加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177.11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万元，主要是基本支出增加。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收入包括：本年一般公共预算拨款收入</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万元；支出包括：社会保障和就业支出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63.63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万元、卫生健康支出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28</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万元、住房保障支出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47.72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万元、灾害防治及应急管理支出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1284.67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四、一般公共预算当年拨款情况说明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（一）一般公共预算当年拨款规模变化情况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一般公共预算当年拨款</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1424.02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万元，较上年增加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177.11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万元，主要是基本支出增加。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（二）一般公共预算当年拨款结构情况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社会保障和就业支出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63.63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4.47%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、卫生健康支出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28</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1.97%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、住房保障支出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47.72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3.35%</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、灾害防治及应急管理支出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1284.67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90.21%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（三）一般公共预算当年拨款具体使用情况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社会保障和就业支出（类）行政事业单位养老支出（款）机关事业单位基本养老保险缴费支出（项）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63.63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万元，主要用于：基本养老保险缴费。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卫生健康支出（类）行政事业单位医疗（款）行政单位医疗（项）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28</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万元，主要用于医疗保险缴费。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住房保障支出（类）住房改革支出（款）住房公积金（项）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47.72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万元，主要用于住房公积金。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灾害防治及应急管理支出（类）消防事务（款）行政运行（项）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820.88</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万元，主要用于基本支出、日常公用经费等；灾害防治及应急管理支出（类）消防事务（款）消防应急救援（项）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463.79</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万元，主要用于项目支出。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五、一般公共预算基本支出情况说明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年一般公共预算基本支出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960.22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万元，其中：</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人员经费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707.22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万元，主要包括：专职消防队员、消防文员及公勤人员工资、社会保险缴费、住房公积金、其他工资福利支出。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公用经费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253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万元，主要包括：办公经费、咨询费、培训费、水费、电费、邮电费、物业管理费、委托业务费、公务用车运行维护费、维修（护）费、其他商品和服务支出。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六、</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经费财政拨款预算安排情况说明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经费财政拨款预算数为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64</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万元，即：因公出国（境）经费0万元、公务用车购置及运行费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64</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万元、公务接待费0万元。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（一）因公出国（境）经费与上年持平。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（二）公务用车购置及运行费较上年增长14.29%，其中2022年安排公务用车购置费0万元；安排公务用车运行维护费64万元，较上年增长14.29%，主要原因是2022年车辆的增加。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（三）公务接待费较上年下降100%。根据2021年公务接待费实际使用情况，并结合日常实际，公务接待费安排了0万元。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七、</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培训费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差旅费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会议费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财政拨款预算安排情况说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培训费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差旅费”“会议费”财政拨款预算数</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11.5</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万元，其中培训费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10</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万元，差旅费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1.5</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万元，会议费0万元。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（一）培训费较上年下降了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16.67%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，主要原因是坚决落实政府过紧日子要求，按照</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厉行节俭、保障必需</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的原则减少培训费预算。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（二）差旅费较上年下降了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75%</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，主要原因是坚决落实政府过紧日子要求，按照</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厉行节俭、保障必需</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的原则减少差旅费预算。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（三）会议费较上年下降100%。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八、政府性基金预算支出情况说明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年没有使用政府性基金预算拨款安排的支出。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九、国有资本经营预算支出情况说明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年没有使用国有资本经营预算拨款安排的支出。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十、其他重要事项的情况说明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（一）机关运行经费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年，遂宁高新技术产业园区消防大队筹备组日常公用经费财政拨款预算为</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253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万元。较上年下降了</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32.67%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，主要原因是坚决落实政府过紧日子要求，按照</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厉行节俭、保障必需</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的原则减少相关预算。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（二）政府采购情况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遂宁高新技术产业园区消防大队筹备组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年安排政府采购预算</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352.77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万元，用于采购大队营区改造、正规化建设、大队办公用房办公家具购置费、</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年宣传费、联网式独立感烟报警器、地震救援装备、车辆维修和保养服务。因消防救援队伍的特殊性，地震救援装备采购计划将报请四川省消防救援总队、遂宁市消防救援支队集中采购。</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（三）</w:t>
      </w:r>
      <w:r>
        <w:rPr>
          <w:rFonts w:hint="default" w:ascii="Times New Roman" w:hAnsi="Times New Roman" w:eastAsia="宋体" w:cs="Times New Roman"/>
          <w:b w:val="0"/>
          <w:bCs w:val="0"/>
          <w:i w:val="0"/>
          <w:iCs w:val="0"/>
          <w:caps w:val="0"/>
          <w:color w:val="212529"/>
          <w:spacing w:val="0"/>
          <w:kern w:val="0"/>
          <w:sz w:val="24"/>
          <w:szCs w:val="24"/>
          <w:shd w:val="clear" w:fill="FFFFFF"/>
          <w:lang w:val="en-US" w:eastAsia="zh-CN" w:bidi="ar"/>
        </w:rPr>
        <w:t> </w:t>
      </w: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国有资产占有使用情况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年部门预算安排</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289.63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万元，安排</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119.63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万元用于</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年大队营区改造，</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30</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万元用于大队办公用房办公家具购置，</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100</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万元用于常耗器材装备、特种器材购置费（水枪水带、个人防护、灭火药剂等），</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40</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万元用于地震救援装备。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楷体_GB2312" w:cs="Times New Roman"/>
          <w:b w:val="0"/>
          <w:bCs w:val="0"/>
          <w:i w:val="0"/>
          <w:iCs w:val="0"/>
          <w:caps w:val="0"/>
          <w:color w:val="212529"/>
          <w:spacing w:val="0"/>
          <w:kern w:val="0"/>
          <w:sz w:val="32"/>
          <w:szCs w:val="32"/>
          <w:shd w:val="clear" w:fill="FFFFFF"/>
          <w:lang w:val="en-US" w:eastAsia="zh-CN" w:bidi="ar"/>
        </w:rPr>
        <w:t>（四）绩效目标设置情况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绩效目标是预算编制的前提和基础，按照</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费随事定</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的原则，</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2022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年遂宁高新技术产业园区消防大队筹备组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黑体" w:cs="Times New Roman"/>
          <w:b w:val="0"/>
          <w:bCs w:val="0"/>
          <w:i w:val="0"/>
          <w:iCs w:val="0"/>
          <w:caps w:val="0"/>
          <w:color w:val="212529"/>
          <w:spacing w:val="0"/>
          <w:kern w:val="0"/>
          <w:sz w:val="32"/>
          <w:szCs w:val="32"/>
          <w:shd w:val="clear" w:fill="FFFFFF"/>
          <w:lang w:val="en-US" w:eastAsia="zh-CN" w:bidi="ar"/>
        </w:rPr>
        <w:t>十一、重要名词解释</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1.</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一般公共预算拨款收入：指市本级财政当年拨付的资金。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基本支出：指为保证机构正常运转，完成日常工作任务而发生的人员支出和公用支出。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3.</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项目支出：指在基本支出之外为完成特定行政任务和事业发展目标所发生的支出。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经费：纳入单位预算管理的</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三公</w:t>
      </w: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经费，是指单位用财政拨款安排的因公出国（境）费、公务用车购置及运行费和公务接待费。其中，因公出国（境）费反映公务出国（境）的国际旅费、国外城市间交通费、住宿费、伙食费、培训费、公杂费等支出；公务用车购置及运行费反映公务用车车辆购置支出（含车辆购置税）及租用费、燃料费、维修费、过路过桥费、保险费等支出；公务接待费反映按规定开支的各类公务接待（含外宾接待）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社会保障和就业支出（类）行政事业单位养老支出（款）机关事业单位基本养老保险缴费支出（项）反映机关事业单位实施养老保险制度由单位缴纳的基本养老保险缴费支出。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6.</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卫生健康支出（类）行政事业单位医疗（款）行政单位医疗（项）反映财政部门安排的行政单位基本医疗保险缴费经费，未参加医疗保险的行政单位的公费医疗经费，按国家规定享受离休人员待遇的医疗经费。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7.</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8.</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灾害防治及应急管理支出（类）消防事务（款）行政运行（项）反映行政单位的基本支出。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9.</w:t>
      </w:r>
      <w:r>
        <w:rPr>
          <w:rFonts w:hint="default" w:ascii="Times New Roman" w:hAnsi="Times New Roman" w:eastAsia="仿宋_GB2312" w:cs="Times New Roman"/>
          <w:b w:val="0"/>
          <w:bCs w:val="0"/>
          <w:i w:val="0"/>
          <w:iCs w:val="0"/>
          <w:caps w:val="0"/>
          <w:color w:val="212529"/>
          <w:spacing w:val="0"/>
          <w:kern w:val="0"/>
          <w:sz w:val="32"/>
          <w:szCs w:val="32"/>
          <w:shd w:val="clear" w:fill="FFFFFF"/>
          <w:lang w:val="en-US" w:eastAsia="zh-CN" w:bidi="ar"/>
        </w:rPr>
        <w:t>灾害防治及应急管理支出（类）消防事务（款）其他消防事务支出（项）反映其他用于消防方面的支出。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宋体" w:cs="Times New Roman"/>
          <w:b w:val="0"/>
          <w:bCs w:val="0"/>
          <w:i w:val="0"/>
          <w:iCs w:val="0"/>
          <w:caps w:val="0"/>
          <w:color w:val="212529"/>
          <w:spacing w:val="0"/>
          <w:sz w:val="24"/>
          <w:szCs w:val="24"/>
        </w:rPr>
      </w:pPr>
      <w:r>
        <w:rPr>
          <w:rFonts w:hint="default" w:ascii="Times New Roman" w:hAnsi="Times New Roman" w:eastAsia="宋体" w:cs="Times New Roman"/>
          <w:b w:val="0"/>
          <w:bCs w:val="0"/>
          <w:i w:val="0"/>
          <w:iCs w:val="0"/>
          <w:caps w:val="0"/>
          <w:color w:val="212529"/>
          <w:spacing w:val="0"/>
          <w:kern w:val="0"/>
          <w:sz w:val="32"/>
          <w:szCs w:val="32"/>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67BE7"/>
    <w:multiLevelType w:val="singleLevel"/>
    <w:tmpl w:val="BFC67BE7"/>
    <w:lvl w:ilvl="0" w:tentative="0">
      <w:start w:val="2"/>
      <w:numFmt w:val="chineseCounting"/>
      <w:suff w:val="nothing"/>
      <w:lvlText w:val="（%1）"/>
      <w:lvlJc w:val="left"/>
      <w:rPr>
        <w:rFonts w:hint="eastAsia"/>
      </w:rPr>
    </w:lvl>
  </w:abstractNum>
  <w:abstractNum w:abstractNumId="1">
    <w:nsid w:val="C5307924"/>
    <w:multiLevelType w:val="singleLevel"/>
    <w:tmpl w:val="C53079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WI3YWMxOTgzNDM3MWQxNzFlNjRlMDNkZThlNzkifQ=="/>
  </w:docVars>
  <w:rsids>
    <w:rsidRoot w:val="539604EA"/>
    <w:rsid w:val="01D408EC"/>
    <w:rsid w:val="07DF2A0B"/>
    <w:rsid w:val="14D777C9"/>
    <w:rsid w:val="2C704F7A"/>
    <w:rsid w:val="40F96DAE"/>
    <w:rsid w:val="48350AAF"/>
    <w:rsid w:val="48D55D98"/>
    <w:rsid w:val="539604EA"/>
    <w:rsid w:val="595E32DF"/>
    <w:rsid w:val="78CE11CB"/>
    <w:rsid w:val="7B7B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2023-09-18T06:21:00Z</dcterms:created>
  <dc:creator>Administrator</dc:creator>
  <cp:lastModifiedBy>x</cp:lastModifiedBy>
  <dcterms:modified xsi:type="dcterms:W3CDTF">2023-10-13T07:40:36Z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EE17C61871CA44FB8E8EFAF2FA769452_11</vt:lpwstr>
  </property>
</Properties>
</file>