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75" w:beforeAutospacing="0" w:after="75" w:afterAutospacing="0"/>
        <w:jc w:val="center"/>
        <w:rPr>
          <w:rStyle w:val="8"/>
          <w:rFonts w:hint="eastAsia" w:ascii="黑体" w:hAnsi="黑体" w:eastAsia="黑体" w:cs="方正小标宋简体"/>
          <w:sz w:val="52"/>
          <w:szCs w:val="52"/>
          <w:lang w:eastAsia="zh-CN"/>
        </w:rPr>
      </w:pPr>
    </w:p>
    <w:p>
      <w:pPr>
        <w:pStyle w:val="5"/>
        <w:widowControl/>
        <w:spacing w:before="75" w:beforeAutospacing="0" w:after="75" w:afterAutospacing="0"/>
        <w:jc w:val="center"/>
        <w:rPr>
          <w:rStyle w:val="8"/>
          <w:rFonts w:hint="eastAsia" w:ascii="黑体" w:hAnsi="黑体" w:eastAsia="黑体" w:cs="方正小标宋简体"/>
          <w:sz w:val="52"/>
          <w:szCs w:val="52"/>
          <w:lang w:eastAsia="zh-CN"/>
        </w:rPr>
      </w:pPr>
    </w:p>
    <w:p>
      <w:pPr>
        <w:pStyle w:val="5"/>
        <w:widowControl/>
        <w:spacing w:before="75" w:beforeAutospacing="0" w:after="75" w:afterAutospacing="0"/>
        <w:jc w:val="center"/>
        <w:rPr>
          <w:rFonts w:hint="eastAsia" w:ascii="黑体" w:hAnsi="黑体" w:eastAsia="黑体" w:cs="sans-serif"/>
          <w:b/>
          <w:sz w:val="52"/>
          <w:szCs w:val="52"/>
        </w:rPr>
      </w:pPr>
      <w:r>
        <w:rPr>
          <w:rStyle w:val="8"/>
          <w:rFonts w:hint="eastAsia" w:ascii="方正小标宋简体" w:hAnsi="方正小标宋简体" w:eastAsia="方正小标宋简体" w:cs="方正小标宋简体"/>
          <w:b w:val="0"/>
          <w:bCs/>
          <w:sz w:val="52"/>
          <w:szCs w:val="52"/>
          <w:lang w:eastAsia="zh-CN"/>
        </w:rPr>
        <w:t>遂宁市船山区保升乡小学校</w:t>
      </w:r>
      <w:r>
        <w:rPr>
          <w:rStyle w:val="8"/>
          <w:rFonts w:hint="eastAsia" w:ascii="方正小标宋简体" w:hAnsi="方正小标宋简体" w:eastAsia="方正小标宋简体" w:cs="方正小标宋简体"/>
          <w:b w:val="0"/>
          <w:bCs/>
          <w:sz w:val="52"/>
          <w:szCs w:val="52"/>
          <w:lang w:val="en-US" w:eastAsia="zh-CN"/>
        </w:rPr>
        <w:t xml:space="preserve">    </w:t>
      </w:r>
      <w:r>
        <w:rPr>
          <w:rStyle w:val="8"/>
          <w:rFonts w:hint="eastAsia" w:ascii="方正小标宋简体" w:hAnsi="方正小标宋简体" w:eastAsia="方正小标宋简体" w:cs="方正小标宋简体"/>
          <w:b w:val="0"/>
          <w:bCs/>
          <w:sz w:val="52"/>
          <w:szCs w:val="52"/>
        </w:rPr>
        <w:t>2022</w:t>
      </w:r>
      <w:r>
        <w:rPr>
          <w:rFonts w:hint="eastAsia" w:ascii="方正小标宋简体" w:hAnsi="方正小标宋简体" w:eastAsia="方正小标宋简体" w:cs="方正小标宋简体"/>
          <w:b w:val="0"/>
          <w:bCs/>
          <w:sz w:val="52"/>
          <w:szCs w:val="52"/>
        </w:rPr>
        <w:t>年单位预算</w:t>
      </w:r>
    </w:p>
    <w:p>
      <w:pPr>
        <w:pStyle w:val="5"/>
        <w:widowControl/>
        <w:spacing w:before="75" w:beforeAutospacing="0" w:after="75" w:afterAutospacing="0"/>
        <w:jc w:val="center"/>
        <w:rPr>
          <w:rFonts w:ascii="sans-serif" w:hAnsi="sans-serif" w:eastAsia="sans-serif" w:cs="sans-serif"/>
          <w:color w:val="000000"/>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widowControl/>
        <w:spacing w:before="75" w:beforeAutospacing="0" w:after="75" w:afterAutospacing="0" w:line="600" w:lineRule="atLeast"/>
        <w:jc w:val="center"/>
        <w:rPr>
          <w:rFonts w:hint="eastAsia" w:ascii="黑体" w:eastAsia="黑体" w:cs="黑体"/>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default" w:ascii="Times New Roman" w:hAnsi="Times New Roman" w:eastAsia="sans-serif" w:cs="Times New Roman"/>
          <w:b w:val="0"/>
          <w:bCs w:val="0"/>
          <w:color w:val="000000"/>
        </w:rPr>
      </w:pPr>
      <w:r>
        <w:rPr>
          <w:rFonts w:hint="default" w:ascii="Times New Roman" w:hAnsi="Times New Roman" w:eastAsia="黑体" w:cs="Times New Roman"/>
          <w:b w:val="0"/>
          <w:bCs w:val="0"/>
          <w:color w:val="000000"/>
          <w:sz w:val="32"/>
          <w:szCs w:val="32"/>
        </w:rPr>
        <w:t>目 录</w:t>
      </w: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黑体" w:cs="Times New Roman"/>
          <w:b w:val="0"/>
          <w:bCs w:val="0"/>
          <w:color w:val="000000"/>
          <w:sz w:val="32"/>
          <w:szCs w:val="32"/>
        </w:rPr>
        <w:t>第一部分 单位预算编制说明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一、基本职能及主要工作</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二、机构设置</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三</w:t>
      </w:r>
      <w:r>
        <w:rPr>
          <w:rFonts w:hint="default" w:ascii="Times New Roman" w:hAnsi="Times New Roman" w:eastAsia="仿宋_GB2312" w:cs="Times New Roman"/>
          <w:b w:val="0"/>
          <w:bCs w:val="0"/>
          <w:color w:val="000000"/>
          <w:sz w:val="32"/>
          <w:szCs w:val="32"/>
        </w:rPr>
        <w:t>、收支预算情况说明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四</w:t>
      </w:r>
      <w:r>
        <w:rPr>
          <w:rFonts w:hint="default" w:ascii="Times New Roman" w:hAnsi="Times New Roman" w:eastAsia="仿宋_GB2312" w:cs="Times New Roman"/>
          <w:b w:val="0"/>
          <w:bCs w:val="0"/>
          <w:color w:val="000000"/>
          <w:sz w:val="32"/>
          <w:szCs w:val="32"/>
        </w:rPr>
        <w:t>、财政拨款收支预算情况说明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五</w:t>
      </w:r>
      <w:r>
        <w:rPr>
          <w:rFonts w:hint="default" w:ascii="Times New Roman" w:hAnsi="Times New Roman" w:eastAsia="仿宋_GB2312" w:cs="Times New Roman"/>
          <w:b w:val="0"/>
          <w:bCs w:val="0"/>
          <w:color w:val="000000"/>
          <w:sz w:val="32"/>
          <w:szCs w:val="32"/>
        </w:rPr>
        <w:t>、一般公共预算当年拨款情况说明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六</w:t>
      </w:r>
      <w:r>
        <w:rPr>
          <w:rFonts w:hint="default" w:ascii="Times New Roman" w:hAnsi="Times New Roman" w:eastAsia="仿宋_GB2312" w:cs="Times New Roman"/>
          <w:b w:val="0"/>
          <w:bCs w:val="0"/>
          <w:color w:val="000000"/>
          <w:sz w:val="32"/>
          <w:szCs w:val="32"/>
        </w:rPr>
        <w:t>、一般公共预算基本支出情况说明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七</w:t>
      </w:r>
      <w:r>
        <w:rPr>
          <w:rFonts w:hint="default" w:ascii="Times New Roman" w:hAnsi="Times New Roman" w:eastAsia="仿宋_GB2312" w:cs="Times New Roman"/>
          <w:b w:val="0"/>
          <w:bCs w:val="0"/>
          <w:color w:val="000000"/>
          <w:sz w:val="32"/>
          <w:szCs w:val="32"/>
        </w:rPr>
        <w:t>、“三公”经费财政拨款预算安排情况说明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40" w:firstLineChars="20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八</w:t>
      </w:r>
      <w:r>
        <w:rPr>
          <w:rFonts w:hint="default" w:ascii="Times New Roman" w:hAnsi="Times New Roman" w:eastAsia="仿宋_GB2312" w:cs="Times New Roman"/>
          <w:b w:val="0"/>
          <w:bCs w:val="0"/>
          <w:color w:val="000000"/>
          <w:sz w:val="32"/>
          <w:szCs w:val="32"/>
        </w:rPr>
        <w:t>、“会议费”“培训费”“差旅费”财政拨款预算安排情况说明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九</w:t>
      </w:r>
      <w:r>
        <w:rPr>
          <w:rFonts w:hint="default" w:ascii="Times New Roman" w:hAnsi="Times New Roman" w:eastAsia="仿宋_GB2312" w:cs="Times New Roman"/>
          <w:b w:val="0"/>
          <w:bCs w:val="0"/>
          <w:color w:val="000000"/>
          <w:sz w:val="32"/>
          <w:szCs w:val="32"/>
        </w:rPr>
        <w:t>、政府性基金预算支出情况说明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lang w:val="en-US" w:eastAsia="zh-CN"/>
        </w:rPr>
        <w:t>十</w:t>
      </w:r>
      <w:r>
        <w:rPr>
          <w:rFonts w:hint="default" w:ascii="Times New Roman" w:hAnsi="Times New Roman" w:eastAsia="仿宋_GB2312" w:cs="Times New Roman"/>
          <w:b w:val="0"/>
          <w:bCs w:val="0"/>
          <w:color w:val="000000"/>
          <w:sz w:val="32"/>
          <w:szCs w:val="32"/>
        </w:rPr>
        <w:t>、国有资本经营预算支出情况说明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十</w:t>
      </w:r>
      <w:r>
        <w:rPr>
          <w:rFonts w:hint="default" w:ascii="Times New Roman" w:hAnsi="Times New Roman" w:eastAsia="仿宋_GB2312" w:cs="Times New Roman"/>
          <w:b w:val="0"/>
          <w:bCs w:val="0"/>
          <w:color w:val="000000"/>
          <w:sz w:val="32"/>
          <w:szCs w:val="32"/>
          <w:lang w:val="en-US" w:eastAsia="zh-CN"/>
        </w:rPr>
        <w:t>一</w:t>
      </w:r>
      <w:r>
        <w:rPr>
          <w:rFonts w:hint="default" w:ascii="Times New Roman" w:hAnsi="Times New Roman" w:eastAsia="仿宋_GB2312" w:cs="Times New Roman"/>
          <w:b w:val="0"/>
          <w:bCs w:val="0"/>
          <w:color w:val="000000"/>
          <w:sz w:val="32"/>
          <w:szCs w:val="32"/>
        </w:rPr>
        <w:t>、其他重要事项的情况说明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十</w:t>
      </w:r>
      <w:r>
        <w:rPr>
          <w:rFonts w:hint="default" w:ascii="Times New Roman" w:hAnsi="Times New Roman" w:eastAsia="仿宋_GB2312" w:cs="Times New Roman"/>
          <w:b w:val="0"/>
          <w:bCs w:val="0"/>
          <w:color w:val="000000"/>
          <w:sz w:val="32"/>
          <w:szCs w:val="32"/>
          <w:lang w:val="en-US" w:eastAsia="zh-CN"/>
        </w:rPr>
        <w:t>二</w:t>
      </w:r>
      <w:r>
        <w:rPr>
          <w:rFonts w:hint="default" w:ascii="Times New Roman" w:hAnsi="Times New Roman" w:eastAsia="仿宋_GB2312" w:cs="Times New Roman"/>
          <w:b w:val="0"/>
          <w:bCs w:val="0"/>
          <w:color w:val="000000"/>
          <w:sz w:val="32"/>
          <w:szCs w:val="32"/>
        </w:rPr>
        <w:t>、名词解释</w:t>
      </w: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黑体" w:cs="Times New Roman"/>
          <w:b w:val="0"/>
          <w:bCs w:val="0"/>
          <w:color w:val="000000"/>
          <w:sz w:val="32"/>
          <w:szCs w:val="32"/>
        </w:rPr>
        <w:t>第二部分单位预算相关报表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表1.单位收支总表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表1-1.单位收入总表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表1-2.单位支出总表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表2.财政拨款收支预算总表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表2-1.财政拨款支出预算表（部门经济分类科目）</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表3.一般公共预算支出预算表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表3-1.一般公共预算基本支出预算表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表3-2.一般公共预算项目支出预算表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表3-3.一般公共预算“三公”经费支出预算表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表4.政府性基金支出预算表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表4-1.政府性基金预算“三公”经费支出预算表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表5.国有资本经营预算支出预算表</w:t>
      </w:r>
    </w:p>
    <w:p>
      <w:pPr>
        <w:pStyle w:val="4"/>
        <w:pageBreakBefore w:val="0"/>
        <w:kinsoku/>
        <w:wordWrap/>
        <w:overflowPunct/>
        <w:topLinePunct w:val="0"/>
        <w:autoSpaceDE/>
        <w:autoSpaceDN/>
        <w:bidi w:val="0"/>
        <w:adjustRightInd/>
        <w:spacing w:after="0" w:line="560" w:lineRule="exact"/>
        <w:textAlignment w:val="auto"/>
        <w:rPr>
          <w:rFonts w:hint="default" w:ascii="Times New Roman" w:hAnsi="Times New Roman" w:eastAsia="黑体" w:cs="Times New Roman"/>
          <w:b w:val="0"/>
          <w:bCs w:val="0"/>
          <w:color w:val="000000"/>
          <w:kern w:val="0"/>
          <w:sz w:val="32"/>
          <w:szCs w:val="32"/>
        </w:rPr>
      </w:pPr>
      <w:r>
        <w:rPr>
          <w:rFonts w:hint="default" w:ascii="Times New Roman" w:hAnsi="Times New Roman" w:eastAsia="黑体" w:cs="Times New Roman"/>
          <w:b w:val="0"/>
          <w:bCs w:val="0"/>
          <w:color w:val="000000"/>
          <w:kern w:val="0"/>
          <w:sz w:val="32"/>
          <w:szCs w:val="32"/>
        </w:rPr>
        <w:t>第三部分单位预算绩效目标表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表1.单位整体支出绩效目标表</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color w:val="000000"/>
          <w:sz w:val="32"/>
          <w:szCs w:val="32"/>
        </w:rPr>
      </w:pPr>
      <w:r>
        <w:rPr>
          <w:rFonts w:hint="default" w:ascii="Times New Roman" w:hAnsi="Times New Roman" w:eastAsia="仿宋_GB2312" w:cs="Times New Roman"/>
          <w:b w:val="0"/>
          <w:bCs w:val="0"/>
          <w:color w:val="000000"/>
          <w:sz w:val="32"/>
          <w:szCs w:val="32"/>
        </w:rPr>
        <w:t>表2.单位预算项目支出绩效目标表</w:t>
      </w: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仿宋_GB2312" w:cs="Times New Roman"/>
          <w:b w:val="0"/>
          <w:bCs w:val="0"/>
          <w:color w:val="000000"/>
          <w:sz w:val="32"/>
          <w:szCs w:val="32"/>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Style w:val="8"/>
          <w:rFonts w:hint="default" w:ascii="Times New Roman" w:hAnsi="Times New Roman" w:eastAsia="黑体" w:cs="Times New Roman"/>
          <w:b w:val="0"/>
          <w:bCs w:val="0"/>
          <w:sz w:val="44"/>
          <w:szCs w:val="44"/>
          <w:lang w:eastAsia="zh-CN"/>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Style w:val="8"/>
          <w:rFonts w:hint="default" w:ascii="Times New Roman" w:hAnsi="Times New Roman" w:eastAsia="黑体" w:cs="Times New Roman"/>
          <w:b w:val="0"/>
          <w:bCs w:val="0"/>
          <w:sz w:val="44"/>
          <w:szCs w:val="44"/>
          <w:lang w:eastAsia="zh-CN"/>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Style w:val="8"/>
          <w:rFonts w:hint="default" w:ascii="Times New Roman" w:hAnsi="Times New Roman" w:eastAsia="黑体" w:cs="Times New Roman"/>
          <w:b w:val="0"/>
          <w:bCs w:val="0"/>
          <w:sz w:val="44"/>
          <w:szCs w:val="44"/>
          <w:lang w:eastAsia="zh-CN"/>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Style w:val="8"/>
          <w:rFonts w:hint="default" w:ascii="Times New Roman" w:hAnsi="Times New Roman" w:eastAsia="黑体" w:cs="Times New Roman"/>
          <w:b w:val="0"/>
          <w:bCs w:val="0"/>
          <w:sz w:val="44"/>
          <w:szCs w:val="44"/>
          <w:lang w:eastAsia="zh-CN"/>
        </w:rPr>
      </w:pPr>
    </w:p>
    <w:p>
      <w:pPr>
        <w:pStyle w:val="5"/>
        <w:pageBreakBefore w:val="0"/>
        <w:widowControl/>
        <w:kinsoku/>
        <w:wordWrap/>
        <w:overflowPunct/>
        <w:topLinePunct w:val="0"/>
        <w:autoSpaceDE/>
        <w:autoSpaceDN/>
        <w:bidi w:val="0"/>
        <w:adjustRightInd/>
        <w:spacing w:before="0" w:beforeAutospacing="0" w:after="0" w:afterAutospacing="0" w:line="560" w:lineRule="exact"/>
        <w:jc w:val="center"/>
        <w:textAlignment w:val="auto"/>
        <w:rPr>
          <w:rFonts w:hint="default" w:ascii="Times New Roman" w:hAnsi="Times New Roman" w:eastAsia="sans-serif" w:cs="Times New Roman"/>
          <w:b w:val="0"/>
          <w:bCs w:val="0"/>
          <w:color w:val="000000"/>
        </w:rPr>
      </w:pPr>
      <w:r>
        <w:rPr>
          <w:rStyle w:val="8"/>
          <w:rFonts w:hint="default" w:ascii="Times New Roman" w:hAnsi="Times New Roman" w:eastAsia="方正小标宋简体" w:cs="Times New Roman"/>
          <w:b w:val="0"/>
          <w:bCs w:val="0"/>
          <w:sz w:val="44"/>
          <w:szCs w:val="44"/>
          <w:lang w:eastAsia="zh-CN"/>
        </w:rPr>
        <w:t>遂宁市船山区保升乡小学校</w:t>
      </w:r>
      <w:r>
        <w:rPr>
          <w:rStyle w:val="8"/>
          <w:rFonts w:hint="default" w:ascii="Times New Roman" w:hAnsi="Times New Roman" w:eastAsia="方正小标宋简体" w:cs="Times New Roman"/>
          <w:b w:val="0"/>
          <w:bCs w:val="0"/>
          <w:sz w:val="44"/>
          <w:szCs w:val="44"/>
          <w:lang w:val="en-US" w:eastAsia="zh-CN"/>
        </w:rPr>
        <w:t xml:space="preserve">          </w:t>
      </w:r>
      <w:r>
        <w:rPr>
          <w:rStyle w:val="8"/>
          <w:rFonts w:hint="default" w:ascii="Times New Roman" w:hAnsi="Times New Roman" w:eastAsia="方正小标宋简体" w:cs="Times New Roman"/>
          <w:b w:val="0"/>
          <w:bCs w:val="0"/>
          <w:sz w:val="44"/>
          <w:szCs w:val="44"/>
        </w:rPr>
        <w:t>2022</w:t>
      </w:r>
      <w:r>
        <w:rPr>
          <w:rFonts w:hint="default" w:ascii="Times New Roman" w:hAnsi="Times New Roman" w:eastAsia="方正小标宋简体" w:cs="Times New Roman"/>
          <w:b w:val="0"/>
          <w:bCs w:val="0"/>
          <w:sz w:val="44"/>
          <w:szCs w:val="44"/>
        </w:rPr>
        <w:t>年单位预算编制说明</w:t>
      </w: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rPr>
        <w:t>一、基本职能及主要工作</w:t>
      </w: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sans-serif" w:cs="Times New Roman"/>
          <w:b w:val="0"/>
          <w:bCs w:val="0"/>
          <w:sz w:val="32"/>
          <w:szCs w:val="32"/>
        </w:rPr>
      </w:pPr>
      <w:r>
        <w:rPr>
          <w:rStyle w:val="8"/>
          <w:rFonts w:hint="default" w:ascii="Times New Roman" w:hAnsi="Times New Roman" w:eastAsia="楷体_GB2312" w:cs="Times New Roman"/>
          <w:b w:val="0"/>
          <w:bCs w:val="0"/>
          <w:sz w:val="32"/>
          <w:szCs w:val="32"/>
        </w:rPr>
        <w:t>（一）</w:t>
      </w:r>
      <w:r>
        <w:rPr>
          <w:rStyle w:val="8"/>
          <w:rFonts w:hint="default" w:ascii="Times New Roman" w:hAnsi="Times New Roman" w:eastAsia="楷体_GB2312" w:cs="Times New Roman"/>
          <w:b w:val="0"/>
          <w:bCs w:val="0"/>
          <w:sz w:val="32"/>
          <w:szCs w:val="32"/>
          <w:lang w:eastAsia="zh-CN"/>
        </w:rPr>
        <w:t>遂宁市船山区保升乡小学校</w:t>
      </w:r>
      <w:r>
        <w:rPr>
          <w:rStyle w:val="8"/>
          <w:rFonts w:hint="default" w:ascii="Times New Roman" w:hAnsi="Times New Roman" w:eastAsia="楷体_GB2312" w:cs="Times New Roman"/>
          <w:b w:val="0"/>
          <w:bCs w:val="0"/>
          <w:sz w:val="32"/>
          <w:szCs w:val="32"/>
        </w:rPr>
        <w:t>职能</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color w:val="000000"/>
          <w:sz w:val="32"/>
          <w:szCs w:val="32"/>
          <w:lang w:val="en-US" w:eastAsia="zh-CN"/>
        </w:rPr>
        <w:t xml:space="preserve">我校的主要职能是抓基础教育、培养学生习惯、组织教育教学、科研教研活动，保证教育质量。完成九年义务教育阶段小学教育目标。 </w:t>
      </w:r>
      <w:r>
        <w:rPr>
          <w:rFonts w:hint="default" w:ascii="Times New Roman" w:hAnsi="Times New Roman" w:cs="Times New Roman"/>
          <w:b w:val="0"/>
          <w:bCs w:val="0"/>
          <w:lang w:val="en-US" w:eastAsia="zh-CN"/>
        </w:rPr>
        <w:t xml:space="preserve">                                  </w:t>
      </w:r>
      <w:r>
        <w:rPr>
          <w:rStyle w:val="8"/>
          <w:rFonts w:hint="default" w:ascii="Times New Roman" w:hAnsi="Times New Roman" w:eastAsia="楷体_GB2312" w:cs="Times New Roman"/>
          <w:b w:val="0"/>
          <w:bCs w:val="0"/>
          <w:sz w:val="32"/>
          <w:szCs w:val="32"/>
          <w:lang w:eastAsia="zh-CN"/>
        </w:rPr>
        <w:t>（二）遂宁市船山区保升乡小学校2022年重点工作</w:t>
      </w:r>
    </w:p>
    <w:p>
      <w:pPr>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一是教学教研</w:t>
      </w:r>
    </w:p>
    <w:p>
      <w:pPr>
        <w:pageBreakBefore w:val="0"/>
        <w:kinsoku/>
        <w:wordWrap/>
        <w:overflowPunct/>
        <w:topLinePunct w:val="0"/>
        <w:autoSpaceDE/>
        <w:autoSpaceDN/>
        <w:bidi w:val="0"/>
        <w:adjustRightInd/>
        <w:spacing w:line="560" w:lineRule="exact"/>
        <w:ind w:firstLine="960" w:firstLineChars="300"/>
        <w:jc w:val="left"/>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深化学校课堂教学改革。形成校本化课堂教学模式。开发“研学旅行”校本课程，探索“研学旅行”班本化、校本化实施路径。间周一次级本、校本教研。借助城区学校优质教育资源，创新推动城乡一体化教研模式，采取深入调研、精准诊断、重点培育、持续跟进的方式，定点扶贫，精准发力，提升农村教师专业素养。加强立项课题管理，推广和固化成果；推动小课题研究。市级课题《农村小学教育书写“三步走”的实践研究》结题。</w:t>
      </w:r>
    </w:p>
    <w:p>
      <w:pPr>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二是办学条件</w:t>
      </w:r>
    </w:p>
    <w:p>
      <w:pPr>
        <w:pageBreakBefore w:val="0"/>
        <w:kinsoku/>
        <w:wordWrap/>
        <w:overflowPunct/>
        <w:topLinePunct w:val="0"/>
        <w:autoSpaceDE/>
        <w:autoSpaceDN/>
        <w:bidi w:val="0"/>
        <w:adjustRightInd/>
        <w:spacing w:line="560" w:lineRule="exact"/>
        <w:ind w:firstLine="960" w:firstLineChars="300"/>
        <w:jc w:val="left"/>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校园文化建设，由于校园面积大，安全重点防范部位监控不足，需增加监控摄像头数量；功能室设施设备严重欠缺、陈旧，计划进行功能室改造；教室和办公室墙面返潮严重，出现起皮、脱落、发黄、裂缝，致使墙面斑驳不堪，需进行墙面粉刷。</w:t>
      </w:r>
    </w:p>
    <w:p>
      <w:pPr>
        <w:pStyle w:val="3"/>
        <w:keepNext/>
        <w:keepLines/>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三是做好党建、安全、师德及稳定工作。</w:t>
      </w:r>
    </w:p>
    <w:p>
      <w:pPr>
        <w:pStyle w:val="3"/>
        <w:keepNext/>
        <w:keepLines/>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Cambria" w:cs="Times New Roman"/>
          <w:b w:val="0"/>
          <w:bCs w:val="0"/>
          <w:color w:val="auto"/>
          <w:kern w:val="2"/>
          <w:sz w:val="32"/>
          <w:szCs w:val="24"/>
          <w:lang w:val="zh-CN"/>
        </w:rPr>
      </w:pPr>
      <w:r>
        <w:rPr>
          <w:rFonts w:hint="default" w:ascii="Times New Roman" w:hAnsi="Times New Roman" w:eastAsia="黑体" w:cs="Times New Roman"/>
          <w:b w:val="0"/>
          <w:bCs w:val="0"/>
          <w:color w:val="000000"/>
          <w:kern w:val="2"/>
          <w:sz w:val="32"/>
          <w:szCs w:val="24"/>
          <w:lang w:val="zh-CN"/>
        </w:rPr>
        <w:t>二</w:t>
      </w:r>
      <w:r>
        <w:rPr>
          <w:rFonts w:hint="default" w:ascii="Times New Roman" w:hAnsi="Times New Roman" w:eastAsia="黑体" w:cs="Times New Roman"/>
          <w:b w:val="0"/>
          <w:bCs w:val="0"/>
          <w:kern w:val="0"/>
          <w:sz w:val="32"/>
          <w:szCs w:val="32"/>
          <w:lang w:val="zh-CN" w:eastAsia="zh-CN" w:bidi="ar-SA"/>
        </w:rPr>
        <w:t>、机构设置</w:t>
      </w:r>
    </w:p>
    <w:p>
      <w:pPr>
        <w:pageBreakBefore w:val="0"/>
        <w:kinsoku/>
        <w:wordWrap/>
        <w:overflowPunct/>
        <w:topLinePunct w:val="0"/>
        <w:autoSpaceDE/>
        <w:autoSpaceDN/>
        <w:bidi w:val="0"/>
        <w:adjustRightInd/>
        <w:snapToGrid w:val="0"/>
        <w:spacing w:line="560" w:lineRule="exact"/>
        <w:ind w:firstLine="560" w:firstLineChars="200"/>
        <w:textAlignment w:val="auto"/>
        <w:rPr>
          <w:rFonts w:hint="default" w:ascii="Times New Roman" w:hAnsi="Times New Roman" w:eastAsia="宋体" w:cs="Times New Roman"/>
          <w:b w:val="0"/>
          <w:bCs w:val="0"/>
          <w:sz w:val="28"/>
          <w:szCs w:val="24"/>
        </w:rPr>
      </w:pPr>
      <w:r>
        <w:rPr>
          <w:rFonts w:hint="default" w:ascii="Times New Roman" w:hAnsi="Times New Roman" w:eastAsia="宋体" w:cs="Times New Roman"/>
          <w:b w:val="0"/>
          <w:bCs w:val="0"/>
          <w:sz w:val="28"/>
          <w:szCs w:val="24"/>
        </w:rPr>
        <w:t>四川省遂宁市船山区保升乡小学校</w:t>
      </w:r>
      <w:r>
        <w:rPr>
          <w:rFonts w:hint="default" w:ascii="Times New Roman" w:hAnsi="Times New Roman" w:eastAsia="宋体" w:cs="Times New Roman"/>
          <w:b w:val="0"/>
          <w:bCs w:val="0"/>
          <w:sz w:val="28"/>
          <w:szCs w:val="24"/>
          <w:lang w:val="en-US" w:eastAsia="zh-CN"/>
        </w:rPr>
        <w:t>属于财政全额拨款</w:t>
      </w:r>
      <w:r>
        <w:rPr>
          <w:rFonts w:hint="default" w:ascii="Times New Roman" w:hAnsi="Times New Roman" w:eastAsia="宋体" w:cs="Times New Roman"/>
          <w:b w:val="0"/>
          <w:bCs w:val="0"/>
          <w:sz w:val="28"/>
          <w:szCs w:val="24"/>
        </w:rPr>
        <w:t>公益一类事业单位，</w:t>
      </w:r>
      <w:r>
        <w:rPr>
          <w:rFonts w:hint="default" w:ascii="Times New Roman" w:hAnsi="Times New Roman" w:eastAsia="宋体" w:cs="Times New Roman"/>
          <w:b w:val="0"/>
          <w:bCs w:val="0"/>
          <w:sz w:val="28"/>
          <w:szCs w:val="24"/>
          <w:lang w:val="en-US" w:eastAsia="zh-CN"/>
        </w:rPr>
        <w:t>是一级预算单位，单位内设行政办公室、教导室、财务室、后勤组、语文组、数学组、综合组等部门，</w:t>
      </w:r>
      <w:r>
        <w:rPr>
          <w:rFonts w:hint="default" w:ascii="Times New Roman" w:hAnsi="Times New Roman" w:eastAsia="宋体" w:cs="Times New Roman"/>
          <w:b w:val="0"/>
          <w:bCs w:val="0"/>
          <w:sz w:val="28"/>
          <w:szCs w:val="24"/>
        </w:rPr>
        <w:t>无下属二级预算单位。学校的主管</w:t>
      </w:r>
      <w:r>
        <w:rPr>
          <w:rFonts w:hint="default" w:ascii="Times New Roman" w:hAnsi="Times New Roman" w:eastAsia="宋体" w:cs="Times New Roman"/>
          <w:b w:val="0"/>
          <w:bCs w:val="0"/>
          <w:sz w:val="28"/>
          <w:szCs w:val="24"/>
          <w:lang w:val="en-US" w:eastAsia="zh-CN"/>
        </w:rPr>
        <w:t>部门</w:t>
      </w:r>
      <w:r>
        <w:rPr>
          <w:rFonts w:hint="default" w:ascii="Times New Roman" w:hAnsi="Times New Roman" w:eastAsia="宋体" w:cs="Times New Roman"/>
          <w:b w:val="0"/>
          <w:bCs w:val="0"/>
          <w:sz w:val="28"/>
          <w:szCs w:val="24"/>
        </w:rPr>
        <w:t>为四川遂宁高新技术产业园区管理委员会</w:t>
      </w:r>
      <w:r>
        <w:rPr>
          <w:rFonts w:hint="default" w:ascii="Times New Roman" w:hAnsi="Times New Roman" w:eastAsia="宋体" w:cs="Times New Roman"/>
          <w:b w:val="0"/>
          <w:bCs w:val="0"/>
          <w:sz w:val="28"/>
          <w:szCs w:val="24"/>
          <w:lang w:val="en-US" w:eastAsia="zh-CN"/>
        </w:rPr>
        <w:t>社事与群众工作局</w:t>
      </w:r>
      <w:r>
        <w:rPr>
          <w:rFonts w:hint="default" w:ascii="Times New Roman" w:hAnsi="Times New Roman" w:eastAsia="宋体" w:cs="Times New Roman"/>
          <w:b w:val="0"/>
          <w:bCs w:val="0"/>
          <w:sz w:val="28"/>
          <w:szCs w:val="24"/>
        </w:rPr>
        <w:t>。</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p>
    <w:p>
      <w:pPr>
        <w:pStyle w:val="5"/>
        <w:pageBreakBefore w:val="0"/>
        <w:widowControl/>
        <w:kinsoku/>
        <w:wordWrap/>
        <w:overflowPunct/>
        <w:topLinePunct w:val="0"/>
        <w:autoSpaceDE/>
        <w:autoSpaceDN/>
        <w:bidi w:val="0"/>
        <w:adjustRightInd/>
        <w:spacing w:before="0" w:beforeAutospacing="0" w:after="0" w:afterAutospacing="0" w:line="560" w:lineRule="exac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三</w:t>
      </w:r>
      <w:r>
        <w:rPr>
          <w:rFonts w:hint="default" w:ascii="Times New Roman" w:hAnsi="Times New Roman" w:eastAsia="黑体" w:cs="Times New Roman"/>
          <w:b w:val="0"/>
          <w:bCs w:val="0"/>
          <w:sz w:val="32"/>
          <w:szCs w:val="32"/>
        </w:rPr>
        <w:t>、收支预算情况说明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按照综合预算的原则，遂宁市船山区保升乡小学校所有收入和支出均纳入部门预算管理。收入包括：一般公共预算拨款收入；支出包括：教育支出、社会保障和就业支出、卫生健康支出、住房保障支出。遂宁市船山区保升乡小学校2022年收支总预算593.25万元，较2021年收支预算总数减少16.25万元，主要是基本支出中在职教师减少3人（1人退休，1人辞职，1人调出）。</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Style w:val="8"/>
          <w:rFonts w:hint="default" w:ascii="Times New Roman" w:hAnsi="Times New Roman" w:eastAsia="楷体_GB2312" w:cs="Times New Roman"/>
          <w:b w:val="0"/>
          <w:bCs w:val="0"/>
          <w:sz w:val="32"/>
          <w:szCs w:val="32"/>
          <w:lang w:val="en-US" w:eastAsia="zh-CN"/>
        </w:rPr>
      </w:pPr>
      <w:r>
        <w:rPr>
          <w:rStyle w:val="8"/>
          <w:rFonts w:hint="default" w:ascii="Times New Roman" w:hAnsi="Times New Roman" w:eastAsia="楷体_GB2312" w:cs="Times New Roman"/>
          <w:b w:val="0"/>
          <w:bCs w:val="0"/>
          <w:sz w:val="32"/>
          <w:szCs w:val="32"/>
          <w:lang w:val="en-US" w:eastAsia="zh-CN"/>
        </w:rPr>
        <w:t>（一）收入预算情况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遂宁市船山区保升乡小学校2022年收入预算593.25万元，其中：上年结转0万元，占0%；一般公共预算拨款收入593.25万元，占100%。</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Style w:val="8"/>
          <w:rFonts w:hint="default" w:ascii="Times New Roman" w:hAnsi="Times New Roman" w:eastAsia="楷体_GB2312" w:cs="Times New Roman"/>
          <w:b w:val="0"/>
          <w:bCs w:val="0"/>
          <w:sz w:val="32"/>
          <w:szCs w:val="32"/>
          <w:lang w:val="en-US" w:eastAsia="zh-CN"/>
        </w:rPr>
      </w:pPr>
      <w:r>
        <w:rPr>
          <w:rStyle w:val="8"/>
          <w:rFonts w:hint="default" w:ascii="Times New Roman" w:hAnsi="Times New Roman" w:eastAsia="楷体_GB2312" w:cs="Times New Roman"/>
          <w:b w:val="0"/>
          <w:bCs w:val="0"/>
          <w:sz w:val="32"/>
          <w:szCs w:val="32"/>
          <w:lang w:val="en-US" w:eastAsia="zh-CN"/>
        </w:rPr>
        <w:t>（二）支出预算情况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遂宁市船山区保升乡小学校2022年支出预算593.25万元，其中：基本支出593.25万元，占100%。</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rPr>
        <w:t>、财政拨款收支预算情况说明</w:t>
      </w:r>
    </w:p>
    <w:p>
      <w:pPr>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遂宁市船山区保升乡小学校2022年收支总预算593.25万元，较2021年收支预算总数减少16.25万元，主要是基本支出中在职教师减少3人（1人退休，1人辞职，1人调出）。</w:t>
      </w:r>
    </w:p>
    <w:p>
      <w:pPr>
        <w:pageBreakBefore w:val="0"/>
        <w:kinsoku/>
        <w:wordWrap/>
        <w:overflowPunct/>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收入包括：本年一般公共预算拨款收入593.25万元、上年结转一般公共预算拨款收入0万元、；支出包括：一般公共服务支出0万元、教育支出413.2万元、社会保障和就业支出86.9万元、卫生健康支出39.52万元、住房保障支出53.62万元。</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、一般公共预算当年拨款情况说明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Style w:val="8"/>
          <w:rFonts w:hint="default" w:ascii="Times New Roman" w:hAnsi="Times New Roman" w:eastAsia="楷体_GB2312" w:cs="Times New Roman"/>
          <w:b w:val="0"/>
          <w:bCs w:val="0"/>
          <w:sz w:val="32"/>
          <w:szCs w:val="32"/>
          <w:lang w:val="en-US" w:eastAsia="zh-CN"/>
        </w:rPr>
      </w:pPr>
      <w:r>
        <w:rPr>
          <w:rStyle w:val="8"/>
          <w:rFonts w:hint="default" w:ascii="Times New Roman" w:hAnsi="Times New Roman" w:eastAsia="楷体_GB2312" w:cs="Times New Roman"/>
          <w:b w:val="0"/>
          <w:bCs w:val="0"/>
          <w:sz w:val="32"/>
          <w:szCs w:val="32"/>
          <w:lang w:val="en-US" w:eastAsia="zh-CN"/>
        </w:rPr>
        <w:t>（一）一般公共预算当年拨款规模变化情况</w:t>
      </w:r>
    </w:p>
    <w:p>
      <w:pPr>
        <w:pageBreakBefore w:val="0"/>
        <w:kinsoku/>
        <w:wordWrap/>
        <w:overflowPunct/>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遂宁市船山区保升乡小学校2022年收支总预算593.25万元，较2021年收支预算总数减少16.25万元，主要是基本支出中在职教师减少3人（1人退休，1人辞职，1人调出）。</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Style w:val="8"/>
          <w:rFonts w:hint="default" w:ascii="Times New Roman" w:hAnsi="Times New Roman" w:eastAsia="楷体_GB2312" w:cs="Times New Roman"/>
          <w:b w:val="0"/>
          <w:bCs w:val="0"/>
          <w:sz w:val="32"/>
          <w:szCs w:val="32"/>
          <w:lang w:val="en-US" w:eastAsia="zh-CN"/>
        </w:rPr>
      </w:pPr>
      <w:r>
        <w:rPr>
          <w:rStyle w:val="8"/>
          <w:rFonts w:hint="default" w:ascii="Times New Roman" w:hAnsi="Times New Roman" w:eastAsia="楷体_GB2312" w:cs="Times New Roman"/>
          <w:b w:val="0"/>
          <w:bCs w:val="0"/>
          <w:sz w:val="32"/>
          <w:szCs w:val="32"/>
          <w:lang w:val="en-US" w:eastAsia="zh-CN"/>
        </w:rPr>
        <w:t>（二）一般公共预算当年拨款结构情况</w:t>
      </w:r>
    </w:p>
    <w:p>
      <w:pPr>
        <w:pageBreakBefore w:val="0"/>
        <w:kinsoku/>
        <w:wordWrap/>
        <w:overflowPunct/>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一般公共服务支出0万元、教育支出413.2万元，占69%；社会保障和就业支出86.9万元，占15%；卫生健康支出39.52万元，占7%；住房保障支出53.62万元，占9%</w:t>
      </w:r>
    </w:p>
    <w:p>
      <w:pPr>
        <w:pStyle w:val="5"/>
        <w:pageBreakBefore w:val="0"/>
        <w:widowControl/>
        <w:kinsoku/>
        <w:wordWrap/>
        <w:overflowPunct/>
        <w:topLinePunct w:val="0"/>
        <w:autoSpaceDE/>
        <w:autoSpaceDN/>
        <w:bidi w:val="0"/>
        <w:adjustRightInd/>
        <w:spacing w:before="0" w:beforeAutospacing="0" w:after="0" w:afterAutospacing="0" w:line="560" w:lineRule="exact"/>
        <w:ind w:left="237" w:leftChars="74" w:firstLine="848" w:firstLineChars="265"/>
        <w:textAlignment w:val="auto"/>
        <w:rPr>
          <w:rStyle w:val="8"/>
          <w:rFonts w:hint="default" w:ascii="Times New Roman" w:hAnsi="Times New Roman" w:eastAsia="楷体_GB2312" w:cs="Times New Roman"/>
          <w:b w:val="0"/>
          <w:bCs w:val="0"/>
          <w:sz w:val="32"/>
          <w:szCs w:val="32"/>
          <w:lang w:val="en-US" w:eastAsia="zh-CN"/>
        </w:rPr>
      </w:pPr>
      <w:r>
        <w:rPr>
          <w:rStyle w:val="8"/>
          <w:rFonts w:hint="default" w:ascii="Times New Roman" w:hAnsi="Times New Roman" w:eastAsia="楷体_GB2312" w:cs="Times New Roman"/>
          <w:b w:val="0"/>
          <w:bCs w:val="0"/>
          <w:sz w:val="32"/>
          <w:szCs w:val="32"/>
          <w:lang w:val="en-US" w:eastAsia="zh-CN"/>
        </w:rPr>
        <w:t>（三）一般公共预算当年拨款具体使用情况</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1</w:t>
      </w:r>
      <w:r>
        <w:rPr>
          <w:rFonts w:hint="default" w:ascii="Times New Roman" w:hAnsi="Times New Roman" w:cs="Times New Roman"/>
          <w:b w:val="0"/>
          <w:bCs w:val="0"/>
          <w:kern w:val="0"/>
          <w:sz w:val="32"/>
          <w:szCs w:val="32"/>
          <w:lang w:val="en-US" w:eastAsia="zh-CN" w:bidi="ar-SA"/>
        </w:rPr>
        <w:t>.教育支出（类）普通教育（款）小学教育（项）</w:t>
      </w:r>
      <w:r>
        <w:rPr>
          <w:rFonts w:hint="default" w:ascii="Times New Roman" w:hAnsi="Times New Roman" w:eastAsia="仿宋_GB2312" w:cs="Times New Roman"/>
          <w:b w:val="0"/>
          <w:bCs w:val="0"/>
          <w:kern w:val="0"/>
          <w:sz w:val="32"/>
          <w:szCs w:val="32"/>
          <w:lang w:val="en-US" w:eastAsia="zh-CN" w:bidi="ar-SA"/>
        </w:rPr>
        <w:t>2022年预算数为413.2万元，主要用于：工资福利支出、商品和服务支出。</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 xml:space="preserve">2. </w:t>
      </w:r>
      <w:r>
        <w:rPr>
          <w:rFonts w:hint="default" w:ascii="Times New Roman" w:hAnsi="Times New Roman" w:cs="Times New Roman"/>
          <w:b w:val="0"/>
          <w:bCs w:val="0"/>
          <w:kern w:val="0"/>
          <w:sz w:val="32"/>
          <w:szCs w:val="32"/>
          <w:lang w:val="en-US" w:eastAsia="zh-CN" w:bidi="ar-SA"/>
        </w:rPr>
        <w:t>住房保障支出（类）住房改革支出（款）住房公积金（项）</w:t>
      </w:r>
      <w:r>
        <w:rPr>
          <w:rFonts w:hint="default" w:ascii="Times New Roman" w:hAnsi="Times New Roman" w:eastAsia="仿宋_GB2312" w:cs="Times New Roman"/>
          <w:b w:val="0"/>
          <w:bCs w:val="0"/>
          <w:kern w:val="0"/>
          <w:sz w:val="32"/>
          <w:szCs w:val="32"/>
          <w:lang w:val="en-US" w:eastAsia="zh-CN" w:bidi="ar-SA"/>
        </w:rPr>
        <w:t>2022年预算数为53.62万元。主要用于：住房公积金缴费。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 xml:space="preserve">3. </w:t>
      </w:r>
      <w:r>
        <w:rPr>
          <w:rFonts w:hint="default" w:ascii="Times New Roman" w:hAnsi="Times New Roman" w:cs="Times New Roman"/>
          <w:b w:val="0"/>
          <w:bCs w:val="0"/>
          <w:kern w:val="0"/>
          <w:sz w:val="32"/>
          <w:szCs w:val="32"/>
          <w:lang w:val="en-US" w:eastAsia="zh-CN" w:bidi="ar-SA"/>
        </w:rPr>
        <w:t>卫生健康支出（类）行政事业单位医疗（款）事业单位医疗（项）</w:t>
      </w:r>
      <w:r>
        <w:rPr>
          <w:rFonts w:hint="default" w:ascii="Times New Roman" w:hAnsi="Times New Roman" w:eastAsia="仿宋_GB2312" w:cs="Times New Roman"/>
          <w:b w:val="0"/>
          <w:bCs w:val="0"/>
          <w:kern w:val="0"/>
          <w:sz w:val="32"/>
          <w:szCs w:val="32"/>
          <w:lang w:val="en-US" w:eastAsia="zh-CN" w:bidi="ar-SA"/>
        </w:rPr>
        <w:t>2022年预算数为</w:t>
      </w:r>
      <w:r>
        <w:rPr>
          <w:rFonts w:hint="default" w:ascii="Times New Roman" w:hAnsi="Times New Roman" w:cs="Times New Roman"/>
          <w:b w:val="0"/>
          <w:bCs w:val="0"/>
          <w:kern w:val="0"/>
          <w:sz w:val="32"/>
          <w:szCs w:val="32"/>
          <w:lang w:val="en-US" w:eastAsia="zh-CN" w:bidi="ar-SA"/>
        </w:rPr>
        <w:t>32.56</w:t>
      </w:r>
      <w:r>
        <w:rPr>
          <w:rFonts w:hint="default" w:ascii="Times New Roman" w:hAnsi="Times New Roman" w:eastAsia="仿宋_GB2312" w:cs="Times New Roman"/>
          <w:b w:val="0"/>
          <w:bCs w:val="0"/>
          <w:kern w:val="0"/>
          <w:sz w:val="32"/>
          <w:szCs w:val="32"/>
          <w:lang w:val="en-US" w:eastAsia="zh-CN" w:bidi="ar-SA"/>
        </w:rPr>
        <w:t>万元。主要用于： 事业单位医疗。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4.</w:t>
      </w:r>
      <w:r>
        <w:rPr>
          <w:rFonts w:hint="default" w:ascii="Times New Roman" w:hAnsi="Times New Roman" w:cs="Times New Roman"/>
          <w:b w:val="0"/>
          <w:bCs w:val="0"/>
          <w:kern w:val="0"/>
          <w:sz w:val="32"/>
          <w:szCs w:val="32"/>
          <w:lang w:val="en-US" w:eastAsia="zh-CN" w:bidi="ar-SA"/>
        </w:rPr>
        <w:t>社会保障和就业支出（类）行政事业单位养老支出（款）机关事业单位职业年金缴费支出（项）</w:t>
      </w:r>
      <w:r>
        <w:rPr>
          <w:rFonts w:hint="default" w:ascii="Times New Roman" w:hAnsi="Times New Roman" w:eastAsia="仿宋_GB2312" w:cs="Times New Roman"/>
          <w:b w:val="0"/>
          <w:bCs w:val="0"/>
          <w:kern w:val="0"/>
          <w:sz w:val="32"/>
          <w:szCs w:val="32"/>
          <w:lang w:val="en-US" w:eastAsia="zh-CN" w:bidi="ar-SA"/>
        </w:rPr>
        <w:t>2022年预算数为</w:t>
      </w:r>
      <w:r>
        <w:rPr>
          <w:rFonts w:hint="default" w:ascii="Times New Roman" w:hAnsi="Times New Roman" w:cs="Times New Roman"/>
          <w:b w:val="0"/>
          <w:bCs w:val="0"/>
          <w:kern w:val="0"/>
          <w:sz w:val="32"/>
          <w:szCs w:val="32"/>
          <w:lang w:val="en-US" w:eastAsia="zh-CN" w:bidi="ar-SA"/>
        </w:rPr>
        <w:t>27.81</w:t>
      </w:r>
      <w:r>
        <w:rPr>
          <w:rFonts w:hint="default" w:ascii="Times New Roman" w:hAnsi="Times New Roman" w:eastAsia="仿宋_GB2312" w:cs="Times New Roman"/>
          <w:b w:val="0"/>
          <w:bCs w:val="0"/>
          <w:kern w:val="0"/>
          <w:sz w:val="32"/>
          <w:szCs w:val="32"/>
          <w:lang w:val="en-US" w:eastAsia="zh-CN" w:bidi="ar-SA"/>
        </w:rPr>
        <w:t>万元，主要用于： 机关事业单位职业年金缴费。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5.</w:t>
      </w:r>
      <w:r>
        <w:rPr>
          <w:rFonts w:hint="default" w:ascii="Times New Roman" w:hAnsi="Times New Roman" w:cs="Times New Roman"/>
          <w:b w:val="0"/>
          <w:bCs w:val="0"/>
          <w:kern w:val="0"/>
          <w:sz w:val="32"/>
          <w:szCs w:val="32"/>
          <w:lang w:val="en-US" w:eastAsia="zh-CN" w:bidi="ar-SA"/>
        </w:rPr>
        <w:t>社会保障和就业支出（类）其他社会保障和就业支出（款）其他社会保障和就业支出（项）</w:t>
      </w:r>
      <w:r>
        <w:rPr>
          <w:rFonts w:hint="default" w:ascii="Times New Roman" w:hAnsi="Times New Roman" w:eastAsia="仿宋_GB2312" w:cs="Times New Roman"/>
          <w:b w:val="0"/>
          <w:bCs w:val="0"/>
          <w:kern w:val="0"/>
          <w:sz w:val="32"/>
          <w:szCs w:val="32"/>
          <w:lang w:val="en-US" w:eastAsia="zh-CN" w:bidi="ar-SA"/>
        </w:rPr>
        <w:t>2022年预算数为3.48万元，主要用于：其他社会保障缴费。</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kern w:val="0"/>
          <w:sz w:val="32"/>
          <w:szCs w:val="32"/>
          <w:lang w:val="en-US" w:eastAsia="zh-CN" w:bidi="ar-SA"/>
        </w:rPr>
      </w:pPr>
      <w:r>
        <w:rPr>
          <w:rFonts w:hint="default" w:ascii="Times New Roman" w:hAnsi="Times New Roman" w:cs="Times New Roman"/>
          <w:b w:val="0"/>
          <w:bCs w:val="0"/>
          <w:kern w:val="0"/>
          <w:sz w:val="32"/>
          <w:szCs w:val="32"/>
          <w:lang w:val="en-US" w:eastAsia="zh-CN" w:bidi="ar-SA"/>
        </w:rPr>
        <w:t>6.卫生健康支出（类）行政事业单位医疗（款）公务员医疗补助（项）</w:t>
      </w:r>
      <w:r>
        <w:rPr>
          <w:rFonts w:hint="default" w:ascii="Times New Roman" w:hAnsi="Times New Roman" w:eastAsia="仿宋_GB2312" w:cs="Times New Roman"/>
          <w:b w:val="0"/>
          <w:bCs w:val="0"/>
          <w:kern w:val="0"/>
          <w:sz w:val="32"/>
          <w:szCs w:val="32"/>
          <w:lang w:val="en-US" w:eastAsia="zh-CN" w:bidi="ar-SA"/>
        </w:rPr>
        <w:t>2022年预算数为</w:t>
      </w:r>
      <w:r>
        <w:rPr>
          <w:rFonts w:hint="default" w:ascii="Times New Roman" w:hAnsi="Times New Roman" w:cs="Times New Roman"/>
          <w:b w:val="0"/>
          <w:bCs w:val="0"/>
          <w:kern w:val="0"/>
          <w:sz w:val="32"/>
          <w:szCs w:val="32"/>
          <w:lang w:val="en-US" w:eastAsia="zh-CN" w:bidi="ar-SA"/>
        </w:rPr>
        <w:t>6.96</w:t>
      </w:r>
      <w:r>
        <w:rPr>
          <w:rFonts w:hint="default" w:ascii="Times New Roman" w:hAnsi="Times New Roman" w:eastAsia="仿宋_GB2312" w:cs="Times New Roman"/>
          <w:b w:val="0"/>
          <w:bCs w:val="0"/>
          <w:kern w:val="0"/>
          <w:sz w:val="32"/>
          <w:szCs w:val="32"/>
          <w:lang w:val="en-US" w:eastAsia="zh-CN" w:bidi="ar-SA"/>
        </w:rPr>
        <w:t>万元。主要用于： </w:t>
      </w:r>
      <w:r>
        <w:rPr>
          <w:rFonts w:hint="default" w:ascii="Times New Roman" w:hAnsi="Times New Roman" w:cs="Times New Roman"/>
          <w:b w:val="0"/>
          <w:bCs w:val="0"/>
          <w:kern w:val="0"/>
          <w:sz w:val="32"/>
          <w:szCs w:val="32"/>
          <w:lang w:val="en-US" w:eastAsia="zh-CN" w:bidi="ar-SA"/>
        </w:rPr>
        <w:t>公务员医疗补助。</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b w:val="0"/>
          <w:bCs w:val="0"/>
          <w:kern w:val="0"/>
          <w:sz w:val="32"/>
          <w:szCs w:val="32"/>
          <w:lang w:val="en-US" w:eastAsia="zh-CN" w:bidi="ar-SA"/>
        </w:rPr>
      </w:pPr>
      <w:r>
        <w:rPr>
          <w:rFonts w:hint="default" w:ascii="Times New Roman" w:hAnsi="Times New Roman" w:cs="Times New Roman"/>
          <w:b w:val="0"/>
          <w:bCs w:val="0"/>
          <w:kern w:val="0"/>
          <w:sz w:val="32"/>
          <w:szCs w:val="32"/>
          <w:lang w:val="en-US" w:eastAsia="zh-CN" w:bidi="ar-SA"/>
        </w:rPr>
        <w:t>7.社会保障和就业支出（类）行政事业单位养老支出（款）机关事业单位基本养老保险缴费支出（项）</w:t>
      </w:r>
      <w:r>
        <w:rPr>
          <w:rFonts w:hint="default" w:ascii="Times New Roman" w:hAnsi="Times New Roman" w:eastAsia="仿宋_GB2312" w:cs="Times New Roman"/>
          <w:b w:val="0"/>
          <w:bCs w:val="0"/>
          <w:kern w:val="0"/>
          <w:sz w:val="32"/>
          <w:szCs w:val="32"/>
          <w:lang w:val="en-US" w:eastAsia="zh-CN" w:bidi="ar-SA"/>
        </w:rPr>
        <w:t>2022年预算数为</w:t>
      </w:r>
      <w:r>
        <w:rPr>
          <w:rFonts w:hint="default" w:ascii="Times New Roman" w:hAnsi="Times New Roman" w:cs="Times New Roman"/>
          <w:b w:val="0"/>
          <w:bCs w:val="0"/>
          <w:kern w:val="0"/>
          <w:sz w:val="32"/>
          <w:szCs w:val="32"/>
          <w:lang w:val="en-US" w:eastAsia="zh-CN" w:bidi="ar-SA"/>
        </w:rPr>
        <w:t>55.62</w:t>
      </w:r>
      <w:r>
        <w:rPr>
          <w:rFonts w:hint="default" w:ascii="Times New Roman" w:hAnsi="Times New Roman" w:eastAsia="仿宋_GB2312" w:cs="Times New Roman"/>
          <w:b w:val="0"/>
          <w:bCs w:val="0"/>
          <w:kern w:val="0"/>
          <w:sz w:val="32"/>
          <w:szCs w:val="32"/>
          <w:lang w:val="en-US" w:eastAsia="zh-CN" w:bidi="ar-SA"/>
        </w:rPr>
        <w:t>万元，主要用于：机关事业单位基本养老保险缴费</w:t>
      </w:r>
      <w:r>
        <w:rPr>
          <w:rFonts w:hint="default" w:ascii="Times New Roman" w:hAnsi="Times New Roman" w:cs="Times New Roman"/>
          <w:b w:val="0"/>
          <w:bCs w:val="0"/>
          <w:kern w:val="0"/>
          <w:sz w:val="32"/>
          <w:szCs w:val="32"/>
          <w:lang w:val="en-US" w:eastAsia="zh-CN" w:bidi="ar-SA"/>
        </w:rPr>
        <w:t>。</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rPr>
        <w:t>、一般公共预算基本支出情况说明</w:t>
      </w:r>
    </w:p>
    <w:p>
      <w:pPr>
        <w:pageBreakBefore w:val="0"/>
        <w:kinsoku/>
        <w:wordWrap/>
        <w:overflowPunct/>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cs="Times New Roman"/>
          <w:b w:val="0"/>
          <w:bCs w:val="0"/>
          <w:lang w:val="en-US" w:eastAsia="zh-CN"/>
        </w:rPr>
        <w:t>遂</w:t>
      </w:r>
      <w:r>
        <w:rPr>
          <w:rFonts w:hint="default" w:ascii="Times New Roman" w:hAnsi="Times New Roman" w:eastAsia="仿宋_GB2312" w:cs="Times New Roman"/>
          <w:b w:val="0"/>
          <w:bCs w:val="0"/>
          <w:color w:val="000000"/>
          <w:kern w:val="0"/>
          <w:sz w:val="32"/>
          <w:szCs w:val="32"/>
          <w:lang w:val="en-US" w:eastAsia="zh-CN" w:bidi="ar-SA"/>
        </w:rPr>
        <w:t>宁市船山区保升乡小学校2022年一般公共预算基本支出593.25万元，其中：</w:t>
      </w:r>
    </w:p>
    <w:p>
      <w:pPr>
        <w:pageBreakBefore w:val="0"/>
        <w:kinsoku/>
        <w:wordWrap/>
        <w:overflowPunct/>
        <w:topLinePunct w:val="0"/>
        <w:autoSpaceDE/>
        <w:autoSpaceDN/>
        <w:bidi w:val="0"/>
        <w:adjustRightInd/>
        <w:spacing w:line="560" w:lineRule="exact"/>
        <w:ind w:firstLine="960" w:firstLineChars="30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人员经费554.48万元，主要包括：基本工资、津贴补贴、绩效工资、机关事业单位基本养老保险缴费、基本医疗、公务员医疗补助、其他社会保障缴费、住房公积金、其他工资福利支出。公用经费31.73万元，主要包括：工会福利、福利费、其他商品和服务支出。对个人和家庭的补助7.04万元，主要包括：退休费、生活补助。</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lang w:val="en-US" w:eastAsia="zh-CN"/>
        </w:rPr>
        <w:t>七</w:t>
      </w:r>
      <w:r>
        <w:rPr>
          <w:rFonts w:hint="default" w:ascii="Times New Roman" w:hAnsi="Times New Roman" w:eastAsia="黑体" w:cs="Times New Roman"/>
          <w:b w:val="0"/>
          <w:bCs w:val="0"/>
          <w:sz w:val="32"/>
          <w:szCs w:val="32"/>
        </w:rPr>
        <w:t>、“三公”经费财政拨款预算安排情况说明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遂宁市船山区保升乡小学校2022年没有使用财政拨款安排“三公”经费预算。</w:t>
      </w:r>
    </w:p>
    <w:p>
      <w:pPr>
        <w:pStyle w:val="5"/>
        <w:pageBreakBefore w:val="0"/>
        <w:widowControl/>
        <w:kinsoku/>
        <w:wordWrap/>
        <w:overflowPunct/>
        <w:topLinePunct w:val="0"/>
        <w:autoSpaceDE/>
        <w:autoSpaceDN/>
        <w:bidi w:val="0"/>
        <w:adjustRightInd/>
        <w:spacing w:before="0" w:beforeAutospacing="0" w:after="0" w:afterAutospacing="0" w:line="560" w:lineRule="exact"/>
        <w:ind w:left="624" w:leftChars="195"/>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（一）因公出国（境）经费较上年预算与上年预算持平。（二）公务接待费较上年预算与上年预算持平</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（三）公务用车购置及运行维护费较上年预算与上年预算持平。</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单位现有公务用车0辆。</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2022年安排公务用车购置费0万元。</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color w:val="000000"/>
          <w:kern w:val="0"/>
          <w:sz w:val="32"/>
          <w:szCs w:val="32"/>
          <w:lang w:val="en-US" w:eastAsia="zh-CN" w:bidi="ar-SA"/>
        </w:rPr>
        <w:t>2022年安排公务用车运行维护费0万元。</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lang w:val="en-US" w:eastAsia="zh-CN"/>
        </w:rPr>
        <w:t>八</w:t>
      </w:r>
      <w:r>
        <w:rPr>
          <w:rFonts w:hint="default" w:ascii="Times New Roman" w:hAnsi="Times New Roman" w:eastAsia="黑体" w:cs="Times New Roman"/>
          <w:b w:val="0"/>
          <w:bCs w:val="0"/>
          <w:sz w:val="32"/>
          <w:szCs w:val="32"/>
        </w:rPr>
        <w:t>、“会议费”、“培训费”、“差旅费”财政拨款预算安排情况说明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遂宁市船山区保升乡小学校2022年“会议费”“培训费”“差旅费”财政拨款预算数0万元，其中：会议费0万元，培训费0万元，差旅费0万元</w:t>
      </w:r>
      <w:r>
        <w:rPr>
          <w:rFonts w:hint="default" w:ascii="Times New Roman" w:hAnsi="Times New Roman" w:eastAsia="仿宋_GB2312" w:cs="Times New Roman"/>
          <w:b w:val="0"/>
          <w:bCs w:val="0"/>
          <w:sz w:val="32"/>
          <w:szCs w:val="32"/>
        </w:rPr>
        <w:t>。</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楷体_GB2312" w:cs="Times New Roman"/>
          <w:b w:val="0"/>
          <w:bCs w:val="0"/>
          <w:sz w:val="32"/>
          <w:szCs w:val="32"/>
        </w:rPr>
        <w:t>（</w:t>
      </w:r>
      <w:r>
        <w:rPr>
          <w:rFonts w:hint="default" w:ascii="Times New Roman" w:hAnsi="Times New Roman" w:eastAsia="仿宋_GB2312" w:cs="Times New Roman"/>
          <w:b w:val="0"/>
          <w:bCs w:val="0"/>
          <w:color w:val="000000"/>
          <w:kern w:val="0"/>
          <w:sz w:val="32"/>
          <w:szCs w:val="32"/>
          <w:lang w:val="en-US" w:eastAsia="zh-CN" w:bidi="ar-SA"/>
        </w:rPr>
        <w:t>一）会议费较上年预算与上年预算持平。</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（二）培训费较上年预算与上年预算持平。</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（三）差旅费较上年预算与上年预算持平。</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lang w:val="en-US" w:eastAsia="zh-CN"/>
        </w:rPr>
        <w:t>九</w:t>
      </w:r>
      <w:r>
        <w:rPr>
          <w:rFonts w:hint="default" w:ascii="Times New Roman" w:hAnsi="Times New Roman" w:eastAsia="黑体" w:cs="Times New Roman"/>
          <w:b w:val="0"/>
          <w:bCs w:val="0"/>
          <w:sz w:val="32"/>
          <w:szCs w:val="32"/>
        </w:rPr>
        <w:t>、政府性基金预算支出情况说明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遂宁市船山区保升乡小学校2022年没有使用政府性基金预算拨款安排的支出。</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val="en-US" w:eastAsia="zh-CN"/>
        </w:rPr>
        <w:t>十</w:t>
      </w:r>
      <w:r>
        <w:rPr>
          <w:rFonts w:hint="default" w:ascii="Times New Roman" w:hAnsi="Times New Roman" w:eastAsia="黑体" w:cs="Times New Roman"/>
          <w:b w:val="0"/>
          <w:bCs w:val="0"/>
          <w:sz w:val="32"/>
          <w:szCs w:val="32"/>
        </w:rPr>
        <w:t>、国有资本经营预算支出情况说明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仿宋_GB2312" w:cs="Times New Roman"/>
          <w:b w:val="0"/>
          <w:bCs w:val="0"/>
          <w:color w:val="000000"/>
          <w:kern w:val="0"/>
          <w:sz w:val="32"/>
          <w:szCs w:val="32"/>
          <w:lang w:val="en-US" w:eastAsia="zh-CN" w:bidi="ar-SA"/>
        </w:rPr>
      </w:pPr>
      <w:r>
        <w:rPr>
          <w:rFonts w:hint="default" w:ascii="Times New Roman" w:hAnsi="Times New Roman" w:eastAsia="仿宋_GB2312" w:cs="Times New Roman"/>
          <w:b w:val="0"/>
          <w:bCs w:val="0"/>
          <w:color w:val="000000"/>
          <w:kern w:val="0"/>
          <w:sz w:val="32"/>
          <w:szCs w:val="32"/>
          <w:lang w:val="en-US" w:eastAsia="zh-CN" w:bidi="ar-SA"/>
        </w:rPr>
        <w:t>遂宁市船山区保升乡小学校2022年没有使用国有资本经营预算拨款安排的支出。</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、其他重要事项的情况说明</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（一）机关运行经费</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Fonts w:hint="default" w:ascii="Times New Roman" w:hAnsi="Times New Roman" w:eastAsia="仿宋_GB2312" w:cs="Times New Roman"/>
          <w:b w:val="0"/>
          <w:bCs w:val="0"/>
          <w:sz w:val="32"/>
          <w:szCs w:val="32"/>
        </w:rPr>
        <w:t>本单位为事业单位，按规定未使用机关运行的相关科目。</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（二）政府采购情况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仿宋_GB2312" w:cs="Times New Roman"/>
          <w:b w:val="0"/>
          <w:bCs w:val="0"/>
          <w:sz w:val="32"/>
          <w:szCs w:val="32"/>
          <w:lang w:eastAsia="zh-CN"/>
        </w:rPr>
        <w:t>遂宁市船山区保升乡小学校</w:t>
      </w:r>
      <w:r>
        <w:rPr>
          <w:rStyle w:val="8"/>
          <w:rFonts w:hint="default" w:ascii="Times New Roman" w:hAnsi="Times New Roman" w:eastAsia="仿宋_GB2312" w:cs="Times New Roman"/>
          <w:b w:val="0"/>
          <w:bCs w:val="0"/>
          <w:sz w:val="32"/>
          <w:szCs w:val="32"/>
        </w:rPr>
        <w:t>2022</w:t>
      </w:r>
      <w:r>
        <w:rPr>
          <w:rFonts w:hint="default" w:ascii="Times New Roman" w:hAnsi="Times New Roman" w:eastAsia="仿宋_GB2312" w:cs="Times New Roman"/>
          <w:b w:val="0"/>
          <w:bCs w:val="0"/>
          <w:sz w:val="32"/>
          <w:szCs w:val="32"/>
        </w:rPr>
        <w:t>年无政府采购项目，未安排政府采购预算。</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rPr>
      </w:pPr>
      <w:r>
        <w:rPr>
          <w:rStyle w:val="8"/>
          <w:rFonts w:hint="default" w:ascii="Times New Roman" w:hAnsi="Times New Roman" w:eastAsia="楷体_GB2312" w:cs="Times New Roman"/>
          <w:b w:val="0"/>
          <w:bCs w:val="0"/>
          <w:sz w:val="32"/>
          <w:szCs w:val="32"/>
        </w:rPr>
        <w:t>（三）国有资产占有使用情况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sz w:val="32"/>
          <w:szCs w:val="32"/>
          <w:lang w:eastAsia="zh-CN"/>
        </w:rPr>
      </w:pPr>
      <w:r>
        <w:rPr>
          <w:rStyle w:val="8"/>
          <w:rFonts w:hint="default" w:ascii="Times New Roman" w:hAnsi="Times New Roman" w:eastAsia="仿宋_GB2312" w:cs="Times New Roman"/>
          <w:b w:val="0"/>
          <w:bCs w:val="0"/>
          <w:sz w:val="32"/>
          <w:szCs w:val="32"/>
          <w:lang w:eastAsia="zh-CN"/>
        </w:rPr>
        <w:t>截至上年底，遂宁市船山区保升乡小学校共有车辆0辆，其中，地厅级领导干部用车0辆、定向保障用车0辆、执法执勤用车0辆。单位价值200万元以上大型设备0台（套）。</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sz w:val="32"/>
          <w:szCs w:val="32"/>
          <w:lang w:eastAsia="zh-CN"/>
        </w:rPr>
      </w:pPr>
      <w:r>
        <w:rPr>
          <w:rStyle w:val="8"/>
          <w:rFonts w:hint="default" w:ascii="Times New Roman" w:hAnsi="Times New Roman" w:eastAsia="仿宋_GB2312" w:cs="Times New Roman"/>
          <w:b w:val="0"/>
          <w:bCs w:val="0"/>
          <w:sz w:val="32"/>
          <w:szCs w:val="32"/>
          <w:lang w:eastAsia="zh-CN"/>
        </w:rPr>
        <w:t>2022年单位预算未安排购置车辆及单位价值200万元以上大型设备。</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Style w:val="8"/>
          <w:rFonts w:hint="default" w:ascii="Times New Roman" w:hAnsi="Times New Roman" w:eastAsia="楷体_GB2312" w:cs="Times New Roman"/>
          <w:b w:val="0"/>
          <w:bCs w:val="0"/>
          <w:sz w:val="32"/>
          <w:szCs w:val="32"/>
        </w:rPr>
        <w:t>（四）绩效目标设置情况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sz w:val="32"/>
          <w:szCs w:val="32"/>
          <w:lang w:eastAsia="zh-CN"/>
        </w:rPr>
      </w:pPr>
      <w:r>
        <w:rPr>
          <w:rStyle w:val="8"/>
          <w:rFonts w:hint="default" w:ascii="Times New Roman" w:hAnsi="Times New Roman" w:eastAsia="仿宋_GB2312" w:cs="Times New Roman"/>
          <w:b w:val="0"/>
          <w:bCs w:val="0"/>
          <w:sz w:val="32"/>
          <w:szCs w:val="32"/>
          <w:lang w:eastAsia="zh-CN"/>
        </w:rPr>
        <w:t>绩效目标是预算编制的前提和基础，按照“费随事定”的原则，2022年本全部项目按要求编制了绩效目标，从项目完成、项目效益、满意度等方面设置了绩效指标，综合反映项目预期完成的数量、成本、时效、质量，预期达到的社会效益、经济效益、生态效益、可持续影响以及服务对象满意度等情况。</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Fonts w:hint="default" w:ascii="Times New Roman" w:hAnsi="Times New Roman" w:eastAsia="sans-serif" w:cs="Times New Roman"/>
          <w:b w:val="0"/>
          <w:bCs w:val="0"/>
          <w:sz w:val="32"/>
          <w:szCs w:val="32"/>
        </w:rPr>
      </w:pPr>
      <w:r>
        <w:rPr>
          <w:rFonts w:hint="default" w:ascii="Times New Roman" w:hAnsi="Times New Roman" w:eastAsia="黑体" w:cs="Times New Roman"/>
          <w:b w:val="0"/>
          <w:bCs w:val="0"/>
          <w:sz w:val="32"/>
          <w:szCs w:val="32"/>
        </w:rPr>
        <w:t>十</w:t>
      </w:r>
      <w:r>
        <w:rPr>
          <w:rFonts w:hint="default" w:ascii="Times New Roman" w:hAnsi="Times New Roman" w:eastAsia="黑体" w:cs="Times New Roman"/>
          <w:b w:val="0"/>
          <w:bCs w:val="0"/>
          <w:sz w:val="32"/>
          <w:szCs w:val="32"/>
          <w:lang w:val="en-US" w:eastAsia="zh-CN"/>
        </w:rPr>
        <w:t>二</w:t>
      </w:r>
      <w:r>
        <w:rPr>
          <w:rFonts w:hint="default" w:ascii="Times New Roman" w:hAnsi="Times New Roman" w:eastAsia="黑体" w:cs="Times New Roman"/>
          <w:b w:val="0"/>
          <w:bCs w:val="0"/>
          <w:sz w:val="32"/>
          <w:szCs w:val="32"/>
        </w:rPr>
        <w:t>、名词解释</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1.部门预算：指政府部门依据国家有关法律、法规、政策及其履行职能需要，编制的反应政府各部门所有收入和支出情况的年度财政收入预算。部门预算由本部门及其所属各单位预算组成，由基层预算单位开始编制，逐级上报、审核、汇总，经财政部门审核，提交立法机构依法批准后执行。</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2.一般公共预算拨款收入：指市本级财政当年拨付的资金。</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3.其他收入：指除财政拨款收入、事业收入、经营收入以外的收入。</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4. 上年结转：指以前年度尚未完成，结转到本年仍按原规定用途继续使用的资金。</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5.基本支出：指为保证机构正常运转，完成日常工作任务而发生的人员支出和公用支出。</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6.项目支出：指在基本支出之外为完成特定行政任务和事业发展目标所发生的支出。</w:t>
      </w:r>
    </w:p>
    <w:p>
      <w:pPr>
        <w:pStyle w:val="5"/>
        <w:pageBreakBefore w:val="0"/>
        <w:widowControl/>
        <w:kinsoku/>
        <w:wordWrap/>
        <w:overflowPunct/>
        <w:topLinePunct w:val="0"/>
        <w:autoSpaceDE/>
        <w:autoSpaceDN/>
        <w:bidi w:val="0"/>
        <w:adjustRightInd/>
        <w:spacing w:before="0" w:beforeAutospacing="0" w:after="0" w:afterAutospacing="0" w:line="560" w:lineRule="exact"/>
        <w:ind w:firstLine="63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7.“三公”经费：纳入单位预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部门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8.商品服务支出：反映单位购买商品和服务的支出（不包括用于购置固定资产的支出、战略性和应急储备支出）。</w:t>
      </w:r>
    </w:p>
    <w:p>
      <w:pPr>
        <w:pageBreakBefore w:val="0"/>
        <w:kinsoku/>
        <w:wordWrap/>
        <w:overflowPunct/>
        <w:topLinePunct w:val="0"/>
        <w:autoSpaceDE/>
        <w:autoSpaceDN/>
        <w:bidi w:val="0"/>
        <w:adjustRightInd/>
        <w:spacing w:line="560" w:lineRule="exact"/>
        <w:ind w:firstLine="640" w:firstLineChars="200"/>
        <w:textAlignment w:val="auto"/>
        <w:rPr>
          <w:rStyle w:val="8"/>
          <w:rFonts w:hint="default" w:ascii="Times New Roman" w:hAnsi="Times New Roman" w:eastAsia="仿宋_GB2312" w:cs="Times New Roman"/>
          <w:b w:val="0"/>
          <w:bCs w:val="0"/>
          <w:kern w:val="0"/>
          <w:sz w:val="32"/>
          <w:szCs w:val="32"/>
          <w:lang w:val="en-US" w:eastAsia="zh-CN" w:bidi="ar-SA"/>
        </w:rPr>
      </w:pPr>
      <w:r>
        <w:rPr>
          <w:rStyle w:val="8"/>
          <w:rFonts w:hint="default" w:ascii="Times New Roman" w:hAnsi="Times New Roman" w:eastAsia="仿宋_GB2312" w:cs="Times New Roman"/>
          <w:b w:val="0"/>
          <w:bCs w:val="0"/>
          <w:kern w:val="0"/>
          <w:sz w:val="32"/>
          <w:szCs w:val="32"/>
          <w:lang w:val="en-US" w:eastAsia="zh-CN" w:bidi="ar-SA"/>
        </w:rPr>
        <w:t>9</w:t>
      </w:r>
      <w:r>
        <w:rPr>
          <w:rStyle w:val="8"/>
          <w:rFonts w:hint="eastAsia" w:ascii="Times New Roman" w:hAnsi="Times New Roman" w:cs="Times New Roman"/>
          <w:b w:val="0"/>
          <w:bCs w:val="0"/>
          <w:kern w:val="0"/>
          <w:sz w:val="32"/>
          <w:szCs w:val="32"/>
          <w:lang w:val="en-US" w:eastAsia="zh-CN" w:bidi="ar-SA"/>
        </w:rPr>
        <w:t>.</w:t>
      </w:r>
      <w:bookmarkStart w:id="0" w:name="_GoBack"/>
      <w:bookmarkEnd w:id="0"/>
      <w:r>
        <w:rPr>
          <w:rStyle w:val="8"/>
          <w:rFonts w:hint="default" w:ascii="Times New Roman" w:hAnsi="Times New Roman" w:eastAsia="仿宋_GB2312" w:cs="Times New Roman"/>
          <w:b w:val="0"/>
          <w:bCs w:val="0"/>
          <w:kern w:val="0"/>
          <w:sz w:val="32"/>
          <w:szCs w:val="32"/>
          <w:lang w:val="en-US" w:eastAsia="zh-CN" w:bidi="ar-SA"/>
        </w:rPr>
        <w:t>工资福利支出：反映单位开支的在职职工和编制外长期聘用人员的各类劳动报酬，以及为上述人员缴纳的各项社会保险等。</w:t>
      </w:r>
    </w:p>
    <w:p>
      <w:pPr>
        <w:pageBreakBefore w:val="0"/>
        <w:kinsoku/>
        <w:wordWrap/>
        <w:overflowPunct/>
        <w:topLinePunct w:val="0"/>
        <w:autoSpaceDE/>
        <w:autoSpaceDN/>
        <w:bidi w:val="0"/>
        <w:adjustRightInd/>
        <w:spacing w:line="560" w:lineRule="exact"/>
        <w:textAlignment w:val="auto"/>
        <w:rPr>
          <w:rStyle w:val="8"/>
          <w:rFonts w:hint="default" w:ascii="Times New Roman" w:hAnsi="Times New Roman" w:eastAsia="仿宋_GB2312" w:cs="Times New Roman"/>
          <w:b w:val="0"/>
          <w:bCs w:val="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ans-serif">
    <w:altName w:val="Courier New"/>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A5NWMyYTEyZDVkYjZhMTRhNTBhNmIxMGZkMGU2MWEifQ=="/>
  </w:docVars>
  <w:rsids>
    <w:rsidRoot w:val="00B66465"/>
    <w:rsid w:val="00280E7C"/>
    <w:rsid w:val="00801BA2"/>
    <w:rsid w:val="00A9005F"/>
    <w:rsid w:val="00B66465"/>
    <w:rsid w:val="00D348C2"/>
    <w:rsid w:val="00EB0143"/>
    <w:rsid w:val="1E916A72"/>
    <w:rsid w:val="296724A7"/>
    <w:rsid w:val="376C6CFE"/>
    <w:rsid w:val="42465C5C"/>
    <w:rsid w:val="50696AEB"/>
    <w:rsid w:val="575A7F01"/>
    <w:rsid w:val="665E3A2F"/>
    <w:rsid w:val="74F15F7C"/>
    <w:rsid w:val="7C8D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2"/>
    <w:basedOn w:val="1"/>
    <w:next w:val="1"/>
    <w:unhideWhenUsed/>
    <w:uiPriority w:val="99"/>
    <w:rPr>
      <w:rFonts w:hint="default"/>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unhideWhenUsed/>
    <w:qFormat/>
    <w:uiPriority w:val="0"/>
    <w:pPr>
      <w:spacing w:line="560" w:lineRule="exact"/>
      <w:ind w:firstLine="640" w:firstLineChars="200"/>
    </w:pPr>
    <w:rPr>
      <w:rFonts w:hint="eastAsia" w:ascii="Times New Roman" w:hAnsi="Times New Roman" w:eastAsia="Times New Roman"/>
      <w:sz w:val="32"/>
      <w:szCs w:val="24"/>
    </w:rPr>
  </w:style>
  <w:style w:type="paragraph" w:styleId="4">
    <w:name w:val="Body Text"/>
    <w:basedOn w:val="1"/>
    <w:link w:val="9"/>
    <w:qFormat/>
    <w:uiPriority w:val="0"/>
    <w:pPr>
      <w:suppressAutoHyphens/>
      <w:spacing w:after="140" w:line="276" w:lineRule="auto"/>
    </w:pPr>
    <w:rPr>
      <w:rFonts w:ascii="Calibri" w:hAnsi="Calibri" w:eastAsia="宋体"/>
      <w:sz w:val="21"/>
    </w:rPr>
  </w:style>
  <w:style w:type="paragraph" w:styleId="5">
    <w:name w:val="Normal (Web)"/>
    <w:basedOn w:val="1"/>
    <w:qFormat/>
    <w:uiPriority w:val="0"/>
    <w:pPr>
      <w:suppressAutoHyphens/>
      <w:spacing w:before="100" w:beforeAutospacing="1" w:after="100" w:afterAutospacing="1"/>
      <w:jc w:val="left"/>
    </w:pPr>
    <w:rPr>
      <w:rFonts w:ascii="Calibri" w:hAnsi="Calibri" w:eastAsia="宋体"/>
      <w:kern w:val="0"/>
      <w:sz w:val="24"/>
    </w:rPr>
  </w:style>
  <w:style w:type="character" w:styleId="8">
    <w:name w:val="Strong"/>
    <w:qFormat/>
    <w:uiPriority w:val="0"/>
    <w:rPr>
      <w:b/>
    </w:rPr>
  </w:style>
  <w:style w:type="character" w:customStyle="1" w:styleId="9">
    <w:name w:val="正文文本 Char"/>
    <w:basedOn w:val="7"/>
    <w:link w:val="4"/>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3534</Words>
  <Characters>3803</Characters>
  <Lines>28</Lines>
  <Paragraphs>8</Paragraphs>
  <TotalTime>10</TotalTime>
  <ScaleCrop>false</ScaleCrop>
  <LinksUpToDate>false</LinksUpToDate>
  <CharactersWithSpaces>3860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2022-06-05T07:03:00Z</dcterms:created>
  <dc:creator>lw</dc:creator>
  <cp:lastModifiedBy>x</cp:lastModifiedBy>
  <dcterms:modified xsi:type="dcterms:W3CDTF">2023-09-25T07:31:22Z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3DCCBDB981624EF98EB47A8A2989515D</vt:lpwstr>
  </property>
</Properties>
</file>