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75" w:beforeAutospacing="0" w:after="75" w:afterAutospacing="0"/>
        <w:jc w:val="center"/>
        <w:rPr>
          <w:rStyle w:val="9"/>
          <w:rFonts w:hint="eastAsia" w:ascii="黑体" w:hAnsi="黑体" w:eastAsia="黑体" w:cs="方正小标宋简体"/>
          <w:sz w:val="52"/>
          <w:szCs w:val="52"/>
          <w:highlight w:val="none"/>
        </w:rPr>
      </w:pPr>
    </w:p>
    <w:p>
      <w:pPr>
        <w:pStyle w:val="6"/>
        <w:widowControl/>
        <w:spacing w:before="75" w:beforeAutospacing="0" w:after="75" w:afterAutospacing="0"/>
        <w:jc w:val="center"/>
        <w:rPr>
          <w:rStyle w:val="9"/>
          <w:rFonts w:hint="eastAsia" w:ascii="黑体" w:hAnsi="黑体" w:eastAsia="黑体" w:cs="方正小标宋简体"/>
          <w:sz w:val="52"/>
          <w:szCs w:val="52"/>
          <w:highlight w:val="none"/>
        </w:rPr>
      </w:pPr>
    </w:p>
    <w:p>
      <w:pPr>
        <w:pStyle w:val="6"/>
        <w:widowControl/>
        <w:spacing w:before="75" w:beforeAutospacing="0" w:after="75" w:afterAutospacing="0"/>
        <w:jc w:val="center"/>
        <w:rPr>
          <w:rStyle w:val="9"/>
          <w:rFonts w:hint="eastAsia" w:ascii="黑体" w:hAnsi="黑体" w:eastAsia="黑体" w:cs="方正小标宋简体"/>
          <w:sz w:val="52"/>
          <w:szCs w:val="52"/>
          <w:highlight w:val="none"/>
        </w:rPr>
      </w:pPr>
    </w:p>
    <w:p>
      <w:pPr>
        <w:pStyle w:val="6"/>
        <w:widowControl/>
        <w:spacing w:before="75" w:beforeAutospacing="0" w:after="75" w:afterAutospacing="0"/>
        <w:jc w:val="center"/>
        <w:rPr>
          <w:rStyle w:val="9"/>
          <w:rFonts w:hint="eastAsia" w:ascii="黑体" w:hAnsi="黑体" w:eastAsia="黑体" w:cs="方正小标宋简体"/>
          <w:sz w:val="52"/>
          <w:szCs w:val="52"/>
          <w:highlight w:val="none"/>
        </w:rPr>
      </w:pPr>
    </w:p>
    <w:p>
      <w:pPr>
        <w:pStyle w:val="6"/>
        <w:widowControl/>
        <w:spacing w:before="75" w:beforeAutospacing="0" w:after="75" w:afterAutospacing="0"/>
        <w:jc w:val="center"/>
        <w:rPr>
          <w:rFonts w:hint="default" w:ascii="Times New Roman" w:hAnsi="Times New Roman" w:eastAsia="黑体" w:cs="Times New Roman"/>
          <w:b/>
          <w:sz w:val="52"/>
          <w:szCs w:val="52"/>
          <w:highlight w:val="none"/>
        </w:rPr>
      </w:pPr>
      <w:r>
        <w:rPr>
          <w:rStyle w:val="9"/>
          <w:rFonts w:hint="default" w:ascii="Times New Roman" w:hAnsi="Times New Roman" w:eastAsia="方正小标宋简体" w:cs="Times New Roman"/>
          <w:b w:val="0"/>
          <w:bCs/>
          <w:sz w:val="52"/>
          <w:szCs w:val="52"/>
          <w:highlight w:val="none"/>
        </w:rPr>
        <w:t>遂宁市船山区</w:t>
      </w:r>
      <w:r>
        <w:rPr>
          <w:rStyle w:val="9"/>
          <w:rFonts w:hint="default" w:ascii="Times New Roman" w:hAnsi="Times New Roman" w:eastAsia="方正小标宋简体" w:cs="Times New Roman"/>
          <w:b w:val="0"/>
          <w:bCs/>
          <w:sz w:val="52"/>
          <w:szCs w:val="52"/>
          <w:highlight w:val="none"/>
          <w:lang w:val="en-US" w:eastAsia="zh-CN"/>
        </w:rPr>
        <w:t>保升乡初级中学校</w:t>
      </w:r>
      <w:r>
        <w:rPr>
          <w:rStyle w:val="9"/>
          <w:rFonts w:hint="default" w:ascii="Times New Roman" w:hAnsi="Times New Roman" w:eastAsia="方正小标宋简体" w:cs="Times New Roman"/>
          <w:b w:val="0"/>
          <w:bCs/>
          <w:sz w:val="52"/>
          <w:szCs w:val="52"/>
          <w:highlight w:val="none"/>
        </w:rPr>
        <w:t>2022</w:t>
      </w:r>
      <w:r>
        <w:rPr>
          <w:rFonts w:hint="default" w:ascii="Times New Roman" w:hAnsi="Times New Roman" w:eastAsia="方正小标宋简体" w:cs="Times New Roman"/>
          <w:b w:val="0"/>
          <w:bCs/>
          <w:sz w:val="52"/>
          <w:szCs w:val="52"/>
          <w:highlight w:val="none"/>
        </w:rPr>
        <w:t>年单位预算</w:t>
      </w:r>
    </w:p>
    <w:p>
      <w:pPr>
        <w:pStyle w:val="6"/>
        <w:widowControl/>
        <w:spacing w:before="75" w:beforeAutospacing="0" w:after="75" w:afterAutospacing="0"/>
        <w:jc w:val="center"/>
        <w:rPr>
          <w:rFonts w:hint="default" w:ascii="Times New Roman" w:hAnsi="Times New Roman" w:eastAsia="sans-serif" w:cs="Times New Roman"/>
          <w:color w:val="000000"/>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widowControl/>
        <w:spacing w:before="75" w:beforeAutospacing="0" w:after="75" w:afterAutospacing="0" w:line="600" w:lineRule="atLeast"/>
        <w:jc w:val="center"/>
        <w:rPr>
          <w:rFonts w:hint="default" w:ascii="Times New Roman" w:hAnsi="Times New Roman" w:eastAsia="黑体" w:cs="Times New Roman"/>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sans-serif" w:cs="Times New Roman"/>
          <w:b w:val="0"/>
          <w:bCs w:val="0"/>
          <w:color w:val="000000"/>
          <w:highlight w:val="none"/>
        </w:rPr>
      </w:pPr>
      <w:bookmarkStart w:id="0" w:name="_GoBack"/>
      <w:r>
        <w:rPr>
          <w:rFonts w:hint="default" w:ascii="Times New Roman" w:hAnsi="Times New Roman" w:eastAsia="黑体" w:cs="Times New Roman"/>
          <w:b w:val="0"/>
          <w:bCs w:val="0"/>
          <w:color w:val="000000"/>
          <w:sz w:val="32"/>
          <w:szCs w:val="32"/>
          <w:highlight w:val="none"/>
        </w:rPr>
        <w:t>目 录</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黑体" w:cs="Times New Roman"/>
          <w:b w:val="0"/>
          <w:bCs w:val="0"/>
          <w:color w:val="000000"/>
          <w:sz w:val="32"/>
          <w:szCs w:val="32"/>
          <w:highlight w:val="none"/>
        </w:rPr>
        <w:t>第一部分 单位预算编制说明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一、</w:t>
      </w:r>
      <w:r>
        <w:rPr>
          <w:rFonts w:hint="default" w:ascii="Times New Roman" w:hAnsi="Times New Roman" w:eastAsia="仿宋_GB2312" w:cs="Times New Roman"/>
          <w:b w:val="0"/>
          <w:bCs w:val="0"/>
          <w:color w:val="000000"/>
          <w:sz w:val="32"/>
          <w:szCs w:val="32"/>
          <w:highlight w:val="none"/>
          <w:lang w:val="en-US" w:eastAsia="zh-CN"/>
        </w:rPr>
        <w:t>部门</w:t>
      </w:r>
      <w:r>
        <w:rPr>
          <w:rFonts w:hint="default" w:ascii="Times New Roman" w:hAnsi="Times New Roman" w:eastAsia="仿宋_GB2312" w:cs="Times New Roman"/>
          <w:b w:val="0"/>
          <w:bCs w:val="0"/>
          <w:color w:val="000000"/>
          <w:sz w:val="32"/>
          <w:szCs w:val="32"/>
          <w:highlight w:val="none"/>
        </w:rPr>
        <w:t>基本职能</w:t>
      </w:r>
      <w:r>
        <w:rPr>
          <w:rFonts w:hint="default" w:ascii="Times New Roman" w:hAnsi="Times New Roman" w:eastAsia="仿宋_GB2312" w:cs="Times New Roman"/>
          <w:b w:val="0"/>
          <w:bCs w:val="0"/>
          <w:color w:val="000000"/>
          <w:sz w:val="32"/>
          <w:szCs w:val="32"/>
          <w:highlight w:val="none"/>
          <w:lang w:val="en-US" w:eastAsia="zh-CN"/>
        </w:rPr>
        <w:t>职责</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二、机构设置</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rPr>
        <w:t>、收支预算情况说明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四</w:t>
      </w:r>
      <w:r>
        <w:rPr>
          <w:rFonts w:hint="default" w:ascii="Times New Roman" w:hAnsi="Times New Roman" w:eastAsia="仿宋_GB2312" w:cs="Times New Roman"/>
          <w:b w:val="0"/>
          <w:bCs w:val="0"/>
          <w:color w:val="000000"/>
          <w:sz w:val="32"/>
          <w:szCs w:val="32"/>
          <w:highlight w:val="none"/>
        </w:rPr>
        <w:t>、财政拨款收支预算情况说明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五</w:t>
      </w:r>
      <w:r>
        <w:rPr>
          <w:rFonts w:hint="default" w:ascii="Times New Roman" w:hAnsi="Times New Roman" w:eastAsia="仿宋_GB2312" w:cs="Times New Roman"/>
          <w:b w:val="0"/>
          <w:bCs w:val="0"/>
          <w:color w:val="000000"/>
          <w:sz w:val="32"/>
          <w:szCs w:val="32"/>
          <w:highlight w:val="none"/>
        </w:rPr>
        <w:t>、一般公共预算当年拨款情况说明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六</w:t>
      </w:r>
      <w:r>
        <w:rPr>
          <w:rFonts w:hint="default" w:ascii="Times New Roman" w:hAnsi="Times New Roman" w:eastAsia="仿宋_GB2312" w:cs="Times New Roman"/>
          <w:b w:val="0"/>
          <w:bCs w:val="0"/>
          <w:color w:val="000000"/>
          <w:sz w:val="32"/>
          <w:szCs w:val="32"/>
          <w:highlight w:val="none"/>
        </w:rPr>
        <w:t>、一般公共预算基本支出情况说明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七</w:t>
      </w:r>
      <w:r>
        <w:rPr>
          <w:rFonts w:hint="default" w:ascii="Times New Roman" w:hAnsi="Times New Roman" w:eastAsia="仿宋_GB2312" w:cs="Times New Roman"/>
          <w:b w:val="0"/>
          <w:bCs w:val="0"/>
          <w:color w:val="000000"/>
          <w:sz w:val="32"/>
          <w:szCs w:val="32"/>
          <w:highlight w:val="none"/>
        </w:rPr>
        <w:t>、“三公”经费财政拨款预算安排情况说明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left="1280" w:leftChars="200" w:hanging="640" w:hangingChars="20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八</w:t>
      </w:r>
      <w:r>
        <w:rPr>
          <w:rFonts w:hint="default" w:ascii="Times New Roman" w:hAnsi="Times New Roman" w:eastAsia="仿宋_GB2312" w:cs="Times New Roman"/>
          <w:b w:val="0"/>
          <w:bCs w:val="0"/>
          <w:color w:val="000000"/>
          <w:sz w:val="32"/>
          <w:szCs w:val="32"/>
          <w:highlight w:val="none"/>
        </w:rPr>
        <w:t>、“会议费”“培训费”“差旅费”财政拨款预算安排情况说明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九</w:t>
      </w:r>
      <w:r>
        <w:rPr>
          <w:rFonts w:hint="default" w:ascii="Times New Roman" w:hAnsi="Times New Roman" w:eastAsia="仿宋_GB2312" w:cs="Times New Roman"/>
          <w:b w:val="0"/>
          <w:bCs w:val="0"/>
          <w:color w:val="000000"/>
          <w:sz w:val="32"/>
          <w:szCs w:val="32"/>
          <w:highlight w:val="none"/>
        </w:rPr>
        <w:t>、政府性基金预算支出情况说明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十</w:t>
      </w:r>
      <w:r>
        <w:rPr>
          <w:rFonts w:hint="default" w:ascii="Times New Roman" w:hAnsi="Times New Roman" w:eastAsia="仿宋_GB2312" w:cs="Times New Roman"/>
          <w:b w:val="0"/>
          <w:bCs w:val="0"/>
          <w:color w:val="000000"/>
          <w:sz w:val="32"/>
          <w:szCs w:val="32"/>
          <w:highlight w:val="none"/>
        </w:rPr>
        <w:t>、国有资本经营预算支出情况说明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lang w:val="en-US" w:eastAsia="zh-CN"/>
        </w:rPr>
        <w:t>十一</w:t>
      </w:r>
      <w:r>
        <w:rPr>
          <w:rFonts w:hint="default" w:ascii="Times New Roman" w:hAnsi="Times New Roman" w:eastAsia="仿宋_GB2312" w:cs="Times New Roman"/>
          <w:b w:val="0"/>
          <w:bCs w:val="0"/>
          <w:color w:val="000000"/>
          <w:sz w:val="32"/>
          <w:szCs w:val="32"/>
          <w:highlight w:val="none"/>
        </w:rPr>
        <w:t>、其他重要事项的情况说明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十</w:t>
      </w:r>
      <w:r>
        <w:rPr>
          <w:rFonts w:hint="default" w:ascii="Times New Roman" w:hAnsi="Times New Roman" w:eastAsia="仿宋_GB2312" w:cs="Times New Roman"/>
          <w:b w:val="0"/>
          <w:bCs w:val="0"/>
          <w:color w:val="000000"/>
          <w:sz w:val="32"/>
          <w:szCs w:val="32"/>
          <w:highlight w:val="none"/>
          <w:lang w:val="en-US" w:eastAsia="zh-CN"/>
        </w:rPr>
        <w:t>二</w:t>
      </w:r>
      <w:r>
        <w:rPr>
          <w:rFonts w:hint="default" w:ascii="Times New Roman" w:hAnsi="Times New Roman" w:eastAsia="仿宋_GB2312" w:cs="Times New Roman"/>
          <w:b w:val="0"/>
          <w:bCs w:val="0"/>
          <w:color w:val="000000"/>
          <w:sz w:val="32"/>
          <w:szCs w:val="32"/>
          <w:highlight w:val="none"/>
        </w:rPr>
        <w:t>、名词解释</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黑体" w:cs="Times New Roman"/>
          <w:b w:val="0"/>
          <w:bCs w:val="0"/>
          <w:color w:val="000000"/>
          <w:sz w:val="32"/>
          <w:szCs w:val="32"/>
          <w:highlight w:val="none"/>
        </w:rPr>
        <w:t>第二部分单位预算相关报表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表1.单位收支总表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表1-1.单位收入总表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表1-2.单位支出总表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表2.财政拨款收支预算总表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表2-1.财政拨款支出预算表（部门经济分类科目）</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表3.一般公共预算支出预算表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表3-1.一般公共预算基本支出预算表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表3-2.一般公共预算项目支出预算表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表3-3.一般公共预算“三公”经费支出预算表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表4.政府性基金支出预算表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表4-1.政府性基金预算“三公”经费支出预算表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表5.国有资本经营预算支出预算表</w:t>
      </w:r>
    </w:p>
    <w:p>
      <w:pPr>
        <w:pStyle w:val="3"/>
        <w:keepNext w:val="0"/>
        <w:keepLines w:val="0"/>
        <w:pageBreakBefore w:val="0"/>
        <w:kinsoku/>
        <w:wordWrap/>
        <w:overflowPunct/>
        <w:topLinePunct w:val="0"/>
        <w:autoSpaceDE/>
        <w:autoSpaceDN/>
        <w:bidi w:val="0"/>
        <w:spacing w:after="0" w:line="560" w:lineRule="exact"/>
        <w:textAlignment w:val="auto"/>
        <w:rPr>
          <w:rFonts w:hint="default" w:ascii="Times New Roman" w:hAnsi="Times New Roman" w:eastAsia="黑体"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第三部分单位预算绩效目标表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表1.单位整体支出绩效目标表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r>
        <w:rPr>
          <w:rFonts w:hint="default" w:ascii="Times New Roman" w:hAnsi="Times New Roman" w:eastAsia="仿宋_GB2312" w:cs="Times New Roman"/>
          <w:b w:val="0"/>
          <w:bCs w:val="0"/>
          <w:color w:val="000000"/>
          <w:sz w:val="32"/>
          <w:szCs w:val="32"/>
          <w:highlight w:val="none"/>
        </w:rPr>
        <w:t>表2.单位预算项目支出绩效目标表</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jc w:val="center"/>
        <w:textAlignment w:val="auto"/>
        <w:rPr>
          <w:rStyle w:val="9"/>
          <w:rFonts w:hint="default" w:ascii="Times New Roman" w:hAnsi="Times New Roman" w:eastAsia="黑体" w:cs="Times New Roman"/>
          <w:b w:val="0"/>
          <w:bCs w:val="0"/>
          <w:sz w:val="52"/>
          <w:szCs w:val="5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jc w:val="center"/>
        <w:textAlignment w:val="auto"/>
        <w:rPr>
          <w:rStyle w:val="9"/>
          <w:rFonts w:hint="default" w:ascii="Times New Roman" w:hAnsi="Times New Roman" w:eastAsia="黑体" w:cs="Times New Roman"/>
          <w:b w:val="0"/>
          <w:bCs w:val="0"/>
          <w:sz w:val="52"/>
          <w:szCs w:val="52"/>
          <w:highlight w:val="none"/>
        </w:rPr>
      </w:pPr>
    </w:p>
    <w:p>
      <w:pPr>
        <w:pStyle w:val="6"/>
        <w:keepNext w:val="0"/>
        <w:keepLines w:val="0"/>
        <w:pageBreakBefore w:val="0"/>
        <w:widowControl/>
        <w:kinsoku/>
        <w:wordWrap/>
        <w:overflowPunct/>
        <w:topLinePunct w:val="0"/>
        <w:autoSpaceDE/>
        <w:autoSpaceDN/>
        <w:bidi w:val="0"/>
        <w:spacing w:before="0" w:beforeAutospacing="0" w:after="0" w:afterAutospacing="0" w:line="560" w:lineRule="exact"/>
        <w:jc w:val="center"/>
        <w:textAlignment w:val="auto"/>
        <w:rPr>
          <w:rStyle w:val="9"/>
          <w:rFonts w:hint="default" w:ascii="Times New Roman" w:hAnsi="Times New Roman" w:eastAsia="黑体" w:cs="Times New Roman"/>
          <w:b w:val="0"/>
          <w:bCs w:val="0"/>
          <w:sz w:val="52"/>
          <w:szCs w:val="52"/>
          <w:highlight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default" w:ascii="Times New Roman" w:hAnsi="Times New Roman" w:eastAsia="方正小标宋简体" w:cs="Times New Roman"/>
          <w:b w:val="0"/>
          <w:bCs w:val="0"/>
          <w:sz w:val="44"/>
          <w:szCs w:val="44"/>
          <w:highlight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default" w:ascii="Times New Roman" w:hAnsi="Times New Roman" w:eastAsia="方正小标宋简体" w:cs="Times New Roman"/>
          <w:b w:val="0"/>
          <w:bCs w:val="0"/>
          <w:sz w:val="44"/>
          <w:szCs w:val="44"/>
          <w:highlight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sz w:val="44"/>
          <w:szCs w:val="44"/>
          <w:highlight w:val="none"/>
          <w:lang w:val="en-US" w:eastAsia="zh-CN"/>
        </w:rPr>
      </w:pPr>
      <w:r>
        <w:rPr>
          <w:rStyle w:val="9"/>
          <w:rFonts w:hint="default" w:ascii="Times New Roman" w:hAnsi="Times New Roman" w:eastAsia="方正小标宋简体" w:cs="Times New Roman"/>
          <w:b w:val="0"/>
          <w:bCs w:val="0"/>
          <w:sz w:val="44"/>
          <w:szCs w:val="44"/>
          <w:highlight w:val="none"/>
        </w:rPr>
        <w:t>遂宁市船山区</w:t>
      </w:r>
      <w:r>
        <w:rPr>
          <w:rStyle w:val="9"/>
          <w:rFonts w:hint="default" w:ascii="Times New Roman" w:hAnsi="Times New Roman" w:eastAsia="方正小标宋简体" w:cs="Times New Roman"/>
          <w:b w:val="0"/>
          <w:bCs w:val="0"/>
          <w:sz w:val="44"/>
          <w:szCs w:val="44"/>
          <w:highlight w:val="none"/>
          <w:lang w:val="en-US" w:eastAsia="zh-CN"/>
        </w:rPr>
        <w:t>保升乡初级中学校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sz w:val="52"/>
          <w:szCs w:val="52"/>
          <w:highlight w:val="none"/>
        </w:rPr>
      </w:pPr>
      <w:r>
        <w:rPr>
          <w:rStyle w:val="9"/>
          <w:rFonts w:hint="default" w:ascii="Times New Roman" w:hAnsi="Times New Roman" w:eastAsia="方正小标宋简体" w:cs="Times New Roman"/>
          <w:b w:val="0"/>
          <w:bCs w:val="0"/>
          <w:sz w:val="44"/>
          <w:szCs w:val="44"/>
          <w:highlight w:val="none"/>
        </w:rPr>
        <w:t>2022</w:t>
      </w:r>
      <w:r>
        <w:rPr>
          <w:rFonts w:hint="default" w:ascii="Times New Roman" w:hAnsi="Times New Roman" w:eastAsia="方正小标宋简体" w:cs="Times New Roman"/>
          <w:b w:val="0"/>
          <w:bCs w:val="0"/>
          <w:sz w:val="44"/>
          <w:szCs w:val="44"/>
          <w:highlight w:val="none"/>
        </w:rPr>
        <w:t>年单位预算编制说明</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highlight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黑体" w:cs="Times New Roman"/>
          <w:b w:val="0"/>
          <w:bCs w:val="0"/>
          <w:highlight w:val="none"/>
          <w:lang w:eastAsia="zh-CN"/>
        </w:rPr>
      </w:pPr>
      <w:r>
        <w:rPr>
          <w:rFonts w:hint="default" w:ascii="Times New Roman" w:hAnsi="Times New Roman" w:eastAsia="黑体" w:cs="Times New Roman"/>
          <w:b w:val="0"/>
          <w:bCs w:val="0"/>
          <w:sz w:val="32"/>
          <w:szCs w:val="32"/>
          <w:highlight w:val="none"/>
        </w:rPr>
        <w:t>一、</w:t>
      </w:r>
      <w:r>
        <w:rPr>
          <w:rFonts w:hint="default" w:ascii="Times New Roman" w:hAnsi="Times New Roman" w:eastAsia="黑体" w:cs="Times New Roman"/>
          <w:b w:val="0"/>
          <w:bCs w:val="0"/>
          <w:sz w:val="32"/>
          <w:szCs w:val="32"/>
          <w:highlight w:val="none"/>
          <w:lang w:val="en-US" w:eastAsia="zh-CN"/>
        </w:rPr>
        <w:t>部门</w:t>
      </w:r>
      <w:r>
        <w:rPr>
          <w:rFonts w:hint="default" w:ascii="Times New Roman" w:hAnsi="Times New Roman" w:eastAsia="黑体" w:cs="Times New Roman"/>
          <w:b w:val="0"/>
          <w:bCs w:val="0"/>
          <w:sz w:val="32"/>
          <w:szCs w:val="32"/>
          <w:highlight w:val="none"/>
        </w:rPr>
        <w:t>基本职能</w:t>
      </w:r>
      <w:r>
        <w:rPr>
          <w:rFonts w:hint="default" w:ascii="Times New Roman" w:hAnsi="Times New Roman" w:eastAsia="黑体" w:cs="Times New Roman"/>
          <w:b w:val="0"/>
          <w:bCs w:val="0"/>
          <w:sz w:val="32"/>
          <w:szCs w:val="32"/>
          <w:highlight w:val="none"/>
          <w:lang w:val="en-US" w:eastAsia="zh-CN"/>
        </w:rPr>
        <w:t>职责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highlight w:val="none"/>
        </w:rPr>
      </w:pPr>
      <w:r>
        <w:rPr>
          <w:rStyle w:val="9"/>
          <w:rFonts w:hint="default" w:ascii="Times New Roman" w:hAnsi="Times New Roman" w:eastAsia="楷体_GB2312" w:cs="Times New Roman"/>
          <w:b w:val="0"/>
          <w:bCs w:val="0"/>
          <w:sz w:val="32"/>
          <w:szCs w:val="32"/>
          <w:highlight w:val="none"/>
        </w:rPr>
        <w:t>（一）遂宁市船山区</w:t>
      </w:r>
      <w:r>
        <w:rPr>
          <w:rStyle w:val="9"/>
          <w:rFonts w:hint="default" w:ascii="Times New Roman" w:hAnsi="Times New Roman" w:eastAsia="楷体_GB2312" w:cs="Times New Roman"/>
          <w:b w:val="0"/>
          <w:bCs w:val="0"/>
          <w:sz w:val="32"/>
          <w:szCs w:val="32"/>
          <w:highlight w:val="none"/>
          <w:lang w:eastAsia="zh-CN"/>
        </w:rPr>
        <w:t>保升乡初级中学校</w:t>
      </w:r>
      <w:r>
        <w:rPr>
          <w:rStyle w:val="9"/>
          <w:rFonts w:hint="default" w:ascii="Times New Roman" w:hAnsi="Times New Roman" w:eastAsia="楷体_GB2312" w:cs="Times New Roman"/>
          <w:b w:val="0"/>
          <w:bCs w:val="0"/>
          <w:sz w:val="32"/>
          <w:szCs w:val="32"/>
          <w:highlight w:val="none"/>
        </w:rPr>
        <w:t>职能简介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实施中学义务教育，促进基础教育发展，负责中学学历教育和相关社会服务。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Style w:val="9"/>
          <w:rFonts w:hint="default" w:ascii="Times New Roman" w:hAnsi="Times New Roman" w:eastAsia="楷体_GB2312" w:cs="Times New Roman"/>
          <w:b w:val="0"/>
          <w:bCs w:val="0"/>
          <w:sz w:val="32"/>
          <w:szCs w:val="32"/>
          <w:highlight w:val="none"/>
        </w:rPr>
      </w:pPr>
      <w:r>
        <w:rPr>
          <w:rStyle w:val="9"/>
          <w:rFonts w:hint="default" w:ascii="Times New Roman" w:hAnsi="Times New Roman" w:eastAsia="楷体_GB2312" w:cs="Times New Roman"/>
          <w:b w:val="0"/>
          <w:bCs w:val="0"/>
          <w:sz w:val="32"/>
          <w:szCs w:val="32"/>
          <w:highlight w:val="none"/>
        </w:rPr>
        <w:t>（二）遂宁市船山区</w:t>
      </w:r>
      <w:r>
        <w:rPr>
          <w:rStyle w:val="9"/>
          <w:rFonts w:hint="default" w:ascii="Times New Roman" w:hAnsi="Times New Roman" w:eastAsia="楷体_GB2312" w:cs="Times New Roman"/>
          <w:b w:val="0"/>
          <w:bCs w:val="0"/>
          <w:sz w:val="32"/>
          <w:szCs w:val="32"/>
          <w:highlight w:val="none"/>
          <w:lang w:eastAsia="zh-CN"/>
        </w:rPr>
        <w:t>保升乡初级中学校</w:t>
      </w:r>
      <w:r>
        <w:rPr>
          <w:rStyle w:val="9"/>
          <w:rFonts w:hint="default" w:ascii="Times New Roman" w:hAnsi="Times New Roman" w:eastAsia="楷体_GB2312" w:cs="Times New Roman"/>
          <w:b w:val="0"/>
          <w:bCs w:val="0"/>
          <w:sz w:val="32"/>
          <w:szCs w:val="32"/>
          <w:highlight w:val="none"/>
        </w:rPr>
        <w:t>2022年重点工作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rPr>
        <w:t>.开展教育教学工作。主要包括</w:t>
      </w:r>
      <w:r>
        <w:rPr>
          <w:rFonts w:hint="default" w:ascii="Times New Roman" w:hAnsi="Times New Roman" w:eastAsia="仿宋_GB2312" w:cs="Times New Roman"/>
          <w:b w:val="0"/>
          <w:bCs w:val="0"/>
          <w:color w:val="000000"/>
          <w:sz w:val="32"/>
          <w:szCs w:val="32"/>
          <w:highlight w:val="none"/>
          <w:lang w:val="en-US" w:eastAsia="zh-CN"/>
        </w:rPr>
        <w:t>中学生</w:t>
      </w:r>
      <w:r>
        <w:rPr>
          <w:rFonts w:hint="default" w:ascii="Times New Roman" w:hAnsi="Times New Roman" w:eastAsia="仿宋_GB2312" w:cs="Times New Roman"/>
          <w:b w:val="0"/>
          <w:bCs w:val="0"/>
          <w:color w:val="000000"/>
          <w:sz w:val="32"/>
          <w:szCs w:val="32"/>
          <w:highlight w:val="none"/>
        </w:rPr>
        <w:t>健康、语言、社会、科学、艺术等领域的知识技能、情感态度、活动方式方法等教学工作，培养</w:t>
      </w:r>
      <w:r>
        <w:rPr>
          <w:rFonts w:hint="default" w:ascii="Times New Roman" w:hAnsi="Times New Roman" w:eastAsia="仿宋_GB2312" w:cs="Times New Roman"/>
          <w:b w:val="0"/>
          <w:bCs w:val="0"/>
          <w:color w:val="000000"/>
          <w:sz w:val="32"/>
          <w:szCs w:val="32"/>
          <w:highlight w:val="none"/>
          <w:lang w:val="en-US" w:eastAsia="zh-CN"/>
        </w:rPr>
        <w:t>学生</w:t>
      </w:r>
      <w:r>
        <w:rPr>
          <w:rFonts w:hint="default" w:ascii="Times New Roman" w:hAnsi="Times New Roman" w:eastAsia="仿宋_GB2312" w:cs="Times New Roman"/>
          <w:b w:val="0"/>
          <w:bCs w:val="0"/>
          <w:color w:val="000000"/>
          <w:sz w:val="32"/>
          <w:szCs w:val="32"/>
          <w:highlight w:val="none"/>
        </w:rPr>
        <w:t>各种良好习惯和有益兴趣。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 </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.维护</w:t>
      </w:r>
      <w:r>
        <w:rPr>
          <w:rFonts w:hint="default" w:ascii="Times New Roman" w:hAnsi="Times New Roman" w:eastAsia="仿宋_GB2312" w:cs="Times New Roman"/>
          <w:b w:val="0"/>
          <w:bCs w:val="0"/>
          <w:color w:val="000000"/>
          <w:sz w:val="32"/>
          <w:szCs w:val="32"/>
          <w:highlight w:val="none"/>
          <w:lang w:val="en-US" w:eastAsia="zh-CN"/>
        </w:rPr>
        <w:t>学校</w:t>
      </w:r>
      <w:r>
        <w:rPr>
          <w:rFonts w:hint="default" w:ascii="Times New Roman" w:hAnsi="Times New Roman" w:eastAsia="仿宋_GB2312" w:cs="Times New Roman"/>
          <w:b w:val="0"/>
          <w:bCs w:val="0"/>
          <w:color w:val="000000"/>
          <w:sz w:val="32"/>
          <w:szCs w:val="32"/>
          <w:highlight w:val="none"/>
        </w:rPr>
        <w:t>内安全，提供后勤保障工作。主要包括</w:t>
      </w:r>
      <w:r>
        <w:rPr>
          <w:rFonts w:hint="default" w:ascii="Times New Roman" w:hAnsi="Times New Roman" w:eastAsia="仿宋_GB2312" w:cs="Times New Roman"/>
          <w:b w:val="0"/>
          <w:bCs w:val="0"/>
          <w:color w:val="000000"/>
          <w:sz w:val="32"/>
          <w:szCs w:val="32"/>
          <w:highlight w:val="none"/>
          <w:lang w:val="en-US" w:eastAsia="zh-CN"/>
        </w:rPr>
        <w:t>学校</w:t>
      </w:r>
      <w:r>
        <w:rPr>
          <w:rFonts w:hint="default" w:ascii="Times New Roman" w:hAnsi="Times New Roman" w:eastAsia="仿宋_GB2312" w:cs="Times New Roman"/>
          <w:b w:val="0"/>
          <w:bCs w:val="0"/>
          <w:color w:val="000000"/>
          <w:sz w:val="32"/>
          <w:szCs w:val="32"/>
          <w:highlight w:val="none"/>
        </w:rPr>
        <w:t>内安全防护和检查，为</w:t>
      </w:r>
      <w:r>
        <w:rPr>
          <w:rFonts w:hint="default" w:ascii="Times New Roman" w:hAnsi="Times New Roman" w:eastAsia="仿宋_GB2312" w:cs="Times New Roman"/>
          <w:b w:val="0"/>
          <w:bCs w:val="0"/>
          <w:color w:val="000000"/>
          <w:sz w:val="32"/>
          <w:szCs w:val="32"/>
          <w:highlight w:val="none"/>
          <w:lang w:val="en-US" w:eastAsia="zh-CN"/>
        </w:rPr>
        <w:t>学生</w:t>
      </w:r>
      <w:r>
        <w:rPr>
          <w:rFonts w:hint="default" w:ascii="Times New Roman" w:hAnsi="Times New Roman" w:eastAsia="仿宋_GB2312" w:cs="Times New Roman"/>
          <w:b w:val="0"/>
          <w:bCs w:val="0"/>
          <w:color w:val="000000"/>
          <w:sz w:val="32"/>
          <w:szCs w:val="32"/>
          <w:highlight w:val="none"/>
        </w:rPr>
        <w:t>提供良好的学习生活环境。开展</w:t>
      </w:r>
      <w:r>
        <w:rPr>
          <w:rFonts w:hint="default" w:ascii="Times New Roman" w:hAnsi="Times New Roman" w:eastAsia="仿宋_GB2312" w:cs="Times New Roman"/>
          <w:b w:val="0"/>
          <w:bCs w:val="0"/>
          <w:color w:val="000000"/>
          <w:sz w:val="32"/>
          <w:szCs w:val="32"/>
          <w:highlight w:val="none"/>
          <w:lang w:val="en-US" w:eastAsia="zh-CN"/>
        </w:rPr>
        <w:t>学生</w:t>
      </w:r>
      <w:r>
        <w:rPr>
          <w:rFonts w:hint="default" w:ascii="Times New Roman" w:hAnsi="Times New Roman" w:eastAsia="仿宋_GB2312" w:cs="Times New Roman"/>
          <w:b w:val="0"/>
          <w:bCs w:val="0"/>
          <w:color w:val="000000"/>
          <w:sz w:val="32"/>
          <w:szCs w:val="32"/>
          <w:highlight w:val="none"/>
        </w:rPr>
        <w:t>安全教育，维护</w:t>
      </w:r>
      <w:r>
        <w:rPr>
          <w:rFonts w:hint="default" w:ascii="Times New Roman" w:hAnsi="Times New Roman" w:eastAsia="仿宋_GB2312" w:cs="Times New Roman"/>
          <w:b w:val="0"/>
          <w:bCs w:val="0"/>
          <w:color w:val="000000"/>
          <w:sz w:val="32"/>
          <w:szCs w:val="32"/>
          <w:highlight w:val="none"/>
          <w:lang w:val="en-US" w:eastAsia="zh-CN"/>
        </w:rPr>
        <w:t>学校</w:t>
      </w:r>
      <w:r>
        <w:rPr>
          <w:rFonts w:hint="default" w:ascii="Times New Roman" w:hAnsi="Times New Roman" w:eastAsia="仿宋_GB2312" w:cs="Times New Roman"/>
          <w:b w:val="0"/>
          <w:bCs w:val="0"/>
          <w:color w:val="000000"/>
          <w:sz w:val="32"/>
          <w:szCs w:val="32"/>
          <w:highlight w:val="none"/>
        </w:rPr>
        <w:t>师生安全，确保</w:t>
      </w:r>
      <w:r>
        <w:rPr>
          <w:rFonts w:hint="default" w:ascii="Times New Roman" w:hAnsi="Times New Roman" w:eastAsia="仿宋_GB2312" w:cs="Times New Roman"/>
          <w:b w:val="0"/>
          <w:bCs w:val="0"/>
          <w:color w:val="000000"/>
          <w:sz w:val="32"/>
          <w:szCs w:val="32"/>
          <w:highlight w:val="none"/>
          <w:lang w:val="en-US" w:eastAsia="zh-CN"/>
        </w:rPr>
        <w:t>校</w:t>
      </w:r>
      <w:r>
        <w:rPr>
          <w:rFonts w:hint="default" w:ascii="Times New Roman" w:hAnsi="Times New Roman" w:eastAsia="仿宋_GB2312" w:cs="Times New Roman"/>
          <w:b w:val="0"/>
          <w:bCs w:val="0"/>
          <w:color w:val="000000"/>
          <w:sz w:val="32"/>
          <w:szCs w:val="32"/>
          <w:highlight w:val="none"/>
        </w:rPr>
        <w:t>内秩序和谐稳定。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 </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.开展与家庭和社区联系合作。主要包括配合家庭承担育</w:t>
      </w:r>
      <w:r>
        <w:rPr>
          <w:rFonts w:hint="default" w:ascii="Times New Roman" w:hAnsi="Times New Roman" w:eastAsia="仿宋_GB2312" w:cs="Times New Roman"/>
          <w:b w:val="0"/>
          <w:bCs w:val="0"/>
          <w:color w:val="000000"/>
          <w:sz w:val="32"/>
          <w:szCs w:val="32"/>
          <w:highlight w:val="none"/>
          <w:lang w:val="en-US" w:eastAsia="zh-CN"/>
        </w:rPr>
        <w:t>人</w:t>
      </w:r>
      <w:r>
        <w:rPr>
          <w:rFonts w:hint="default" w:ascii="Times New Roman" w:hAnsi="Times New Roman" w:eastAsia="仿宋_GB2312" w:cs="Times New Roman"/>
          <w:b w:val="0"/>
          <w:bCs w:val="0"/>
          <w:color w:val="000000"/>
          <w:sz w:val="32"/>
          <w:szCs w:val="32"/>
          <w:highlight w:val="none"/>
        </w:rPr>
        <w:t>任务，向社区宣传</w:t>
      </w:r>
      <w:r>
        <w:rPr>
          <w:rFonts w:hint="default" w:ascii="Times New Roman" w:hAnsi="Times New Roman" w:eastAsia="仿宋_GB2312" w:cs="Times New Roman"/>
          <w:b w:val="0"/>
          <w:bCs w:val="0"/>
          <w:color w:val="000000"/>
          <w:sz w:val="32"/>
          <w:szCs w:val="32"/>
          <w:highlight w:val="none"/>
          <w:lang w:val="en-US" w:eastAsia="zh-CN"/>
        </w:rPr>
        <w:t>育人</w:t>
      </w:r>
      <w:r>
        <w:rPr>
          <w:rFonts w:hint="default" w:ascii="Times New Roman" w:hAnsi="Times New Roman" w:eastAsia="仿宋_GB2312" w:cs="Times New Roman"/>
          <w:b w:val="0"/>
          <w:bCs w:val="0"/>
          <w:color w:val="000000"/>
          <w:sz w:val="32"/>
          <w:szCs w:val="32"/>
          <w:highlight w:val="none"/>
        </w:rPr>
        <w:t>教育知识，支持社区开展</w:t>
      </w:r>
      <w:r>
        <w:rPr>
          <w:rFonts w:hint="default" w:ascii="Times New Roman" w:hAnsi="Times New Roman" w:eastAsia="仿宋_GB2312" w:cs="Times New Roman"/>
          <w:b w:val="0"/>
          <w:bCs w:val="0"/>
          <w:color w:val="000000"/>
          <w:sz w:val="32"/>
          <w:szCs w:val="32"/>
          <w:highlight w:val="none"/>
          <w:lang w:val="en-US" w:eastAsia="zh-CN"/>
        </w:rPr>
        <w:t>对中学生</w:t>
      </w:r>
      <w:r>
        <w:rPr>
          <w:rFonts w:hint="default" w:ascii="Times New Roman" w:hAnsi="Times New Roman" w:eastAsia="仿宋_GB2312" w:cs="Times New Roman"/>
          <w:b w:val="0"/>
          <w:bCs w:val="0"/>
          <w:color w:val="000000"/>
          <w:sz w:val="32"/>
          <w:szCs w:val="32"/>
          <w:highlight w:val="none"/>
        </w:rPr>
        <w:t>文化教育活动。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 </w:t>
      </w: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rPr>
        <w:t>.开展业务指导和培训等服务。主要包括发挥示范作用，受委托开展行业内业务指导、实验研究、师资培训和信息服务等工作。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二、机构设置</w:t>
      </w:r>
    </w:p>
    <w:p>
      <w:pPr>
        <w:keepNext w:val="0"/>
        <w:keepLines w:val="0"/>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遂宁市船山区保升乡初级中学校属一级预算单位，内设教学管理、行政办公室、后勤财务室、教改教研部等。遂宁市船山区保升乡初级中学校</w:t>
      </w:r>
      <w:r>
        <w:rPr>
          <w:rFonts w:hint="default" w:ascii="Times New Roman" w:hAnsi="Times New Roman" w:eastAsia="仿宋" w:cs="Times New Roman"/>
          <w:b w:val="0"/>
          <w:bCs w:val="0"/>
          <w:color w:val="auto"/>
          <w:sz w:val="32"/>
          <w:szCs w:val="32"/>
          <w:highlight w:val="none"/>
        </w:rPr>
        <w:t>下属二级</w:t>
      </w:r>
      <w:r>
        <w:rPr>
          <w:rFonts w:hint="default" w:ascii="Times New Roman" w:hAnsi="Times New Roman" w:eastAsia="仿宋" w:cs="Times New Roman"/>
          <w:b w:val="0"/>
          <w:bCs w:val="0"/>
          <w:color w:val="auto"/>
          <w:sz w:val="32"/>
          <w:szCs w:val="32"/>
          <w:highlight w:val="none"/>
          <w:lang w:eastAsia="zh-CN"/>
        </w:rPr>
        <w:t>预算</w:t>
      </w:r>
      <w:r>
        <w:rPr>
          <w:rFonts w:hint="default" w:ascii="Times New Roman" w:hAnsi="Times New Roman" w:eastAsia="仿宋" w:cs="Times New Roman"/>
          <w:b w:val="0"/>
          <w:bCs w:val="0"/>
          <w:color w:val="auto"/>
          <w:sz w:val="32"/>
          <w:szCs w:val="32"/>
          <w:highlight w:val="none"/>
        </w:rPr>
        <w:t>单位</w:t>
      </w:r>
      <w:r>
        <w:rPr>
          <w:rFonts w:hint="default" w:ascii="Times New Roman" w:hAnsi="Times New Roman" w:eastAsia="仿宋" w:cs="Times New Roman"/>
          <w:b w:val="0"/>
          <w:bCs w:val="0"/>
          <w:color w:val="auto"/>
          <w:sz w:val="32"/>
          <w:szCs w:val="32"/>
          <w:highlight w:val="none"/>
          <w:lang w:val="en-US" w:eastAsia="zh-CN"/>
        </w:rPr>
        <w:t>0</w:t>
      </w:r>
      <w:r>
        <w:rPr>
          <w:rFonts w:hint="default" w:ascii="Times New Roman" w:hAnsi="Times New Roman" w:eastAsia="仿宋" w:cs="Times New Roman"/>
          <w:b w:val="0"/>
          <w:bCs w:val="0"/>
          <w:color w:val="auto"/>
          <w:sz w:val="32"/>
          <w:szCs w:val="32"/>
          <w:highlight w:val="none"/>
        </w:rPr>
        <w:t>个，其中行政单位</w:t>
      </w:r>
      <w:r>
        <w:rPr>
          <w:rFonts w:hint="default" w:ascii="Times New Roman" w:hAnsi="Times New Roman" w:eastAsia="仿宋" w:cs="Times New Roman"/>
          <w:b w:val="0"/>
          <w:bCs w:val="0"/>
          <w:color w:val="auto"/>
          <w:sz w:val="32"/>
          <w:szCs w:val="32"/>
          <w:highlight w:val="none"/>
          <w:lang w:val="en-US" w:eastAsia="zh-CN"/>
        </w:rPr>
        <w:t>0</w:t>
      </w:r>
      <w:r>
        <w:rPr>
          <w:rFonts w:hint="default" w:ascii="Times New Roman" w:hAnsi="Times New Roman" w:eastAsia="仿宋" w:cs="Times New Roman"/>
          <w:b w:val="0"/>
          <w:bCs w:val="0"/>
          <w:color w:val="auto"/>
          <w:sz w:val="32"/>
          <w:szCs w:val="32"/>
          <w:highlight w:val="none"/>
        </w:rPr>
        <w:t>个，参照公务员法管理的事业单位</w:t>
      </w:r>
      <w:r>
        <w:rPr>
          <w:rFonts w:hint="default" w:ascii="Times New Roman" w:hAnsi="Times New Roman" w:eastAsia="仿宋" w:cs="Times New Roman"/>
          <w:b w:val="0"/>
          <w:bCs w:val="0"/>
          <w:color w:val="auto"/>
          <w:sz w:val="32"/>
          <w:szCs w:val="32"/>
          <w:highlight w:val="none"/>
          <w:lang w:val="en-US" w:eastAsia="zh-CN"/>
        </w:rPr>
        <w:t>0</w:t>
      </w:r>
      <w:r>
        <w:rPr>
          <w:rFonts w:hint="default" w:ascii="Times New Roman" w:hAnsi="Times New Roman" w:eastAsia="仿宋" w:cs="Times New Roman"/>
          <w:b w:val="0"/>
          <w:bCs w:val="0"/>
          <w:color w:val="auto"/>
          <w:sz w:val="32"/>
          <w:szCs w:val="32"/>
          <w:highlight w:val="none"/>
        </w:rPr>
        <w:t>个，其他事业单位</w:t>
      </w:r>
      <w:r>
        <w:rPr>
          <w:rFonts w:hint="default" w:ascii="Times New Roman" w:hAnsi="Times New Roman" w:eastAsia="仿宋" w:cs="Times New Roman"/>
          <w:b w:val="0"/>
          <w:bCs w:val="0"/>
          <w:color w:val="auto"/>
          <w:sz w:val="32"/>
          <w:szCs w:val="32"/>
          <w:highlight w:val="none"/>
          <w:lang w:val="en-US" w:eastAsia="zh-CN"/>
        </w:rPr>
        <w:t>0</w:t>
      </w:r>
      <w:r>
        <w:rPr>
          <w:rFonts w:hint="default" w:ascii="Times New Roman" w:hAnsi="Times New Roman" w:eastAsia="仿宋" w:cs="Times New Roman"/>
          <w:b w:val="0"/>
          <w:bCs w:val="0"/>
          <w:color w:val="auto"/>
          <w:sz w:val="32"/>
          <w:szCs w:val="32"/>
          <w:highlight w:val="none"/>
        </w:rPr>
        <w:t>个。</w:t>
      </w:r>
    </w:p>
    <w:p>
      <w:pPr>
        <w:pStyle w:val="3"/>
        <w:keepNext w:val="0"/>
        <w:keepLines w:val="0"/>
        <w:pageBreakBefore w:val="0"/>
        <w:kinsoku/>
        <w:wordWrap/>
        <w:overflowPunct/>
        <w:topLinePunct w:val="0"/>
        <w:autoSpaceDE/>
        <w:autoSpaceDN/>
        <w:bidi w:val="0"/>
        <w:adjustRightInd w:val="0"/>
        <w:snapToGrid w:val="0"/>
        <w:spacing w:after="0" w:line="560" w:lineRule="exact"/>
        <w:ind w:firstLine="672" w:firstLineChars="21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rPr>
        <w:t>纳入</w:t>
      </w:r>
      <w:r>
        <w:rPr>
          <w:rFonts w:hint="default" w:ascii="Times New Roman" w:hAnsi="Times New Roman" w:eastAsia="仿宋" w:cs="Times New Roman"/>
          <w:b w:val="0"/>
          <w:bCs w:val="0"/>
          <w:color w:val="auto"/>
          <w:sz w:val="32"/>
          <w:szCs w:val="32"/>
          <w:highlight w:val="none"/>
          <w:lang w:val="en-US" w:eastAsia="zh-CN"/>
        </w:rPr>
        <w:t>遂宁市船山区保升乡初级中学校</w:t>
      </w:r>
      <w:r>
        <w:rPr>
          <w:rFonts w:hint="default" w:ascii="Times New Roman" w:hAnsi="Times New Roman" w:eastAsia="仿宋" w:cs="Times New Roman"/>
          <w:b w:val="0"/>
          <w:bCs w:val="0"/>
          <w:color w:val="auto"/>
          <w:sz w:val="32"/>
          <w:szCs w:val="32"/>
          <w:highlight w:val="none"/>
        </w:rPr>
        <w:t>20</w:t>
      </w:r>
      <w:r>
        <w:rPr>
          <w:rFonts w:hint="default" w:ascii="Times New Roman" w:hAnsi="Times New Roman" w:eastAsia="仿宋" w:cs="Times New Roman"/>
          <w:b w:val="0"/>
          <w:bCs w:val="0"/>
          <w:color w:val="auto"/>
          <w:sz w:val="32"/>
          <w:szCs w:val="32"/>
          <w:highlight w:val="none"/>
          <w:lang w:val="en-US" w:eastAsia="zh-CN"/>
        </w:rPr>
        <w:t>22</w:t>
      </w:r>
      <w:r>
        <w:rPr>
          <w:rFonts w:hint="default" w:ascii="Times New Roman" w:hAnsi="Times New Roman" w:eastAsia="仿宋" w:cs="Times New Roman"/>
          <w:b w:val="0"/>
          <w:bCs w:val="0"/>
          <w:color w:val="auto"/>
          <w:sz w:val="32"/>
          <w:szCs w:val="32"/>
          <w:highlight w:val="none"/>
        </w:rPr>
        <w:t>年度部门</w:t>
      </w:r>
      <w:r>
        <w:rPr>
          <w:rFonts w:hint="default" w:ascii="Times New Roman" w:hAnsi="Times New Roman" w:eastAsia="仿宋" w:cs="Times New Roman"/>
          <w:b w:val="0"/>
          <w:bCs w:val="0"/>
          <w:color w:val="auto"/>
          <w:sz w:val="32"/>
          <w:szCs w:val="32"/>
          <w:highlight w:val="none"/>
          <w:lang w:val="en-US" w:eastAsia="zh-CN"/>
        </w:rPr>
        <w:t>预</w:t>
      </w:r>
      <w:r>
        <w:rPr>
          <w:rFonts w:hint="default" w:ascii="Times New Roman" w:hAnsi="Times New Roman" w:eastAsia="仿宋" w:cs="Times New Roman"/>
          <w:b w:val="0"/>
          <w:bCs w:val="0"/>
          <w:color w:val="auto"/>
          <w:sz w:val="32"/>
          <w:szCs w:val="32"/>
          <w:highlight w:val="none"/>
        </w:rPr>
        <w:t>算编制范围的二级预算单位包括：</w:t>
      </w:r>
      <w:r>
        <w:rPr>
          <w:rFonts w:hint="default" w:ascii="Times New Roman" w:hAnsi="Times New Roman" w:eastAsia="仿宋" w:cs="Times New Roman"/>
          <w:b w:val="0"/>
          <w:bCs w:val="0"/>
          <w:color w:val="auto"/>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highlight w:val="none"/>
        </w:rPr>
      </w:pPr>
      <w:r>
        <w:rPr>
          <w:rFonts w:hint="default" w:ascii="Times New Roman" w:hAnsi="Times New Roman"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rPr>
        <w:t>、收支预算情况说明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按照综合预算的原则，遂宁市船山区保升乡初级中学校所有收入和支出均纳入部门预算管理。收入包括：教育支出、社会保障和就业支出、卫生健康支出、农林水支出。遂宁市船山区保升乡初级中学校，2022年收支总预算505.24万元，较2021年收支预算总数增加0.28万元，主要是基本支出中全校教职工42人（含退休教师9人）人员工资增加，相应保险增加以及职业年金匹配部分纳入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（一）收入预算情况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遂宁市船山区保升乡初级中学校2022年收入预算505.24万元，其中：上年结转0万元，占0%；一般公共预算拨款收入505.24万元，占100%。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（二）支出预算情况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遂宁市船山区保升乡初级中学校2022年支出预算505.24万元，其中：基本支出505.24万元，占100%。</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highlight w:val="none"/>
        </w:rPr>
      </w:pPr>
      <w:r>
        <w:rPr>
          <w:rFonts w:hint="default" w:ascii="Times New Roman" w:hAnsi="Times New Roman"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rPr>
        <w:t>、财政拨款收支预算情况说明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遂宁市船山区保升乡初级中学校2022年收支总预算505.24万元，较2021年收支预算总数增加0.28万元，主要是基本支出中全校教职工42人（含退休教师9人）人员工资增加，相应保险增加以及职业年金匹配部分纳入预算。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收入包括：本年一般公共预算拨款收入505.24万元、上年结转一般公共预算拨款收入0万元、；支出包括：一般公共服务支出0万元、教育支出352.91万元、机关事业单位基本养老保险缴费支出48.46万元、机关事业单位职业年金缴费支出24.23万元，其他社会保障和就业支出3.03万元、卫生健康支出30.67万元、住房保障支出45.93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highlight w:val="none"/>
        </w:rPr>
      </w:pPr>
      <w:r>
        <w:rPr>
          <w:rFonts w:hint="default" w:ascii="Times New Roman" w:hAnsi="Times New Roman"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rPr>
        <w:t>、一般公共预算当年拨款情况说明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Style w:val="9"/>
          <w:rFonts w:hint="default" w:ascii="Times New Roman" w:hAnsi="Times New Roman" w:eastAsia="楷体_GB2312" w:cs="Times New Roman"/>
          <w:b w:val="0"/>
          <w:bCs w:val="0"/>
          <w:sz w:val="32"/>
          <w:szCs w:val="32"/>
          <w:highlight w:val="none"/>
        </w:rPr>
      </w:pPr>
      <w:r>
        <w:rPr>
          <w:rStyle w:val="9"/>
          <w:rFonts w:hint="default" w:ascii="Times New Roman" w:hAnsi="Times New Roman" w:eastAsia="楷体_GB2312" w:cs="Times New Roman"/>
          <w:b w:val="0"/>
          <w:bCs w:val="0"/>
          <w:sz w:val="32"/>
          <w:szCs w:val="32"/>
          <w:highlight w:val="none"/>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遂宁市船山区保升乡初级中学校2022年收支总预算505.24万元，较2021年收支预算总数增加0.28万元，主要是基本支出中全校教职工42人（含退休教师9人）人员工资增加，相应保险增加以及职业年金匹配部分纳入预算。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Style w:val="9"/>
          <w:rFonts w:hint="default" w:ascii="Times New Roman" w:hAnsi="Times New Roman" w:eastAsia="楷体_GB2312" w:cs="Times New Roman"/>
          <w:b w:val="0"/>
          <w:bCs w:val="0"/>
          <w:sz w:val="32"/>
          <w:szCs w:val="32"/>
          <w:highlight w:val="none"/>
        </w:rPr>
      </w:pPr>
      <w:r>
        <w:rPr>
          <w:rStyle w:val="9"/>
          <w:rFonts w:hint="default" w:ascii="Times New Roman" w:hAnsi="Times New Roman" w:eastAsia="楷体_GB2312" w:cs="Times New Roman"/>
          <w:b w:val="0"/>
          <w:bCs w:val="0"/>
          <w:sz w:val="32"/>
          <w:szCs w:val="32"/>
          <w:highlight w:val="none"/>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收支总预算505.24万元，一般公共服务支出0万元、教育支出352.91万元，占69.85%；机关事业单位基本养老保险缴费支出48.46万元，占9.59%；、机关事业单位职业年金缴费支出24.23万元，占4.80%；其他社会保障和就业支出3.03万元、占0.6%；卫生健康支出30.67万元、占6.07%；住房保障支出45.93万元，占9.09%。</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Style w:val="9"/>
          <w:rFonts w:hint="default" w:ascii="Times New Roman" w:hAnsi="Times New Roman" w:eastAsia="楷体_GB2312" w:cs="Times New Roman"/>
          <w:b w:val="0"/>
          <w:bCs w:val="0"/>
          <w:sz w:val="32"/>
          <w:szCs w:val="32"/>
          <w:highlight w:val="none"/>
        </w:rPr>
      </w:pPr>
      <w:r>
        <w:rPr>
          <w:rStyle w:val="9"/>
          <w:rFonts w:hint="default" w:ascii="Times New Roman" w:hAnsi="Times New Roman" w:eastAsia="楷体_GB2312" w:cs="Times New Roman"/>
          <w:b w:val="0"/>
          <w:bCs w:val="0"/>
          <w:sz w:val="32"/>
          <w:szCs w:val="32"/>
          <w:highlight w:val="none"/>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1.初中教育支出（205类）普通教育（02款）初中教育（03项）2022年预算数为352.91万元，主要用于：工资福利支出、商品和服务支出。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2. 社会保障和就业支出（类）行政事业单位养老保险（款）机关事业单位养老保险缴费支出（项）支出48.46万元，主要用于：机关事业单位基本养老保险缴费。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3. 社会保障和就业支出（类）行政事业单位养老保险（款）机关事业单位职业年金缴费支出（项）支出24.23万元，主要用于：机关事业单位职业年金缴费。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4.社会保障和就业支出（类）其他社会保障和就业支出（款）其他社会保障和就业支出（项）3.03万元，主要用于：事业单位工伤失业等保险缴费。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5.卫生健康支出（类）行政事业单位医疗（款）事业单位医疗（项）30.67万元，主要用于：事业单位医疗缴费。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6.住房保障支出（类）住房改革支出（款）住房公积金（项）45.93万元，主要用于：事业单位公积金缴费。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highlight w:val="none"/>
        </w:rPr>
      </w:pPr>
      <w:r>
        <w:rPr>
          <w:rFonts w:hint="default" w:ascii="Times New Roman" w:hAnsi="Times New Roman" w:eastAsia="黑体" w:cs="Times New Roman"/>
          <w:b w:val="0"/>
          <w:bCs w:val="0"/>
          <w:sz w:val="32"/>
          <w:szCs w:val="32"/>
          <w:highlight w:val="none"/>
          <w:lang w:val="en-US" w:eastAsia="zh-CN"/>
        </w:rPr>
        <w:t>六</w:t>
      </w:r>
      <w:r>
        <w:rPr>
          <w:rFonts w:hint="default" w:ascii="Times New Roman" w:hAnsi="Times New Roman" w:eastAsia="黑体" w:cs="Times New Roman"/>
          <w:b w:val="0"/>
          <w:bCs w:val="0"/>
          <w:sz w:val="32"/>
          <w:szCs w:val="32"/>
          <w:highlight w:val="none"/>
        </w:rPr>
        <w:t>、一般公共预算基本支出情况说明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遂宁市船山区保升乡初级中学校202年一般公共预算基本支出505.24万元，其中：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人员经费498.09万元，主要包括：基本工资、津贴补贴、绩效工资、机关事业单位基本养老保险缴费、基本医疗、公务员医疗补助、其他社会保障缴费、住房公积金、职业年金缴费、其他工资福利支出。公用经费7.14万元，主要包括：工会福利、党组织活动费、遗属补助、其他商品和服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lang w:val="en-US" w:eastAsia="zh-CN"/>
        </w:rPr>
        <w:t>七</w:t>
      </w:r>
      <w:r>
        <w:rPr>
          <w:rFonts w:hint="default" w:ascii="Times New Roman" w:hAnsi="Times New Roman" w:eastAsia="黑体" w:cs="Times New Roman"/>
          <w:b w:val="0"/>
          <w:bCs w:val="0"/>
          <w:highlight w:val="none"/>
        </w:rPr>
        <w:t>、“三公”经费财政拨款预算安排情况说明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遂宁市船山区保升乡初级中学校2022年没有使用财政拨款安排“三公”经费预算。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24" w:leftChars="195"/>
        <w:textAlignment w:val="auto"/>
        <w:rPr>
          <w:rFonts w:hint="default" w:ascii="Times New Roman" w:hAnsi="Times New Roman" w:eastAsia="楷体_GB2312" w:cs="Times New Roman"/>
          <w:b w:val="0"/>
          <w:bCs w:val="0"/>
          <w:sz w:val="32"/>
          <w:szCs w:val="32"/>
          <w:highlight w:val="none"/>
          <w:u w:val="single"/>
        </w:rPr>
      </w:pPr>
      <w:r>
        <w:rPr>
          <w:rFonts w:hint="default" w:ascii="Times New Roman" w:hAnsi="Times New Roman" w:eastAsia="楷体_GB2312" w:cs="Times New Roman"/>
          <w:b w:val="0"/>
          <w:bCs w:val="0"/>
          <w:sz w:val="32"/>
          <w:szCs w:val="32"/>
          <w:highlight w:val="none"/>
        </w:rPr>
        <w:t>（一）因公出国（境）经费</w:t>
      </w:r>
      <w:r>
        <w:rPr>
          <w:rFonts w:hint="default" w:ascii="Times New Roman" w:hAnsi="Times New Roman" w:eastAsia="楷体_GB2312" w:cs="Times New Roman"/>
          <w:b w:val="0"/>
          <w:bCs w:val="0"/>
          <w:sz w:val="32"/>
          <w:szCs w:val="32"/>
          <w:highlight w:val="none"/>
          <w:lang w:val="en-US" w:eastAsia="zh-CN"/>
        </w:rPr>
        <w:t>没有安排预算，</w:t>
      </w:r>
      <w:r>
        <w:rPr>
          <w:rFonts w:hint="default" w:ascii="Times New Roman" w:hAnsi="Times New Roman" w:eastAsia="楷体_GB2312" w:cs="Times New Roman"/>
          <w:b w:val="0"/>
          <w:bCs w:val="0"/>
          <w:sz w:val="32"/>
          <w:szCs w:val="32"/>
          <w:highlight w:val="none"/>
        </w:rPr>
        <w:t>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楷体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r>
        <w:rPr>
          <w:rFonts w:hint="default" w:ascii="Times New Roman" w:hAnsi="Times New Roman" w:eastAsia="楷体_GB2312" w:cs="Times New Roman"/>
          <w:b w:val="0"/>
          <w:bCs w:val="0"/>
          <w:sz w:val="32"/>
          <w:szCs w:val="32"/>
          <w:highlight w:val="none"/>
        </w:rPr>
        <w:t>。（二）公务接待费</w:t>
      </w:r>
      <w:r>
        <w:rPr>
          <w:rFonts w:hint="default" w:ascii="Times New Roman" w:hAnsi="Times New Roman" w:eastAsia="楷体_GB2312" w:cs="Times New Roman"/>
          <w:b w:val="0"/>
          <w:bCs w:val="0"/>
          <w:sz w:val="32"/>
          <w:szCs w:val="32"/>
          <w:highlight w:val="none"/>
          <w:lang w:val="en-US" w:eastAsia="zh-CN"/>
        </w:rPr>
        <w:t>没有安排预算，</w:t>
      </w:r>
      <w:r>
        <w:rPr>
          <w:rFonts w:hint="default" w:ascii="Times New Roman" w:hAnsi="Times New Roman" w:eastAsia="楷体_GB2312" w:cs="Times New Roman"/>
          <w:b w:val="0"/>
          <w:bCs w:val="0"/>
          <w:sz w:val="32"/>
          <w:szCs w:val="32"/>
          <w:highlight w:val="none"/>
        </w:rPr>
        <w:t>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楷体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highlight w:val="none"/>
          <w:u w:val="single"/>
        </w:rPr>
      </w:pPr>
      <w:r>
        <w:rPr>
          <w:rFonts w:hint="default" w:ascii="Times New Roman" w:hAnsi="Times New Roman" w:eastAsia="楷体_GB2312" w:cs="Times New Roman"/>
          <w:b w:val="0"/>
          <w:bCs w:val="0"/>
          <w:sz w:val="32"/>
          <w:szCs w:val="32"/>
          <w:highlight w:val="none"/>
        </w:rPr>
        <w:t>（三）公务用车购置及运行维护费</w:t>
      </w:r>
      <w:r>
        <w:rPr>
          <w:rFonts w:hint="default" w:ascii="Times New Roman" w:hAnsi="Times New Roman" w:eastAsia="楷体_GB2312" w:cs="Times New Roman"/>
          <w:b w:val="0"/>
          <w:bCs w:val="0"/>
          <w:sz w:val="32"/>
          <w:szCs w:val="32"/>
          <w:highlight w:val="none"/>
          <w:lang w:val="en-US" w:eastAsia="zh-CN"/>
        </w:rPr>
        <w:t>没有安排预算，</w:t>
      </w:r>
      <w:r>
        <w:rPr>
          <w:rFonts w:hint="default" w:ascii="Times New Roman" w:hAnsi="Times New Roman" w:eastAsia="楷体_GB2312" w:cs="Times New Roman"/>
          <w:b w:val="0"/>
          <w:bCs w:val="0"/>
          <w:sz w:val="32"/>
          <w:szCs w:val="32"/>
          <w:highlight w:val="none"/>
        </w:rPr>
        <w:t>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楷体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单位现有公务用车0辆。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2022年安排公务用车购置费0万元。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宋体" w:cs="Times New Roman"/>
          <w:b w:val="0"/>
          <w:bCs w:val="0"/>
          <w:sz w:val="28"/>
          <w:szCs w:val="28"/>
          <w:highlight w:val="none"/>
        </w:rPr>
      </w:pPr>
      <w:r>
        <w:rPr>
          <w:rFonts w:hint="default" w:ascii="Times New Roman" w:hAnsi="Times New Roman" w:eastAsia="仿宋_GB2312" w:cs="Times New Roman"/>
          <w:b w:val="0"/>
          <w:bCs w:val="0"/>
          <w:color w:val="000000"/>
          <w:sz w:val="32"/>
          <w:szCs w:val="32"/>
          <w:highlight w:val="none"/>
        </w:rPr>
        <w:t>2022年安排公务用车运行维护费0万元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lang w:val="en-US" w:eastAsia="zh-CN"/>
        </w:rPr>
        <w:t>八</w:t>
      </w:r>
      <w:r>
        <w:rPr>
          <w:rFonts w:hint="default" w:ascii="Times New Roman" w:hAnsi="Times New Roman" w:eastAsia="黑体" w:cs="Times New Roman"/>
          <w:b w:val="0"/>
          <w:bCs w:val="0"/>
          <w:highlight w:val="none"/>
        </w:rPr>
        <w:t>、“会议费”、“培训费”、“差旅费”财政拨款预算安排情况说明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遂宁市船山区保升乡初级中学校2022年“会议费”“培训费”“差旅费”财政拨款预算数0万元，其中：会议费0万元，培训费0万元，差旅费0万元。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highlight w:val="none"/>
          <w:u w:val="single"/>
        </w:rPr>
      </w:pPr>
      <w:r>
        <w:rPr>
          <w:rFonts w:hint="default" w:ascii="Times New Roman" w:hAnsi="Times New Roman" w:eastAsia="楷体_GB2312" w:cs="Times New Roman"/>
          <w:b w:val="0"/>
          <w:bCs w:val="0"/>
          <w:sz w:val="32"/>
          <w:szCs w:val="32"/>
          <w:highlight w:val="none"/>
        </w:rPr>
        <w:t>（一）会议费较上年预算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仿宋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（二）培训费较上年预算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仿宋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r>
        <w:rPr>
          <w:rFonts w:hint="default" w:ascii="Times New Roman" w:hAnsi="Times New Roman" w:eastAsia="楷体_GB2312" w:cs="Times New Roman"/>
          <w:b w:val="0"/>
          <w:bCs w:val="0"/>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宋体" w:cs="Times New Roman"/>
          <w:b w:val="0"/>
          <w:bCs w:val="0"/>
          <w:sz w:val="28"/>
          <w:szCs w:val="28"/>
          <w:highlight w:val="none"/>
        </w:rPr>
      </w:pPr>
      <w:r>
        <w:rPr>
          <w:rFonts w:hint="default" w:ascii="Times New Roman" w:hAnsi="Times New Roman" w:eastAsia="楷体_GB2312" w:cs="Times New Roman"/>
          <w:b w:val="0"/>
          <w:bCs w:val="0"/>
          <w:sz w:val="32"/>
          <w:szCs w:val="32"/>
          <w:highlight w:val="none"/>
        </w:rPr>
        <w:t>（三）差旅费较上年预算</w:t>
      </w:r>
      <w:r>
        <w:rPr>
          <w:rFonts w:hint="default" w:ascii="Times New Roman" w:hAnsi="Times New Roman" w:eastAsia="楷体_GB2312" w:cs="Times New Roman"/>
          <w:b w:val="0"/>
          <w:bCs w:val="0"/>
          <w:sz w:val="32"/>
          <w:szCs w:val="32"/>
          <w:highlight w:val="none"/>
          <w:u w:val="single"/>
        </w:rPr>
        <w:t>与</w:t>
      </w:r>
      <w:r>
        <w:rPr>
          <w:rFonts w:hint="default" w:ascii="Times New Roman" w:hAnsi="Times New Roman" w:eastAsia="仿宋_GB2312" w:cs="Times New Roman"/>
          <w:b w:val="0"/>
          <w:bCs w:val="0"/>
          <w:sz w:val="32"/>
          <w:szCs w:val="32"/>
          <w:highlight w:val="none"/>
        </w:rPr>
        <w:t>上年</w:t>
      </w:r>
      <w:r>
        <w:rPr>
          <w:rFonts w:hint="default" w:ascii="Times New Roman" w:hAnsi="Times New Roman" w:eastAsia="楷体_GB2312" w:cs="Times New Roman"/>
          <w:b w:val="0"/>
          <w:bCs w:val="0"/>
          <w:sz w:val="32"/>
          <w:szCs w:val="32"/>
          <w:highlight w:val="none"/>
          <w:u w:val="single"/>
        </w:rPr>
        <w:t>预算持平</w:t>
      </w:r>
      <w:r>
        <w:rPr>
          <w:rFonts w:hint="default" w:ascii="Times New Roman" w:hAnsi="Times New Roman" w:eastAsia="楷体_GB2312" w:cs="Times New Roman"/>
          <w:b w:val="0"/>
          <w:bCs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lang w:val="en-US" w:eastAsia="zh-CN"/>
        </w:rPr>
        <w:t>九</w:t>
      </w:r>
      <w:r>
        <w:rPr>
          <w:rFonts w:hint="default" w:ascii="Times New Roman" w:hAnsi="Times New Roman" w:eastAsia="黑体" w:cs="Times New Roman"/>
          <w:b w:val="0"/>
          <w:bCs w:val="0"/>
          <w:highlight w:val="none"/>
        </w:rPr>
        <w:t>、政府性基金预算支出情况说明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遂宁市船山区保升乡初级中学校2022年没有使用政府性基金预算拨款安排的支出。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lang w:val="en-US" w:eastAsia="zh-CN"/>
        </w:rPr>
        <w:t>十</w:t>
      </w:r>
      <w:r>
        <w:rPr>
          <w:rFonts w:hint="default" w:ascii="Times New Roman" w:hAnsi="Times New Roman" w:eastAsia="黑体" w:cs="Times New Roman"/>
          <w:b w:val="0"/>
          <w:bCs w:val="0"/>
          <w:highlight w:val="none"/>
        </w:rPr>
        <w:t>、国有资本经营预算支出情况说明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sz w:val="28"/>
          <w:szCs w:val="28"/>
          <w:highlight w:val="none"/>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遂宁市船山区保升乡初级中学校2022年没有使用国有资本经营预算拨款安排的支出。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十</w:t>
      </w:r>
      <w:r>
        <w:rPr>
          <w:rFonts w:hint="default" w:ascii="Times New Roman" w:hAnsi="Times New Roman" w:eastAsia="黑体" w:cs="Times New Roman"/>
          <w:b w:val="0"/>
          <w:bCs w:val="0"/>
          <w:highlight w:val="none"/>
          <w:lang w:val="en-US" w:eastAsia="zh-CN"/>
        </w:rPr>
        <w:t>一</w:t>
      </w:r>
      <w:r>
        <w:rPr>
          <w:rFonts w:hint="default" w:ascii="Times New Roman" w:hAnsi="Times New Roman" w:eastAsia="黑体" w:cs="Times New Roman"/>
          <w:b w:val="0"/>
          <w:bCs w:val="0"/>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（一）机关运行经费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sz w:val="28"/>
          <w:szCs w:val="28"/>
          <w:highlight w:val="none"/>
        </w:rPr>
      </w:pPr>
      <w:r>
        <w:rPr>
          <w:rFonts w:hint="default" w:ascii="Times New Roman" w:hAnsi="Times New Roman" w:eastAsia="仿宋_GB2312" w:cs="Times New Roman"/>
          <w:b w:val="0"/>
          <w:bCs w:val="0"/>
          <w:color w:val="000000"/>
          <w:kern w:val="0"/>
          <w:sz w:val="32"/>
          <w:szCs w:val="32"/>
          <w:highlight w:val="none"/>
          <w:lang w:val="en-US" w:eastAsia="zh-CN" w:bidi="ar-SA"/>
        </w:rPr>
        <w:t>本部门均为事业单位，按规定未使用机关运行的相关科目。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（二）政府采购情况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遂宁市船山区保升乡初级中学校2022年无政府采购项目，未安排政府采购预算。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（三）国有资产占有使用情况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截至上年底，遂宁市船山区</w:t>
      </w:r>
      <w:r>
        <w:rPr>
          <w:rFonts w:hint="default" w:ascii="Times New Roman" w:hAnsi="Times New Roman" w:eastAsia="仿宋_GB2312" w:cs="Times New Roman"/>
          <w:b w:val="0"/>
          <w:bCs w:val="0"/>
          <w:color w:val="000000"/>
          <w:sz w:val="32"/>
          <w:szCs w:val="32"/>
          <w:highlight w:val="none"/>
          <w:lang w:val="en-US" w:eastAsia="zh-CN"/>
        </w:rPr>
        <w:t>保升乡初级中学校</w:t>
      </w:r>
      <w:r>
        <w:rPr>
          <w:rFonts w:hint="default" w:ascii="Times New Roman" w:hAnsi="Times New Roman" w:eastAsia="仿宋_GB2312" w:cs="Times New Roman"/>
          <w:b w:val="0"/>
          <w:bCs w:val="0"/>
          <w:color w:val="000000"/>
          <w:sz w:val="32"/>
          <w:szCs w:val="32"/>
          <w:highlight w:val="none"/>
        </w:rPr>
        <w:t>共有车辆0辆，其中，地厅级领导干部用车0辆、定向保障用车0辆、执法执勤用车0辆。单位价值200万元以上大型设备0台（套）。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202</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年部门预算未安排购置车辆及单位价值200万元以上大型设备。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楷体_GB2312" w:cs="Times New Roman"/>
          <w:b w:val="0"/>
          <w:bCs w:val="0"/>
          <w:kern w:val="0"/>
          <w:sz w:val="32"/>
          <w:szCs w:val="32"/>
          <w:highlight w:val="none"/>
          <w:lang w:val="en-US" w:eastAsia="zh-CN" w:bidi="ar-SA"/>
        </w:rPr>
      </w:pPr>
      <w:r>
        <w:rPr>
          <w:rStyle w:val="9"/>
          <w:rFonts w:hint="default" w:ascii="Times New Roman" w:hAnsi="Times New Roman" w:eastAsia="楷体_GB2312" w:cs="Times New Roman"/>
          <w:b w:val="0"/>
          <w:bCs w:val="0"/>
          <w:kern w:val="0"/>
          <w:sz w:val="32"/>
          <w:szCs w:val="32"/>
          <w:highlight w:val="none"/>
          <w:lang w:val="en-US" w:eastAsia="zh-CN" w:bidi="ar-SA"/>
        </w:rPr>
        <w:t>（四）绩效目标设置情况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绩效目标是预算编制的前提和基础，按照“费随事定”的原则，2022年遂宁市船山区保升乡初级中学校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十</w:t>
      </w:r>
      <w:r>
        <w:rPr>
          <w:rFonts w:hint="default" w:ascii="Times New Roman" w:hAnsi="Times New Roman" w:eastAsia="黑体" w:cs="Times New Roman"/>
          <w:b w:val="0"/>
          <w:bCs w:val="0"/>
          <w:highlight w:val="none"/>
          <w:lang w:val="en-US" w:eastAsia="zh-CN"/>
        </w:rPr>
        <w:t>二</w:t>
      </w:r>
      <w:r>
        <w:rPr>
          <w:rFonts w:hint="default" w:ascii="Times New Roman" w:hAnsi="Times New Roman" w:eastAsia="黑体" w:cs="Times New Roman"/>
          <w:b w:val="0"/>
          <w:bCs w:val="0"/>
          <w:highlight w:val="none"/>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1.部门预算：指政府部门依据国家有关法律、法规、政策及其履行职能需要，编制的反应政府各部门所有收入和支出情况的年度财政收入预算。部门预算由本部门及其所属各单位预算组成，由基层预算单位开始编制，逐级上报、审核、汇总，经财政部门审核，提交立法机构依法批准后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2.一般公共预算拨款收入：指市本级财政当年拨付的资金。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3.其他收入：指除财政拨款收入、事业收入、经营收入以外的收入。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4.上年结转：指以前年度尚未完成，结转到本年仍按原规定用途继续使用的资金。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5.基本支出：指为保证机构正常运转，完成日常工作任务而发生的人员支出和公用支出。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6.项目支出：指在基本支出之外为完成特定行政任务和事业发展目标所发生的支出。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7.“三公”经费：纳入单位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部门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8.商品服务支出：反映单位购买商品和服务的支出（不包括用于购置固定资产的支出、战略性和应急储备支出）。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9、工资福利支出：反映单位开支的在职职工和编制外长期聘用人员的各类劳动报酬，以及为上述人员缴纳的各项社会保险等。</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华文中宋"/>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AyMGRhYWM5NjNhNmVhZjU3ZTc5OWY4NzQxOTg3ZWIifQ=="/>
  </w:docVars>
  <w:rsids>
    <w:rsidRoot w:val="00B66465"/>
    <w:rsid w:val="00280E7C"/>
    <w:rsid w:val="00801BA2"/>
    <w:rsid w:val="00A9005F"/>
    <w:rsid w:val="00B66465"/>
    <w:rsid w:val="00D348C2"/>
    <w:rsid w:val="00EB0143"/>
    <w:rsid w:val="019417B6"/>
    <w:rsid w:val="054A2927"/>
    <w:rsid w:val="0BE21DB5"/>
    <w:rsid w:val="0D6777DF"/>
    <w:rsid w:val="104F1471"/>
    <w:rsid w:val="1A6C52EC"/>
    <w:rsid w:val="21BF0E59"/>
    <w:rsid w:val="2C8E505A"/>
    <w:rsid w:val="2CD42313"/>
    <w:rsid w:val="39A30EC8"/>
    <w:rsid w:val="3DE921B2"/>
    <w:rsid w:val="413D44E6"/>
    <w:rsid w:val="4AFE6F1E"/>
    <w:rsid w:val="5E36168D"/>
    <w:rsid w:val="6C7B0BE7"/>
    <w:rsid w:val="763C3840"/>
    <w:rsid w:val="D550F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szCs w:val="32"/>
    </w:rPr>
  </w:style>
  <w:style w:type="paragraph" w:styleId="3">
    <w:name w:val="Body Text"/>
    <w:basedOn w:val="1"/>
    <w:link w:val="11"/>
    <w:qFormat/>
    <w:uiPriority w:val="0"/>
    <w:pPr>
      <w:suppressAutoHyphens/>
      <w:spacing w:after="140" w:line="276" w:lineRule="auto"/>
    </w:pPr>
    <w:rPr>
      <w:rFonts w:ascii="Calibri" w:hAnsi="Calibri" w:eastAsia="宋体"/>
      <w:sz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uppressAutoHyphens/>
      <w:spacing w:before="100" w:beforeAutospacing="1" w:after="100" w:afterAutospacing="1"/>
      <w:jc w:val="left"/>
    </w:pPr>
    <w:rPr>
      <w:rFonts w:ascii="Calibri" w:hAnsi="Calibri" w:eastAsia="宋体"/>
      <w:kern w:val="0"/>
      <w:sz w:val="24"/>
    </w:rPr>
  </w:style>
  <w:style w:type="character" w:styleId="9">
    <w:name w:val="Strong"/>
    <w:qFormat/>
    <w:uiPriority w:val="0"/>
    <w:rPr>
      <w:b/>
    </w:rPr>
  </w:style>
  <w:style w:type="character" w:styleId="10">
    <w:name w:val="page number"/>
    <w:basedOn w:val="8"/>
    <w:qFormat/>
    <w:uiPriority w:val="0"/>
  </w:style>
  <w:style w:type="character" w:customStyle="1" w:styleId="11">
    <w:name w:val="正文文本 Char"/>
    <w:basedOn w:val="8"/>
    <w:link w:val="3"/>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3560</Words>
  <Characters>3860</Characters>
  <Lines>28</Lines>
  <Paragraphs>8</Paragraphs>
  <TotalTime>6</TotalTime>
  <ScaleCrop>false</ScaleCrop>
  <LinksUpToDate>false</LinksUpToDate>
  <CharactersWithSpaces>3867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2022-06-05T15:03:00Z</dcterms:created>
  <dc:creator>lw</dc:creator>
  <cp:lastModifiedBy>x</cp:lastModifiedBy>
  <dcterms:modified xsi:type="dcterms:W3CDTF">2023-09-25T07:27:40Z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088379258B1C4A4BAC5D74B057F96D92</vt:lpwstr>
  </property>
</Properties>
</file>