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75" w:beforeAutospacing="0" w:after="75" w:afterAutospacing="0"/>
        <w:jc w:val="center"/>
        <w:rPr>
          <w:rStyle w:val="8"/>
          <w:rFonts w:ascii="黑体" w:hAnsi="黑体" w:eastAsia="黑体" w:cs="方正小标宋简体"/>
          <w:sz w:val="52"/>
          <w:szCs w:val="52"/>
        </w:rPr>
      </w:pPr>
      <w:r>
        <w:rPr>
          <w:rStyle w:val="8"/>
          <w:rFonts w:hint="eastAsia" w:ascii="黑体" w:hAnsi="黑体" w:eastAsia="黑体" w:cs="方正小标宋简体"/>
          <w:sz w:val="52"/>
          <w:szCs w:val="52"/>
        </w:rPr>
        <w:t>遂宁市船山区鹭栖湖学校</w:t>
      </w:r>
    </w:p>
    <w:p>
      <w:pPr>
        <w:pStyle w:val="5"/>
        <w:widowControl/>
        <w:spacing w:before="75" w:beforeAutospacing="0" w:after="75" w:afterAutospacing="0"/>
        <w:jc w:val="center"/>
        <w:rPr>
          <w:rFonts w:ascii="黑体" w:hAnsi="黑体" w:eastAsia="黑体" w:cs="sans-serif"/>
          <w:b/>
          <w:sz w:val="52"/>
          <w:szCs w:val="52"/>
        </w:rPr>
      </w:pPr>
      <w:r>
        <w:rPr>
          <w:rStyle w:val="8"/>
          <w:rFonts w:hint="eastAsia" w:ascii="黑体" w:hAnsi="黑体" w:eastAsia="黑体" w:cs="方正小标宋简体"/>
          <w:sz w:val="52"/>
          <w:szCs w:val="52"/>
        </w:rPr>
        <w:t>2022</w:t>
      </w:r>
      <w:r>
        <w:rPr>
          <w:rFonts w:hint="eastAsia" w:ascii="黑体" w:hAnsi="黑体" w:eastAsia="黑体" w:cs="方正小标宋简体"/>
          <w:b/>
          <w:sz w:val="52"/>
          <w:szCs w:val="52"/>
        </w:rPr>
        <w:t>年单位预算</w:t>
      </w:r>
    </w:p>
    <w:p>
      <w:pPr>
        <w:pStyle w:val="5"/>
        <w:widowControl/>
        <w:spacing w:before="75" w:beforeAutospacing="0" w:after="75" w:afterAutospacing="0"/>
        <w:jc w:val="center"/>
        <w:rPr>
          <w:rFonts w:ascii="sans-serif" w:hAnsi="sans-serif" w:eastAsia="sans-serif" w:cs="sans-serif"/>
          <w:color w:val="000000"/>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sans-serif" w:cs="Times New Roman"/>
          <w:b w:val="0"/>
          <w:bCs w:val="0"/>
          <w:color w:val="000000"/>
        </w:rPr>
      </w:pPr>
      <w:bookmarkStart w:id="0" w:name="_GoBack"/>
      <w:r>
        <w:rPr>
          <w:rFonts w:hint="default" w:ascii="Times New Roman" w:hAnsi="Times New Roman" w:eastAsia="黑体" w:cs="Times New Roman"/>
          <w:b w:val="0"/>
          <w:bCs w:val="0"/>
          <w:color w:val="000000"/>
          <w:sz w:val="32"/>
          <w:szCs w:val="32"/>
        </w:rPr>
        <w:t>目 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sans-serif" w:cs="Times New Roman"/>
          <w:b w:val="0"/>
          <w:bCs w:val="0"/>
          <w:color w:val="000000"/>
        </w:rPr>
      </w:pPr>
      <w:r>
        <w:rPr>
          <w:rFonts w:hint="default" w:ascii="Times New Roman" w:hAnsi="Times New Roman" w:eastAsia="黑体" w:cs="Times New Roman"/>
          <w:b w:val="0"/>
          <w:bCs w:val="0"/>
          <w:color w:val="000000"/>
          <w:sz w:val="32"/>
          <w:szCs w:val="32"/>
        </w:rPr>
        <w:t>第一部分 单位预算编制说明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lang w:eastAsia="zh-CN"/>
        </w:rPr>
      </w:pPr>
      <w:r>
        <w:rPr>
          <w:rFonts w:hint="default" w:ascii="Times New Roman" w:hAnsi="Times New Roman" w:eastAsia="仿宋_GB2312" w:cs="Times New Roman"/>
          <w:b w:val="0"/>
          <w:bCs w:val="0"/>
          <w:color w:val="000000"/>
          <w:sz w:val="32"/>
          <w:szCs w:val="32"/>
        </w:rPr>
        <w:t>一、基本职能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主要工作及</w:t>
      </w:r>
      <w:r>
        <w:rPr>
          <w:rFonts w:hint="default" w:ascii="Times New Roman" w:hAnsi="Times New Roman" w:eastAsia="仿宋_GB2312" w:cs="Times New Roman"/>
          <w:b w:val="0"/>
          <w:bCs w:val="0"/>
          <w:color w:val="000000"/>
          <w:sz w:val="32"/>
          <w:szCs w:val="32"/>
          <w:lang w:eastAsia="zh-CN"/>
        </w:rPr>
        <w:t>机构设置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二、收支预算情况说明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三、财政拨款收支预算情况说明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四、一般公共预算当年拨款情况说明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五、一般公共预算基本支出情况说明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六、“三公”经费财政拨款预算安排情况说明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七、“会议费”“培训费”“差旅费”财政拨款预算安排情况说明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八、政府性基金预算支出情况说明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九、国有资本经营预算支出情况说明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十、其他重要事项的情况说明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十一、名词解释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sans-serif" w:cs="Times New Roman"/>
          <w:b w:val="0"/>
          <w:bCs w:val="0"/>
          <w:color w:val="000000"/>
        </w:rPr>
      </w:pPr>
      <w:r>
        <w:rPr>
          <w:rFonts w:hint="default" w:ascii="Times New Roman" w:hAnsi="Times New Roman" w:eastAsia="黑体" w:cs="Times New Roman"/>
          <w:b w:val="0"/>
          <w:bCs w:val="0"/>
          <w:color w:val="000000"/>
          <w:sz w:val="32"/>
          <w:szCs w:val="32"/>
        </w:rPr>
        <w:t>第二部分单位预算相关报表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表1.单位收支总表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表1-1.单位收入总表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表1-2.单位支出总表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表2.财政拨款收支预算总表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表2-1.财政拨款支出预算表（部门经济分类科目）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表3.一般公共预算支出预算表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表3-1.一般公共预算基本支出预算表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表3-2.一般公共预算项目支出预算表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表3-3.一般公共预算“三公”经费支出预算表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表4.政府性基金支出预算表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表4-1.政府性基金预算“三公”经费支出预算表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表5.国有资本经营预算支出预算表</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第三部分单位预算绩效目标表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表1.单位整体支出绩效目标表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r>
        <w:rPr>
          <w:rFonts w:hint="default" w:ascii="Times New Roman" w:hAnsi="Times New Roman" w:eastAsia="仿宋_GB2312" w:cs="Times New Roman"/>
          <w:b w:val="0"/>
          <w:bCs w:val="0"/>
          <w:color w:val="000000"/>
          <w:sz w:val="32"/>
          <w:szCs w:val="32"/>
        </w:rPr>
        <w:t>表2.单位预算项目支出绩效目标表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eastAsiaTheme="minorEastAsia"/>
          <w:b w:val="0"/>
          <w:bCs w:val="0"/>
          <w:sz w:val="52"/>
          <w:szCs w:val="52"/>
        </w:rPr>
      </w:pPr>
      <w:r>
        <w:rPr>
          <w:rStyle w:val="8"/>
          <w:rFonts w:hint="default" w:ascii="Times New Roman" w:hAnsi="Times New Roman" w:cs="Times New Roman" w:eastAsiaTheme="minorEastAsia"/>
          <w:b w:val="0"/>
          <w:bCs w:val="0"/>
          <w:sz w:val="52"/>
          <w:szCs w:val="52"/>
        </w:rPr>
        <w:t>遂宁市船山区鹭栖湖学校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eastAsiaTheme="minorEastAsia"/>
          <w:b w:val="0"/>
          <w:bCs w:val="0"/>
          <w:sz w:val="52"/>
          <w:szCs w:val="52"/>
        </w:rPr>
      </w:pPr>
      <w:r>
        <w:rPr>
          <w:rStyle w:val="8"/>
          <w:rFonts w:hint="default" w:ascii="Times New Roman" w:hAnsi="Times New Roman" w:cs="Times New Roman" w:eastAsiaTheme="minorEastAsia"/>
          <w:b w:val="0"/>
          <w:bCs w:val="0"/>
          <w:sz w:val="52"/>
          <w:szCs w:val="52"/>
        </w:rPr>
        <w:t>2022</w:t>
      </w:r>
      <w:r>
        <w:rPr>
          <w:rFonts w:hint="default" w:ascii="Times New Roman" w:hAnsi="Times New Roman" w:cs="Times New Roman" w:eastAsiaTheme="minorEastAsia"/>
          <w:b w:val="0"/>
          <w:bCs w:val="0"/>
          <w:sz w:val="52"/>
          <w:szCs w:val="52"/>
        </w:rPr>
        <w:t>年单位预算编制说明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一、基本职能</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主要工作及机构设置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（一）遂宁市船山区鹭栖湖学校职能简介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rPr>
        <w:t>实施中小学义务教育，促进基础教育发展，负责中小学学历教育和相关社会服务。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Style w:val="8"/>
          <w:rFonts w:hint="default" w:ascii="Times New Roman" w:hAnsi="Times New Roman" w:eastAsia="楷体_GB2312" w:cs="Times New Roman"/>
          <w:b w:val="0"/>
          <w:bCs w:val="0"/>
          <w:sz w:val="32"/>
          <w:szCs w:val="32"/>
        </w:rPr>
      </w:pPr>
      <w:r>
        <w:rPr>
          <w:rStyle w:val="8"/>
          <w:rFonts w:hint="default" w:ascii="Times New Roman" w:hAnsi="Times New Roman" w:eastAsia="楷体_GB2312" w:cs="Times New Roman"/>
          <w:b w:val="0"/>
          <w:bCs w:val="0"/>
          <w:sz w:val="32"/>
          <w:szCs w:val="32"/>
        </w:rPr>
        <w:t>（二）遂宁市船山区鹭栖湖学校2022年重点工作【简介】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rPr>
        <w:t>一是</w:t>
      </w:r>
      <w:r>
        <w:rPr>
          <w:rFonts w:hint="default" w:ascii="Times New Roman" w:hAnsi="Times New Roman" w:cs="Times New Roman"/>
          <w:b w:val="0"/>
          <w:bCs w:val="0"/>
          <w:szCs w:val="32"/>
        </w:rPr>
        <w:t>完成学校基本建设结算审计以及2个子项目的审计，确保工程尾款和设备采购尾款的支付。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二是加快架空层改造工程（二期）的实施及相关设备的采购工作，确保9月新生入学。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三是努力实施新教师的岗位培训和家长的合格培训。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四是重视德育工作，重点突出学生养成习惯和文明礼仪习惯的培养。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五是抓好教育教学常规工作，开展丰富多彩的文艺、体育、社团活动，促进学生全面发展。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六是采取多种形式，开展丰富多彩、内容全覆盖的安全教育，提升师生安全意识、</w:t>
      </w:r>
      <w:r>
        <w:rPr>
          <w:rFonts w:hint="eastAsia" w:cs="Times New Roman"/>
          <w:b w:val="0"/>
          <w:bCs w:val="0"/>
          <w:szCs w:val="32"/>
          <w:lang w:val="en-US" w:eastAsia="zh-CN"/>
        </w:rPr>
        <w:t>增强</w:t>
      </w:r>
      <w:r>
        <w:rPr>
          <w:rFonts w:hint="default" w:ascii="Times New Roman" w:hAnsi="Times New Roman" w:cs="Times New Roman"/>
          <w:b w:val="0"/>
          <w:bCs w:val="0"/>
          <w:szCs w:val="32"/>
        </w:rPr>
        <w:t>安全知识。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（三）机构设置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遂宁市船山区鹭栖湖学校为公益一类事业单位，是一级预算单位。单位内设教导处、教研室、德育处、后勤处等部门，无下属二级预算单位。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二、收支预算情况说明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szCs w:val="32"/>
        </w:rPr>
        <w:t>按照综合预算的原则，</w:t>
      </w:r>
      <w:r>
        <w:rPr>
          <w:rFonts w:hint="default" w:ascii="Times New Roman" w:hAnsi="Times New Roman" w:cs="Times New Roman"/>
          <w:b w:val="0"/>
          <w:bCs w:val="0"/>
        </w:rPr>
        <w:t>遂宁市船山区鹭栖湖学校</w:t>
      </w:r>
      <w:r>
        <w:rPr>
          <w:rFonts w:hint="default" w:ascii="Times New Roman" w:hAnsi="Times New Roman" w:cs="Times New Roman"/>
          <w:b w:val="0"/>
          <w:bCs w:val="0"/>
          <w:szCs w:val="32"/>
        </w:rPr>
        <w:t>所有收入和支出均纳入部门预算管理。收入包括：一般公共预算拨款收入；支出包括：教育支出、社会保障和就业支出、卫生健康支出、住房保障支出。</w:t>
      </w:r>
      <w:r>
        <w:rPr>
          <w:rFonts w:hint="default" w:ascii="Times New Roman" w:hAnsi="Times New Roman" w:cs="Times New Roman"/>
          <w:b w:val="0"/>
          <w:bCs w:val="0"/>
        </w:rPr>
        <w:t>遂宁市船山区鹭栖湖学校2022</w:t>
      </w:r>
      <w:r>
        <w:rPr>
          <w:rFonts w:hint="default" w:ascii="Times New Roman" w:hAnsi="Times New Roman" w:cs="Times New Roman"/>
          <w:b w:val="0"/>
          <w:bCs w:val="0"/>
          <w:szCs w:val="32"/>
        </w:rPr>
        <w:t>年收支总预算</w:t>
      </w:r>
      <w:r>
        <w:rPr>
          <w:rFonts w:hint="default" w:ascii="Times New Roman" w:hAnsi="Times New Roman" w:cs="Times New Roman"/>
          <w:b w:val="0"/>
          <w:bCs w:val="0"/>
        </w:rPr>
        <w:t>3284.24万元，较2021年收支预算总数2544.75万元增加739.49万元。主要原因为：1、物流港九年一贯制学校建设项目因施工结算增加378.59万元；2、学校自招生以来，办学规模逐年扩大，2022年教师人数比2021年增加32人，增加人员经费360.90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（一）收入预算情况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遂宁市船山区鹭栖湖学校2022年收入预算3284.24万元，其中：上年结转</w:t>
      </w:r>
      <w:r>
        <w:rPr>
          <w:rFonts w:hint="default" w:ascii="Times New Roman" w:hAnsi="Times New Roman" w:eastAsia="楷体_GB2312" w:cs="Times New Roman"/>
          <w:b w:val="0"/>
          <w:bCs w:val="0"/>
        </w:rPr>
        <w:t>0</w:t>
      </w:r>
      <w:r>
        <w:rPr>
          <w:rFonts w:hint="default" w:ascii="Times New Roman" w:hAnsi="Times New Roman" w:cs="Times New Roman"/>
          <w:b w:val="0"/>
          <w:bCs w:val="0"/>
        </w:rPr>
        <w:t>万元，占</w:t>
      </w:r>
      <w:r>
        <w:rPr>
          <w:rFonts w:hint="default" w:ascii="Times New Roman" w:hAnsi="Times New Roman" w:eastAsia="楷体_GB2312" w:cs="Times New Roman"/>
          <w:b w:val="0"/>
          <w:bCs w:val="0"/>
        </w:rPr>
        <w:t>0</w:t>
      </w:r>
      <w:r>
        <w:rPr>
          <w:rFonts w:hint="default" w:ascii="Times New Roman" w:hAnsi="Times New Roman" w:cs="Times New Roman"/>
          <w:b w:val="0"/>
          <w:bCs w:val="0"/>
        </w:rPr>
        <w:t>%；一般公共预算拨款收入3284.24万元，占</w:t>
      </w:r>
      <w:r>
        <w:rPr>
          <w:rFonts w:hint="default" w:ascii="Times New Roman" w:hAnsi="Times New Roman" w:eastAsia="楷体_GB2312" w:cs="Times New Roman"/>
          <w:b w:val="0"/>
          <w:bCs w:val="0"/>
        </w:rPr>
        <w:t>100</w:t>
      </w:r>
      <w:r>
        <w:rPr>
          <w:rFonts w:hint="default" w:ascii="Times New Roman" w:hAnsi="Times New Roman" w:cs="Times New Roman"/>
          <w:b w:val="0"/>
          <w:bCs w:val="0"/>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（二）支出预算情况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遂宁市船山区鹭栖湖学校2022年支出预算3284.24万元，其中：基本支出</w:t>
      </w:r>
      <w:r>
        <w:rPr>
          <w:rFonts w:hint="default" w:ascii="Times New Roman" w:hAnsi="Times New Roman" w:eastAsia="楷体_GB2312" w:cs="Times New Roman"/>
          <w:b w:val="0"/>
          <w:bCs w:val="0"/>
        </w:rPr>
        <w:t>1065.96</w:t>
      </w:r>
      <w:r>
        <w:rPr>
          <w:rFonts w:hint="default" w:ascii="Times New Roman" w:hAnsi="Times New Roman" w:cs="Times New Roman"/>
          <w:b w:val="0"/>
          <w:bCs w:val="0"/>
        </w:rPr>
        <w:t>万元，占</w:t>
      </w:r>
      <w:r>
        <w:rPr>
          <w:rFonts w:hint="default" w:ascii="Times New Roman" w:hAnsi="Times New Roman" w:eastAsia="楷体_GB2312" w:cs="Times New Roman"/>
          <w:b w:val="0"/>
          <w:bCs w:val="0"/>
        </w:rPr>
        <w:t>32.46</w:t>
      </w:r>
      <w:r>
        <w:rPr>
          <w:rFonts w:hint="default" w:ascii="Times New Roman" w:hAnsi="Times New Roman" w:cs="Times New Roman"/>
          <w:b w:val="0"/>
          <w:bCs w:val="0"/>
        </w:rPr>
        <w:t>%；项目支出</w:t>
      </w:r>
      <w:r>
        <w:rPr>
          <w:rFonts w:hint="default" w:ascii="Times New Roman" w:hAnsi="Times New Roman" w:eastAsia="楷体_GB2312" w:cs="Times New Roman"/>
          <w:b w:val="0"/>
          <w:bCs w:val="0"/>
        </w:rPr>
        <w:t>2218.29</w:t>
      </w:r>
      <w:r>
        <w:rPr>
          <w:rFonts w:hint="default" w:ascii="Times New Roman" w:hAnsi="Times New Roman" w:cs="Times New Roman"/>
          <w:b w:val="0"/>
          <w:bCs w:val="0"/>
        </w:rPr>
        <w:t>万元，占</w:t>
      </w:r>
      <w:r>
        <w:rPr>
          <w:rFonts w:hint="default" w:ascii="Times New Roman" w:hAnsi="Times New Roman" w:eastAsia="楷体_GB2312" w:cs="Times New Roman"/>
          <w:b w:val="0"/>
          <w:bCs w:val="0"/>
        </w:rPr>
        <w:t>67.54</w:t>
      </w:r>
      <w:r>
        <w:rPr>
          <w:rFonts w:hint="default" w:ascii="Times New Roman" w:hAnsi="Times New Roman" w:cs="Times New Roman"/>
          <w:b w:val="0"/>
          <w:bCs w:val="0"/>
        </w:rPr>
        <w:t>%。具体项目为物流港九年一贯制学校建设项目部分前期费用、工程款及设备购置款支出。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三、财政拨款收支预算情况说明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Style w:val="8"/>
          <w:rFonts w:hint="default" w:ascii="Times New Roman" w:hAnsi="Times New Roman" w:cs="Times New Roman"/>
          <w:b w:val="0"/>
          <w:bCs w:val="0"/>
          <w:szCs w:val="32"/>
        </w:rPr>
        <w:t>遂宁市船山区鹭栖湖学校2022</w:t>
      </w:r>
      <w:r>
        <w:rPr>
          <w:rFonts w:hint="default" w:ascii="Times New Roman" w:hAnsi="Times New Roman" w:cs="Times New Roman"/>
          <w:b w:val="0"/>
          <w:bCs w:val="0"/>
          <w:szCs w:val="32"/>
        </w:rPr>
        <w:t>年财政拨款收支预算总数</w:t>
      </w:r>
      <w:r>
        <w:rPr>
          <w:rFonts w:hint="default" w:ascii="Times New Roman" w:hAnsi="Times New Roman" w:cs="Times New Roman"/>
          <w:b w:val="0"/>
          <w:bCs w:val="0"/>
        </w:rPr>
        <w:t>3284.24万元，较2021年</w:t>
      </w:r>
      <w:r>
        <w:rPr>
          <w:rFonts w:hint="default" w:ascii="Times New Roman" w:hAnsi="Times New Roman" w:cs="Times New Roman"/>
          <w:b w:val="0"/>
          <w:bCs w:val="0"/>
          <w:szCs w:val="32"/>
        </w:rPr>
        <w:t>财政拨款</w:t>
      </w:r>
      <w:r>
        <w:rPr>
          <w:rFonts w:hint="default" w:ascii="Times New Roman" w:hAnsi="Times New Roman" w:cs="Times New Roman"/>
          <w:b w:val="0"/>
          <w:bCs w:val="0"/>
        </w:rPr>
        <w:t>收支预算总数增加739.49万元。主要原因为：1、物流港九年一贯制学校建设项目增加378.59万元；2、学校自招生以来，办学规模逐年扩大，2022年教师人数比2021年增加32人，增加人员经费360.90万元。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收入包括：本年一般公共预算拨款收入3284.24万元；支出包括：教育支出2943.92万元、社会保障和就业支出161.30万元、卫生健康支出69.95万元、住房保障支出109.08万元。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四、一般公共预算当年拨款情况说明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遂宁市船山区鹭栖湖学校2022年一般公共预算3284.24万元，较2021年一般公共预算总数增加739.49万元。其中：1、物流港九年一贯制学校建设项目增加378.59万元；2、学校自招生以来，办学规模逐年扩大，2022年教师人数比2021年增加32人，增加人员经费360.90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教育支出2943.92万元，占89.64%；社会保障和就业支出161.30万元，占</w:t>
      </w:r>
      <w:r>
        <w:rPr>
          <w:rFonts w:hint="default" w:ascii="Times New Roman" w:hAnsi="Times New Roman" w:eastAsia="楷体_GB2312" w:cs="Times New Roman"/>
          <w:b w:val="0"/>
          <w:bCs w:val="0"/>
        </w:rPr>
        <w:t>4.91</w:t>
      </w:r>
      <w:r>
        <w:rPr>
          <w:rFonts w:hint="default" w:ascii="Times New Roman" w:hAnsi="Times New Roman" w:cs="Times New Roman"/>
          <w:b w:val="0"/>
          <w:bCs w:val="0"/>
        </w:rPr>
        <w:t>%；卫生健康支出69.95万元，占2.13%；住房保障支出109.08万元，占3.32%。</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（三）一般公共预算当年拨款具体使用情况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1. 教育支出（类）普通教育（款）小学教育（项）2022年预算数为2943.92万元，主要用于：基本工资、津补贴、绩效工资、其他工资福利支出、福利费、其他商品和服务支出、房屋建筑物构建、专用设备购置。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 社会保障和就业支出（类）行政事业单位养老保险（款）机关事业单位养老保险缴费支出（项）2022年预算数为103.23万元，主要用于：机关事业单位养老保险缴费。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3. 社会保障和就业支出（类）行政事业单位养老保险（款）机关事业单位职业年金缴费支出（项）2022年预算数为51.62万元，主要用于：机关事业单位职业年金缴费。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4. 社会保障和就业支出（类）其他社会保障和就业支出（款）其他社会保障和就业支出（项）2022年预算数为6.45万元，主要用于：工伤、失业等保险缴费。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5. 卫生健康支出（类）行政事业单位医疗（款）事业单位医疗（项）2022年预算数为55.73万元，主要用于：职工基本医疗保险缴费。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6. 卫生健康支出（类）行政事业单位医疗（款）公务员医疗补助（项）2022年预算数为14.22万元，主要用于：职工公务员医疗补助缴费。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7、住房保障支出（类）住房改革支出（款）住房公积金（项）2022年预算数为109.08万元，主要用于：职工住房公积金缴费。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五、一般公共预算基本支出情况说明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遂宁市船山区鹭栖湖学校2022年一般公共预算基本支出3284.24万元，其中：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人员经费1053.06万元，主要包括：基本工资、津贴补贴、绩效工资、机关事业单位基本养老保险缴费、基本医疗保险、公务员医疗补助、其他社会保障缴费、住房公积金、其他工资福利支出。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公用经费12.90万元，主要包括：福利费、其他商品和服务支出。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项目支出2218.29万元，主要包括：物流港九年一贯制学校建设项目部分前期费用、工程款、设备购置尾款支出。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六、“三公”经费财政拨款预算安排情况说明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sz w:val="32"/>
          <w:szCs w:val="32"/>
        </w:rPr>
        <w:t>遂宁市船山区鹭栖湖学校2022</w:t>
      </w:r>
      <w:r>
        <w:rPr>
          <w:rFonts w:hint="default" w:ascii="Times New Roman" w:hAnsi="Times New Roman" w:eastAsia="仿宋_GB2312" w:cs="Times New Roman"/>
          <w:b w:val="0"/>
          <w:bCs w:val="0"/>
          <w:sz w:val="32"/>
          <w:szCs w:val="32"/>
        </w:rPr>
        <w:t>年没有使用财政拨款安排“三公”经费预算。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24" w:leftChars="195"/>
        <w:textAlignment w:val="auto"/>
        <w:rPr>
          <w:rFonts w:hint="default" w:ascii="Times New Roman" w:hAnsi="Times New Roman" w:eastAsia="楷体_GB2312" w:cs="Times New Roman"/>
          <w:b w:val="0"/>
          <w:bCs w:val="0"/>
          <w:sz w:val="32"/>
          <w:szCs w:val="32"/>
          <w:u w:val="single"/>
        </w:rPr>
      </w:pPr>
      <w:r>
        <w:rPr>
          <w:rFonts w:hint="default" w:ascii="Times New Roman" w:hAnsi="Times New Roman" w:eastAsia="楷体_GB2312" w:cs="Times New Roman"/>
          <w:b w:val="0"/>
          <w:bCs w:val="0"/>
          <w:sz w:val="32"/>
          <w:szCs w:val="32"/>
        </w:rPr>
        <w:t>（一）因公出国（境）经费较上年预算</w:t>
      </w:r>
      <w:r>
        <w:rPr>
          <w:rFonts w:hint="default" w:ascii="Times New Roman" w:hAnsi="Times New Roman" w:eastAsia="楷体_GB2312" w:cs="Times New Roman"/>
          <w:b w:val="0"/>
          <w:bCs w:val="0"/>
          <w:sz w:val="32"/>
          <w:szCs w:val="32"/>
          <w:u w:val="single"/>
        </w:rPr>
        <w:t>与</w:t>
      </w:r>
      <w:r>
        <w:rPr>
          <w:rFonts w:hint="default" w:ascii="Times New Roman" w:hAnsi="Times New Roman" w:eastAsia="楷体_GB2312" w:cs="Times New Roman"/>
          <w:b w:val="0"/>
          <w:bCs w:val="0"/>
          <w:sz w:val="32"/>
          <w:szCs w:val="32"/>
        </w:rPr>
        <w:t>上年</w:t>
      </w:r>
      <w:r>
        <w:rPr>
          <w:rFonts w:hint="default" w:ascii="Times New Roman" w:hAnsi="Times New Roman" w:eastAsia="楷体_GB2312" w:cs="Times New Roman"/>
          <w:b w:val="0"/>
          <w:bCs w:val="0"/>
          <w:sz w:val="32"/>
          <w:szCs w:val="32"/>
          <w:u w:val="single"/>
        </w:rPr>
        <w:t>预算持平</w:t>
      </w:r>
      <w:r>
        <w:rPr>
          <w:rFonts w:hint="default" w:ascii="Times New Roman" w:hAnsi="Times New Roman" w:eastAsia="楷体_GB2312" w:cs="Times New Roman"/>
          <w:b w:val="0"/>
          <w:bCs w:val="0"/>
          <w:sz w:val="32"/>
          <w:szCs w:val="32"/>
        </w:rPr>
        <w:t>。（二）公务接待费较上年预算</w:t>
      </w:r>
      <w:r>
        <w:rPr>
          <w:rFonts w:hint="default" w:ascii="Times New Roman" w:hAnsi="Times New Roman" w:eastAsia="楷体_GB2312" w:cs="Times New Roman"/>
          <w:b w:val="0"/>
          <w:bCs w:val="0"/>
          <w:sz w:val="32"/>
          <w:szCs w:val="32"/>
          <w:u w:val="single"/>
        </w:rPr>
        <w:t>与</w:t>
      </w:r>
      <w:r>
        <w:rPr>
          <w:rFonts w:hint="default" w:ascii="Times New Roman" w:hAnsi="Times New Roman" w:eastAsia="楷体_GB2312" w:cs="Times New Roman"/>
          <w:b w:val="0"/>
          <w:bCs w:val="0"/>
          <w:sz w:val="32"/>
          <w:szCs w:val="32"/>
        </w:rPr>
        <w:t>上年</w:t>
      </w:r>
      <w:r>
        <w:rPr>
          <w:rFonts w:hint="default" w:ascii="Times New Roman" w:hAnsi="Times New Roman" w:eastAsia="楷体_GB2312" w:cs="Times New Roman"/>
          <w:b w:val="0"/>
          <w:bCs w:val="0"/>
          <w:sz w:val="32"/>
          <w:szCs w:val="32"/>
          <w:u w:val="single"/>
        </w:rPr>
        <w:t>预算持平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楷体_GB2312" w:cs="Times New Roman"/>
          <w:b w:val="0"/>
          <w:bCs w:val="0"/>
          <w:sz w:val="32"/>
          <w:szCs w:val="32"/>
          <w:u w:val="single"/>
        </w:rPr>
      </w:pPr>
      <w:r>
        <w:rPr>
          <w:rFonts w:hint="default" w:ascii="Times New Roman" w:hAnsi="Times New Roman" w:eastAsia="楷体_GB2312" w:cs="Times New Roman"/>
          <w:b w:val="0"/>
          <w:bCs w:val="0"/>
          <w:sz w:val="32"/>
          <w:szCs w:val="32"/>
        </w:rPr>
        <w:t>（三）公务用车购置及运行维护费较上年预算</w:t>
      </w:r>
      <w:r>
        <w:rPr>
          <w:rFonts w:hint="default" w:ascii="Times New Roman" w:hAnsi="Times New Roman" w:eastAsia="楷体_GB2312" w:cs="Times New Roman"/>
          <w:b w:val="0"/>
          <w:bCs w:val="0"/>
          <w:sz w:val="32"/>
          <w:szCs w:val="32"/>
          <w:u w:val="single"/>
        </w:rPr>
        <w:t>与</w:t>
      </w:r>
      <w:r>
        <w:rPr>
          <w:rFonts w:hint="default" w:ascii="Times New Roman" w:hAnsi="Times New Roman" w:eastAsia="楷体_GB2312" w:cs="Times New Roman"/>
          <w:b w:val="0"/>
          <w:bCs w:val="0"/>
          <w:sz w:val="32"/>
          <w:szCs w:val="32"/>
        </w:rPr>
        <w:t>上年</w:t>
      </w:r>
      <w:r>
        <w:rPr>
          <w:rFonts w:hint="default" w:ascii="Times New Roman" w:hAnsi="Times New Roman" w:eastAsia="楷体_GB2312" w:cs="Times New Roman"/>
          <w:b w:val="0"/>
          <w:bCs w:val="0"/>
          <w:sz w:val="32"/>
          <w:szCs w:val="32"/>
          <w:u w:val="single"/>
        </w:rPr>
        <w:t>预算持平。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仿宋_GB2312" w:cs="Times New Roman"/>
          <w:b w:val="0"/>
          <w:bCs w:val="0"/>
          <w:sz w:val="32"/>
          <w:szCs w:val="32"/>
        </w:rPr>
        <w:t>单位现有公务用车0辆。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仿宋_GB2312" w:cs="Times New Roman"/>
          <w:b w:val="0"/>
          <w:bCs w:val="0"/>
          <w:sz w:val="32"/>
          <w:szCs w:val="32"/>
        </w:rPr>
        <w:t>2022</w:t>
      </w:r>
      <w:r>
        <w:rPr>
          <w:rFonts w:hint="default" w:ascii="Times New Roman" w:hAnsi="Times New Roman" w:eastAsia="仿宋_GB2312" w:cs="Times New Roman"/>
          <w:b w:val="0"/>
          <w:bCs w:val="0"/>
          <w:sz w:val="32"/>
          <w:szCs w:val="32"/>
        </w:rPr>
        <w:t>年安排公务用车购置费</w:t>
      </w:r>
      <w:r>
        <w:rPr>
          <w:rStyle w:val="8"/>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仿宋_GB2312" w:cs="Times New Roman"/>
          <w:b w:val="0"/>
          <w:bCs w:val="0"/>
          <w:sz w:val="32"/>
          <w:szCs w:val="32"/>
        </w:rPr>
        <w:t>2022</w:t>
      </w:r>
      <w:r>
        <w:rPr>
          <w:rFonts w:hint="default" w:ascii="Times New Roman" w:hAnsi="Times New Roman" w:eastAsia="仿宋_GB2312" w:cs="Times New Roman"/>
          <w:b w:val="0"/>
          <w:bCs w:val="0"/>
          <w:sz w:val="32"/>
          <w:szCs w:val="32"/>
        </w:rPr>
        <w:t>年安排公务用车运行维护费</w:t>
      </w:r>
      <w:r>
        <w:rPr>
          <w:rStyle w:val="8"/>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七、“会议费”、“培训费”、“差旅费”财政拨款预算安排情况说明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sz w:val="32"/>
          <w:szCs w:val="32"/>
        </w:rPr>
        <w:t>遂宁市船山区鹭栖湖学校2022</w:t>
      </w:r>
      <w:r>
        <w:rPr>
          <w:rFonts w:hint="default" w:ascii="Times New Roman" w:hAnsi="Times New Roman" w:eastAsia="仿宋_GB2312" w:cs="Times New Roman"/>
          <w:b w:val="0"/>
          <w:bCs w:val="0"/>
          <w:sz w:val="32"/>
          <w:szCs w:val="32"/>
        </w:rPr>
        <w:t>年“会议费”“培训费”“差旅费”财政拨款预算数</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万元，其中：会议费</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万元，培训费</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万元，差旅费</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楷体_GB2312" w:cs="Times New Roman"/>
          <w:b w:val="0"/>
          <w:bCs w:val="0"/>
          <w:sz w:val="32"/>
          <w:szCs w:val="32"/>
          <w:u w:val="single"/>
        </w:rPr>
      </w:pPr>
      <w:r>
        <w:rPr>
          <w:rFonts w:hint="default" w:ascii="Times New Roman" w:hAnsi="Times New Roman" w:eastAsia="楷体_GB2312" w:cs="Times New Roman"/>
          <w:b w:val="0"/>
          <w:bCs w:val="0"/>
          <w:sz w:val="32"/>
          <w:szCs w:val="32"/>
        </w:rPr>
        <w:t>（一）会议费较上年预算</w:t>
      </w:r>
      <w:r>
        <w:rPr>
          <w:rFonts w:hint="default" w:ascii="Times New Roman" w:hAnsi="Times New Roman" w:eastAsia="楷体_GB2312" w:cs="Times New Roman"/>
          <w:b w:val="0"/>
          <w:bCs w:val="0"/>
          <w:sz w:val="32"/>
          <w:szCs w:val="32"/>
          <w:u w:val="single"/>
        </w:rPr>
        <w:t>与</w:t>
      </w:r>
      <w:r>
        <w:rPr>
          <w:rFonts w:hint="default" w:ascii="Times New Roman" w:hAnsi="Times New Roman" w:eastAsia="仿宋_GB2312" w:cs="Times New Roman"/>
          <w:b w:val="0"/>
          <w:bCs w:val="0"/>
          <w:sz w:val="32"/>
          <w:szCs w:val="32"/>
          <w:u w:val="single"/>
        </w:rPr>
        <w:t>上年</w:t>
      </w:r>
      <w:r>
        <w:rPr>
          <w:rFonts w:hint="default" w:ascii="Times New Roman" w:hAnsi="Times New Roman" w:eastAsia="楷体_GB2312" w:cs="Times New Roman"/>
          <w:b w:val="0"/>
          <w:bCs w:val="0"/>
          <w:sz w:val="32"/>
          <w:szCs w:val="32"/>
          <w:u w:val="single"/>
        </w:rPr>
        <w:t>预算持平。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（二）培训费较上年预算</w:t>
      </w:r>
      <w:r>
        <w:rPr>
          <w:rFonts w:hint="default" w:ascii="Times New Roman" w:hAnsi="Times New Roman" w:eastAsia="楷体_GB2312" w:cs="Times New Roman"/>
          <w:b w:val="0"/>
          <w:bCs w:val="0"/>
          <w:sz w:val="32"/>
          <w:szCs w:val="32"/>
          <w:u w:val="single"/>
        </w:rPr>
        <w:t>与</w:t>
      </w:r>
      <w:r>
        <w:rPr>
          <w:rFonts w:hint="default" w:ascii="Times New Roman" w:hAnsi="Times New Roman" w:eastAsia="仿宋_GB2312" w:cs="Times New Roman"/>
          <w:b w:val="0"/>
          <w:bCs w:val="0"/>
          <w:sz w:val="32"/>
          <w:szCs w:val="32"/>
          <w:u w:val="single"/>
        </w:rPr>
        <w:t>上年</w:t>
      </w:r>
      <w:r>
        <w:rPr>
          <w:rFonts w:hint="default" w:ascii="Times New Roman" w:hAnsi="Times New Roman" w:eastAsia="楷体_GB2312" w:cs="Times New Roman"/>
          <w:b w:val="0"/>
          <w:bCs w:val="0"/>
          <w:sz w:val="32"/>
          <w:szCs w:val="32"/>
          <w:u w:val="single"/>
        </w:rPr>
        <w:t>预算持平</w:t>
      </w:r>
      <w:r>
        <w:rPr>
          <w:rFonts w:hint="default" w:ascii="Times New Roman" w:hAnsi="Times New Roman" w:eastAsia="楷体_GB2312" w:cs="Times New Roman"/>
          <w:b w:val="0"/>
          <w:bCs w:val="0"/>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（三）差旅费较上年预算</w:t>
      </w:r>
      <w:r>
        <w:rPr>
          <w:rFonts w:hint="default" w:ascii="Times New Roman" w:hAnsi="Times New Roman" w:eastAsia="楷体_GB2312" w:cs="Times New Roman"/>
          <w:b w:val="0"/>
          <w:bCs w:val="0"/>
          <w:sz w:val="32"/>
          <w:szCs w:val="32"/>
          <w:u w:val="single"/>
        </w:rPr>
        <w:t>与</w:t>
      </w:r>
      <w:r>
        <w:rPr>
          <w:rFonts w:hint="default" w:ascii="Times New Roman" w:hAnsi="Times New Roman" w:eastAsia="仿宋_GB2312" w:cs="Times New Roman"/>
          <w:b w:val="0"/>
          <w:bCs w:val="0"/>
          <w:sz w:val="32"/>
          <w:szCs w:val="32"/>
          <w:u w:val="single"/>
        </w:rPr>
        <w:t>上年</w:t>
      </w:r>
      <w:r>
        <w:rPr>
          <w:rFonts w:hint="default" w:ascii="Times New Roman" w:hAnsi="Times New Roman" w:eastAsia="楷体_GB2312" w:cs="Times New Roman"/>
          <w:b w:val="0"/>
          <w:bCs w:val="0"/>
          <w:sz w:val="32"/>
          <w:szCs w:val="32"/>
          <w:u w:val="single"/>
        </w:rPr>
        <w:t>预算持平</w:t>
      </w:r>
      <w:r>
        <w:rPr>
          <w:rFonts w:hint="default" w:ascii="Times New Roman" w:hAnsi="Times New Roman" w:eastAsia="楷体_GB2312" w:cs="Times New Roman"/>
          <w:b w:val="0"/>
          <w:bCs w:val="0"/>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八、政府性基金预算支出情况说明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sz w:val="32"/>
          <w:szCs w:val="32"/>
        </w:rPr>
        <w:t>遂宁市船山区鹭栖湖学校2022</w:t>
      </w:r>
      <w:r>
        <w:rPr>
          <w:rFonts w:hint="default" w:ascii="Times New Roman" w:hAnsi="Times New Roman" w:eastAsia="仿宋_GB2312" w:cs="Times New Roman"/>
          <w:b w:val="0"/>
          <w:bCs w:val="0"/>
          <w:sz w:val="32"/>
          <w:szCs w:val="32"/>
        </w:rPr>
        <w:t>年没有使用政府性基金预算拨款安排的支出。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九、国有资本经营预算支出情况说明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仿宋_GB2312" w:cs="Times New Roman"/>
          <w:b w:val="0"/>
          <w:bCs w:val="0"/>
          <w:sz w:val="32"/>
          <w:szCs w:val="32"/>
        </w:rPr>
        <w:t>遂宁市船山区鹭栖湖学校2022</w:t>
      </w:r>
      <w:r>
        <w:rPr>
          <w:rFonts w:hint="default" w:ascii="Times New Roman" w:hAnsi="Times New Roman" w:eastAsia="仿宋_GB2312" w:cs="Times New Roman"/>
          <w:b w:val="0"/>
          <w:bCs w:val="0"/>
          <w:sz w:val="32"/>
          <w:szCs w:val="32"/>
        </w:rPr>
        <w:t>年没有使用国有资本经营预算拨款安排的支出。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十、其他重要事项的情况说明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（一）机关运行经费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仿宋_GB2312" w:cs="Times New Roman"/>
          <w:b w:val="0"/>
          <w:bCs w:val="0"/>
          <w:sz w:val="32"/>
          <w:szCs w:val="32"/>
        </w:rPr>
        <w:t>本单位为事业单位，按规定未使用机关运行的相关科目。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（二）政府采购情况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仿宋_GB2312" w:cs="Times New Roman"/>
          <w:b w:val="0"/>
          <w:bCs w:val="0"/>
          <w:sz w:val="32"/>
          <w:szCs w:val="32"/>
        </w:rPr>
        <w:t>遂宁市船山区鹭栖湖学校2022</w:t>
      </w:r>
      <w:r>
        <w:rPr>
          <w:rFonts w:hint="default" w:ascii="Times New Roman" w:hAnsi="Times New Roman" w:eastAsia="仿宋_GB2312" w:cs="Times New Roman"/>
          <w:b w:val="0"/>
          <w:bCs w:val="0"/>
          <w:sz w:val="32"/>
          <w:szCs w:val="32"/>
        </w:rPr>
        <w:t>年无政府采购项目，未安排政府采购预算。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（三）国有资产占有使用情况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仿宋_GB2312" w:cs="Times New Roman"/>
          <w:b w:val="0"/>
          <w:bCs w:val="0"/>
          <w:sz w:val="32"/>
          <w:szCs w:val="32"/>
        </w:rPr>
        <w:t>截至上年底，</w:t>
      </w:r>
      <w:r>
        <w:rPr>
          <w:rStyle w:val="8"/>
          <w:rFonts w:hint="default" w:ascii="Times New Roman" w:hAnsi="Times New Roman" w:eastAsia="仿宋_GB2312" w:cs="Times New Roman"/>
          <w:b w:val="0"/>
          <w:bCs w:val="0"/>
          <w:sz w:val="32"/>
          <w:szCs w:val="32"/>
        </w:rPr>
        <w:t>遂宁市船山区鹭栖湖学校</w:t>
      </w:r>
      <w:r>
        <w:rPr>
          <w:rFonts w:hint="default" w:ascii="Times New Roman" w:hAnsi="Times New Roman" w:eastAsia="仿宋_GB2312" w:cs="Times New Roman"/>
          <w:b w:val="0"/>
          <w:bCs w:val="0"/>
          <w:sz w:val="32"/>
          <w:szCs w:val="32"/>
        </w:rPr>
        <w:t>共有车辆</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辆，其中，地厅级领导干部用车</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辆、定向保障用车</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辆、执法执勤用车</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辆。单位价值</w:t>
      </w:r>
      <w:r>
        <w:rPr>
          <w:rFonts w:hint="default" w:ascii="Times New Roman" w:hAnsi="Times New Roman" w:eastAsia="sans-serif" w:cs="Times New Roman"/>
          <w:b w:val="0"/>
          <w:bCs w:val="0"/>
          <w:sz w:val="32"/>
          <w:szCs w:val="32"/>
        </w:rPr>
        <w:t>200</w:t>
      </w:r>
      <w:r>
        <w:rPr>
          <w:rFonts w:hint="default" w:ascii="Times New Roman" w:hAnsi="Times New Roman" w:eastAsia="仿宋_GB2312" w:cs="Times New Roman"/>
          <w:b w:val="0"/>
          <w:bCs w:val="0"/>
          <w:sz w:val="32"/>
          <w:szCs w:val="32"/>
        </w:rPr>
        <w:t>万元以上大型设备</w:t>
      </w:r>
      <w:r>
        <w:rPr>
          <w:rFonts w:hint="default" w:ascii="Times New Roman" w:hAnsi="Times New Roman" w:eastAsia="sans-serif" w:cs="Times New Roman"/>
          <w:b w:val="0"/>
          <w:bCs w:val="0"/>
          <w:sz w:val="32"/>
          <w:szCs w:val="32"/>
        </w:rPr>
        <w:t>0</w:t>
      </w:r>
      <w:r>
        <w:rPr>
          <w:rFonts w:hint="default" w:ascii="Times New Roman" w:hAnsi="Times New Roman" w:eastAsia="仿宋_GB2312" w:cs="Times New Roman"/>
          <w:b w:val="0"/>
          <w:bCs w:val="0"/>
          <w:sz w:val="32"/>
          <w:szCs w:val="32"/>
        </w:rPr>
        <w:t>台（套）。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sz w:val="32"/>
          <w:szCs w:val="32"/>
        </w:rPr>
        <w:t>2022</w:t>
      </w:r>
      <w:r>
        <w:rPr>
          <w:rFonts w:hint="default" w:ascii="Times New Roman" w:hAnsi="Times New Roman" w:eastAsia="仿宋_GB2312" w:cs="Times New Roman"/>
          <w:b w:val="0"/>
          <w:bCs w:val="0"/>
          <w:sz w:val="32"/>
          <w:szCs w:val="32"/>
        </w:rPr>
        <w:t>年单位预算未安排购置车辆及单位价值</w:t>
      </w:r>
      <w:r>
        <w:rPr>
          <w:rFonts w:hint="default" w:ascii="Times New Roman" w:hAnsi="Times New Roman" w:eastAsia="sans-serif" w:cs="Times New Roman"/>
          <w:b w:val="0"/>
          <w:bCs w:val="0"/>
          <w:sz w:val="32"/>
          <w:szCs w:val="32"/>
        </w:rPr>
        <w:t>200</w:t>
      </w:r>
      <w:r>
        <w:rPr>
          <w:rFonts w:hint="default" w:ascii="Times New Roman" w:hAnsi="Times New Roman" w:eastAsia="仿宋_GB2312" w:cs="Times New Roman"/>
          <w:b w:val="0"/>
          <w:bCs w:val="0"/>
          <w:sz w:val="32"/>
          <w:szCs w:val="32"/>
        </w:rPr>
        <w:t>万元以上大型设备。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（四）绩效目标设置情况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仿宋_GB2312" w:cs="Times New Roman"/>
          <w:b w:val="0"/>
          <w:bCs w:val="0"/>
          <w:sz w:val="32"/>
          <w:szCs w:val="32"/>
        </w:rPr>
        <w:t>绩效目标是预算编制的前提和基础，按照“费随事定”的原则，</w:t>
      </w:r>
      <w:r>
        <w:rPr>
          <w:rStyle w:val="8"/>
          <w:rFonts w:hint="default" w:ascii="Times New Roman" w:hAnsi="Times New Roman" w:eastAsia="仿宋_GB2312" w:cs="Times New Roman"/>
          <w:b w:val="0"/>
          <w:bCs w:val="0"/>
          <w:sz w:val="32"/>
          <w:szCs w:val="32"/>
        </w:rPr>
        <w:t>2022</w:t>
      </w:r>
      <w:r>
        <w:rPr>
          <w:rFonts w:hint="default" w:ascii="Times New Roman" w:hAnsi="Times New Roman" w:eastAsia="仿宋_GB2312" w:cs="Times New Roman"/>
          <w:b w:val="0"/>
          <w:bCs w:val="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黑体" w:cs="Times New Roman"/>
          <w:b w:val="0"/>
          <w:bCs w:val="0"/>
          <w:sz w:val="32"/>
          <w:szCs w:val="32"/>
        </w:rPr>
        <w:t>十一、名词解释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1.部门预算：指政府部门依据国家有关法律、法规、政策及其履行职能需要，编制的</w:t>
      </w:r>
      <w:r>
        <w:rPr>
          <w:rFonts w:hint="eastAsia" w:cs="Times New Roman"/>
          <w:b w:val="0"/>
          <w:bCs w:val="0"/>
          <w:lang w:val="en-US" w:eastAsia="zh-CN"/>
        </w:rPr>
        <w:t>反映</w:t>
      </w:r>
      <w:r>
        <w:rPr>
          <w:rFonts w:hint="default" w:ascii="Times New Roman" w:hAnsi="Times New Roman" w:cs="Times New Roman"/>
          <w:b w:val="0"/>
          <w:bCs w:val="0"/>
        </w:rPr>
        <w:t>政府各部门所有收入和支出情况的年度财政收入预算。部门预算由本部门及其所属各单位预算组成，由基层预算单位开始编制，逐级上报、审核、汇总，经财政部门审核，提交立法机构依法批准后执行。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eastAsia="sans-serif" w:cs="Times New Roman"/>
          <w:b w:val="0"/>
          <w:bCs w:val="0"/>
          <w:szCs w:val="32"/>
        </w:rPr>
        <w:t>2.</w:t>
      </w:r>
      <w:r>
        <w:rPr>
          <w:rFonts w:hint="default" w:ascii="Times New Roman" w:hAnsi="Times New Roman" w:cs="Times New Roman"/>
          <w:b w:val="0"/>
          <w:bCs w:val="0"/>
          <w:szCs w:val="32"/>
        </w:rPr>
        <w:t>一般公共预算拨款收入：指市本级财政当年拨付的资金。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3.其他收入：指除财政拨款收入、事业收入、经营收入以外的收入。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4. 上年结转：指以前年度尚未完成，结转到本年仍按原规定用途继续使用的资金。</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sans-serif" w:cs="Times New Roman"/>
          <w:b w:val="0"/>
          <w:bCs w:val="0"/>
          <w:sz w:val="32"/>
          <w:szCs w:val="32"/>
        </w:rPr>
        <w:t>5.</w:t>
      </w:r>
      <w:r>
        <w:rPr>
          <w:rFonts w:hint="default" w:ascii="Times New Roman" w:hAnsi="Times New Roman" w:eastAsia="仿宋_GB2312" w:cs="Times New Roman"/>
          <w:b w:val="0"/>
          <w:bCs w:val="0"/>
          <w:sz w:val="32"/>
          <w:szCs w:val="32"/>
        </w:rPr>
        <w:t>基本支出：指为保证机构正常运转，完成日常工作任务而发生的人员支出和公用支出。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sans-serif" w:cs="Times New Roman"/>
          <w:b w:val="0"/>
          <w:bCs w:val="0"/>
          <w:sz w:val="32"/>
          <w:szCs w:val="32"/>
        </w:rPr>
        <w:t>6.</w:t>
      </w:r>
      <w:r>
        <w:rPr>
          <w:rFonts w:hint="default" w:ascii="Times New Roman" w:hAnsi="Times New Roman" w:eastAsia="仿宋_GB2312" w:cs="Times New Roman"/>
          <w:b w:val="0"/>
          <w:bCs w:val="0"/>
          <w:sz w:val="32"/>
          <w:szCs w:val="32"/>
        </w:rPr>
        <w:t>项目支出：指在基本支出之外为完成特定行政任务和事业发展目标所发生的支出。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sans-serif" w:cs="Times New Roman"/>
          <w:b w:val="0"/>
          <w:bCs w:val="0"/>
          <w:sz w:val="32"/>
          <w:szCs w:val="32"/>
        </w:rPr>
        <w:t>7.“</w:t>
      </w:r>
      <w:r>
        <w:rPr>
          <w:rFonts w:hint="default" w:ascii="Times New Roman" w:hAnsi="Times New Roman" w:eastAsia="仿宋_GB2312" w:cs="Times New Roman"/>
          <w:b w:val="0"/>
          <w:bCs w:val="0"/>
          <w:sz w:val="32"/>
          <w:szCs w:val="32"/>
        </w:rPr>
        <w:t>三公</w:t>
      </w:r>
      <w:r>
        <w:rPr>
          <w:rFonts w:hint="default" w:ascii="Times New Roman" w:hAnsi="Times New Roman" w:eastAsia="sans-serif" w:cs="Times New Roman"/>
          <w:b w:val="0"/>
          <w:bCs w:val="0"/>
          <w:sz w:val="32"/>
          <w:szCs w:val="32"/>
        </w:rPr>
        <w:t>”</w:t>
      </w:r>
      <w:r>
        <w:rPr>
          <w:rFonts w:hint="default" w:ascii="Times New Roman" w:hAnsi="Times New Roman" w:eastAsia="仿宋_GB2312" w:cs="Times New Roman"/>
          <w:b w:val="0"/>
          <w:bCs w:val="0"/>
          <w:sz w:val="32"/>
          <w:szCs w:val="32"/>
        </w:rPr>
        <w:t>经费：纳入单位预算管理的</w:t>
      </w:r>
      <w:r>
        <w:rPr>
          <w:rFonts w:hint="default" w:ascii="Times New Roman" w:hAnsi="Times New Roman" w:eastAsia="sans-serif" w:cs="Times New Roman"/>
          <w:b w:val="0"/>
          <w:bCs w:val="0"/>
          <w:sz w:val="32"/>
          <w:szCs w:val="32"/>
        </w:rPr>
        <w:t>“</w:t>
      </w:r>
      <w:r>
        <w:rPr>
          <w:rFonts w:hint="default" w:ascii="Times New Roman" w:hAnsi="Times New Roman" w:eastAsia="仿宋_GB2312" w:cs="Times New Roman"/>
          <w:b w:val="0"/>
          <w:bCs w:val="0"/>
          <w:sz w:val="32"/>
          <w:szCs w:val="32"/>
        </w:rPr>
        <w:t>三公</w:t>
      </w:r>
      <w:r>
        <w:rPr>
          <w:rFonts w:hint="default" w:ascii="Times New Roman" w:hAnsi="Times New Roman" w:eastAsia="sans-serif" w:cs="Times New Roman"/>
          <w:b w:val="0"/>
          <w:bCs w:val="0"/>
          <w:sz w:val="32"/>
          <w:szCs w:val="32"/>
        </w:rPr>
        <w:t>”</w:t>
      </w:r>
      <w:r>
        <w:rPr>
          <w:rFonts w:hint="default" w:ascii="Times New Roman" w:hAnsi="Times New Roman" w:eastAsia="仿宋_GB2312" w:cs="Times New Roman"/>
          <w:b w:val="0"/>
          <w:bCs w:val="0"/>
          <w:sz w:val="32"/>
          <w:szCs w:val="32"/>
        </w:rPr>
        <w:t>经费，是指单位用财政拨款安排的因公出国（境）费、公务用车购置及运行费和公务接待费。其中，因公出国（境）费反映单位公务出国（境）的国际旅费、国外城市间交通费、住宿费、伙食费、培训费、公杂费等支出；公务用车购置及运行费反映部门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8.商品服务支出：反映单位购买商品和服务的支出（不包括用于购置固定资产的支出、战略性和应急储备支出）。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9、工资福利支出：反映单位开支的在职职工和编制外长期聘用人员的各类劳动报酬，以及为上述人员缴纳的各项社会保险等。</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华文中宋"/>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6465"/>
    <w:rsid w:val="00280E7C"/>
    <w:rsid w:val="00321309"/>
    <w:rsid w:val="003A2A3C"/>
    <w:rsid w:val="004806B3"/>
    <w:rsid w:val="00801BA2"/>
    <w:rsid w:val="00A9005F"/>
    <w:rsid w:val="00B66465"/>
    <w:rsid w:val="00BC71C5"/>
    <w:rsid w:val="00C00E22"/>
    <w:rsid w:val="00D139DA"/>
    <w:rsid w:val="00D348C2"/>
    <w:rsid w:val="00D745EB"/>
    <w:rsid w:val="00E20468"/>
    <w:rsid w:val="00EB0143"/>
    <w:rsid w:val="00F4677C"/>
    <w:rsid w:val="31C474A6"/>
    <w:rsid w:val="49B642FE"/>
    <w:rsid w:val="5BFF58CB"/>
    <w:rsid w:val="6C7F1D48"/>
    <w:rsid w:val="7FBD5E3A"/>
    <w:rsid w:val="DBE3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uppressAutoHyphens/>
      <w:spacing w:after="140" w:line="276" w:lineRule="auto"/>
    </w:pPr>
    <w:rPr>
      <w:rFonts w:ascii="Calibri" w:hAnsi="Calibri" w:eastAsia="宋体"/>
      <w:sz w:val="21"/>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uppressAutoHyphens/>
      <w:spacing w:before="100" w:beforeAutospacing="1" w:after="100" w:afterAutospacing="1"/>
      <w:jc w:val="left"/>
    </w:pPr>
    <w:rPr>
      <w:rFonts w:ascii="Calibri" w:hAnsi="Calibri" w:eastAsia="宋体"/>
      <w:kern w:val="0"/>
      <w:sz w:val="24"/>
    </w:rPr>
  </w:style>
  <w:style w:type="character" w:styleId="8">
    <w:name w:val="Strong"/>
    <w:qFormat/>
    <w:uiPriority w:val="0"/>
    <w:rPr>
      <w:b/>
    </w:rPr>
  </w:style>
  <w:style w:type="character" w:customStyle="1" w:styleId="9">
    <w:name w:val="正文文本 Char"/>
    <w:basedOn w:val="7"/>
    <w:link w:val="2"/>
    <w:qFormat/>
    <w:uiPriority w:val="0"/>
    <w:rPr>
      <w:rFonts w:ascii="Calibri" w:hAnsi="Calibri" w:eastAsia="宋体" w:cs="Times New Roman"/>
      <w:szCs w:val="24"/>
    </w:rPr>
  </w:style>
  <w:style w:type="character" w:customStyle="1" w:styleId="10">
    <w:name w:val="页眉 Char"/>
    <w:basedOn w:val="7"/>
    <w:link w:val="4"/>
    <w:semiHidden/>
    <w:qFormat/>
    <w:uiPriority w:val="99"/>
    <w:rPr>
      <w:rFonts w:ascii="Times New Roman" w:hAnsi="Times New Roman" w:eastAsia="仿宋_GB2312" w:cs="Times New Roman"/>
      <w:sz w:val="18"/>
      <w:szCs w:val="18"/>
    </w:rPr>
  </w:style>
  <w:style w:type="character" w:customStyle="1" w:styleId="11">
    <w:name w:val="页脚 Char"/>
    <w:basedOn w:val="7"/>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620</Words>
  <Characters>3540</Characters>
  <Lines>29</Lines>
  <Paragraphs>8</Paragraphs>
  <TotalTime>17</TotalTime>
  <ScaleCrop>false</ScaleCrop>
  <LinksUpToDate>false</LinksUpToDate>
  <CharactersWithSpaces>4152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2022-06-05T15:03:00Z</dcterms:created>
  <dc:creator>lw</dc:creator>
  <cp:lastModifiedBy>x</cp:lastModifiedBy>
  <dcterms:modified xsi:type="dcterms:W3CDTF">2023-09-22T08:32:34Z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C90C746287F3C324B1120965E77C8736</vt:lpwstr>
  </property>
</Properties>
</file>